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tbl>
      <w:tblPr>
        <w:tblW w:type="auto" w:w="0"/>
        <w:jc w:val="center"/>
        <w:tblLook w:firstColumn="1" w:firstRow="1" w:lastColumn="0" w:lastRow="0" w:noHBand="0" w:noVBand="1" w:val="04A0"/>
      </w:tblPr>
      <w:tblGrid>
        <w:gridCol w:w="9638"/>
      </w:tblGrid>
      <w:tr>
        <w:tc>
          <w:tcPr>
            <w:tcW w:type="dxa" w:w="9638"/>
            <w:shd w:fill="004A94" w:val="clear"/>
            <w:tcBorders>
              <w:top w:val="single" w:sz="16" w:color="F7D116"/>
              <w:left w:val="single" w:sz="16" w:color="F7D116"/>
              <w:bottom w:val="single" w:sz="16" w:color="F7D116"/>
              <w:right w:val="single" w:sz="16" w:color="F7D116"/>
            </w:tcBorders>
          </w:tcPr>
          <w:p>
            <w:pPr>
              <w:spacing w:before="120" w:after="40"/>
              <w:jc w:val="center"/>
            </w:pPr>
            <w:r/>
            <w:r>
              <w:rPr>
                <w:rFonts w:ascii="Calibri" w:hAnsi="Calibri" w:eastAsia="Calibri"/>
                <w:b/>
                <w:i w:val="0"/>
                <w:color w:val="FFFFFF"/>
                <w:sz w:val="22"/>
              </w:rPr>
              <w:t>RÉPUBLIQUE DÉMOCRATIQUE DU CONGO</w:t>
            </w:r>
          </w:p>
          <w:p>
            <w:pPr>
              <w:spacing w:before="40" w:after="120"/>
              <w:jc w:val="center"/>
            </w:pPr>
            <w:r>
              <w:rPr>
                <w:rFonts w:ascii="Calibri" w:hAnsi="Calibri" w:eastAsia="Calibri"/>
                <w:b w:val="0"/>
                <w:i w:val="0"/>
                <w:color w:val="FFFFFF"/>
                <w:sz w:val="20"/>
              </w:rPr>
              <w:t>Justice  ·  Administration pénitentiaire</w:t>
            </w:r>
          </w:p>
        </w:tc>
      </w:tr>
    </w:tbl>
    <w:p>
      <w:pPr>
        <w:spacing w:before="80" w:after="240"/>
        <w:pBdr>
          <w:bottom w:val="single" w:sz="18" w:space="1" w:color="F7D116"/>
        </w:pBdr>
      </w:pPr>
    </w:p>
    <w:p>
      <w:pPr>
        <w:spacing w:before="560"/>
        <w:jc w:val="center"/>
      </w:pPr>
      <w:r>
        <w:rPr>
          <w:rFonts w:ascii="Calibri" w:hAnsi="Calibri" w:eastAsia="Calibri"/>
          <w:b/>
          <w:i w:val="0"/>
          <w:color w:val="004A94"/>
          <w:sz w:val="72"/>
        </w:rPr>
        <w:t>e-Justice</w:t>
      </w:r>
    </w:p>
    <w:p>
      <w:pPr>
        <w:jc w:val="center"/>
      </w:pPr>
      <w:r>
        <w:rPr>
          <w:rFonts w:ascii="Calibri" w:hAnsi="Calibri" w:eastAsia="Calibri"/>
          <w:b/>
          <w:i w:val="0"/>
          <w:color w:val="003366"/>
          <w:sz w:val="44"/>
        </w:rPr>
        <w:t>Module e-Detenu</w:t>
      </w:r>
    </w:p>
    <w:p>
      <w:pPr>
        <w:spacing w:before="200"/>
        <w:jc w:val="center"/>
      </w:pPr>
      <w:r>
        <w:rPr>
          <w:rFonts w:ascii="Calibri" w:hAnsi="Calibri" w:eastAsia="Calibri"/>
          <w:b w:val="0"/>
          <w:i/>
          <w:color w:val="5B6B7C"/>
          <w:sz w:val="26"/>
        </w:rPr>
        <w:t>Système national de gestion des centres pénitenciers</w:t>
      </w:r>
    </w:p>
    <w:p>
      <w:pPr>
        <w:spacing w:before="560"/>
        <w:jc w:val="center"/>
      </w:pPr>
      <w:r>
        <w:rPr>
          <w:rFonts w:ascii="Calibri" w:hAnsi="Calibri" w:eastAsia="Calibri"/>
          <w:b/>
          <w:i w:val="0"/>
          <w:color w:val="CE1020"/>
          <w:sz w:val="24"/>
        </w:rPr>
        <w:t>DOCUMENT DE PRÉSENTATION</w:t>
      </w:r>
    </w:p>
    <w:p>
      <w:pPr>
        <w:spacing w:before="720"/>
        <w:jc w:val="center"/>
      </w:pPr>
      <w:r>
        <w:rPr>
          <w:rFonts w:ascii="Calibri" w:hAnsi="Calibri" w:eastAsia="Calibri"/>
          <w:b w:val="0"/>
          <w:i w:val="0"/>
          <w:color w:val="12263A"/>
          <w:sz w:val="22"/>
        </w:rPr>
        <w:t>Septembre 2026   ·   Version 1.0</w:t>
      </w:r>
    </w:p>
    <w:p>
      <w:pPr>
        <w:jc w:val="center"/>
      </w:pPr>
      <w:r>
        <w:rPr>
          <w:rFonts w:ascii="Calibri" w:hAnsi="Calibri" w:eastAsia="Calibri"/>
          <w:b w:val="0"/>
          <w:i w:val="0"/>
          <w:color w:val="5B6B7C"/>
          <w:sz w:val="20"/>
        </w:rPr>
        <w:t>Usage institutionnel</w:t>
      </w:r>
    </w:p>
    <w:p>
      <w:r>
        <w:br w:type="page"/>
      </w:r>
    </w:p>
    <w:p>
      <w:pPr>
        <w:keepNext/>
        <w:spacing w:before="320" w:after="160"/>
        <w:pBdr>
          <w:bottom w:val="single" w:sz="12" w:space="4" w:color="0066C7"/>
        </w:pBdr>
      </w:pPr>
      <w:r>
        <w:rPr>
          <w:rFonts w:ascii="Calibri" w:hAnsi="Calibri" w:eastAsia="Calibri"/>
          <w:b/>
          <w:i w:val="0"/>
          <w:color w:val="004A94"/>
          <w:sz w:val="32"/>
        </w:rPr>
        <w:t>Sommaire</w:t>
      </w:r>
    </w:p>
    <w:p>
      <w:pPr>
        <w:spacing w:after="120" w:before="40"/>
      </w:pPr>
      <w:r>
        <w:rPr>
          <w:rFonts w:ascii="Calibri" w:hAnsi="Calibri" w:eastAsia="Calibri"/>
          <w:b w:val="0"/>
          <w:i w:val="0"/>
          <w:color w:val="003366"/>
          <w:sz w:val="24"/>
        </w:rPr>
        <w:t>1.  Objet du document</w:t>
      </w:r>
    </w:p>
    <w:p>
      <w:pPr>
        <w:spacing w:after="120" w:before="40"/>
      </w:pPr>
      <w:r>
        <w:rPr>
          <w:rFonts w:ascii="Calibri" w:hAnsi="Calibri" w:eastAsia="Calibri"/>
          <w:b w:val="0"/>
          <w:i w:val="0"/>
          <w:color w:val="003366"/>
          <w:sz w:val="24"/>
        </w:rPr>
        <w:t>2.  Contexte et enjeux</w:t>
      </w:r>
    </w:p>
    <w:p>
      <w:pPr>
        <w:spacing w:after="120" w:before="40"/>
      </w:pPr>
      <w:r>
        <w:rPr>
          <w:rFonts w:ascii="Calibri" w:hAnsi="Calibri" w:eastAsia="Calibri"/>
          <w:b w:val="0"/>
          <w:i w:val="0"/>
          <w:color w:val="003366"/>
          <w:sz w:val="24"/>
        </w:rPr>
        <w:t>3.  La plateforme e-Justice</w:t>
      </w:r>
    </w:p>
    <w:p>
      <w:pPr>
        <w:spacing w:after="120" w:before="40"/>
      </w:pPr>
      <w:r>
        <w:rPr>
          <w:rFonts w:ascii="Calibri" w:hAnsi="Calibri" w:eastAsia="Calibri"/>
          <w:b w:val="0"/>
          <w:i w:val="0"/>
          <w:color w:val="003366"/>
          <w:sz w:val="24"/>
        </w:rPr>
        <w:t>4.  Le module e-Detenu</w:t>
      </w:r>
    </w:p>
    <w:p>
      <w:pPr>
        <w:spacing w:after="120" w:before="40"/>
      </w:pPr>
      <w:r>
        <w:rPr>
          <w:rFonts w:ascii="Calibri" w:hAnsi="Calibri" w:eastAsia="Calibri"/>
          <w:b w:val="0"/>
          <w:i w:val="0"/>
          <w:color w:val="003366"/>
          <w:sz w:val="24"/>
        </w:rPr>
        <w:t>5.  Gouvernance et acteurs</w:t>
      </w:r>
    </w:p>
    <w:p>
      <w:pPr>
        <w:spacing w:after="120" w:before="40"/>
      </w:pPr>
      <w:r>
        <w:rPr>
          <w:rFonts w:ascii="Calibri" w:hAnsi="Calibri" w:eastAsia="Calibri"/>
          <w:b w:val="0"/>
          <w:i w:val="0"/>
          <w:color w:val="003366"/>
          <w:sz w:val="24"/>
        </w:rPr>
        <w:t>6.  Chaîne opérationnelle</w:t>
      </w:r>
    </w:p>
    <w:p>
      <w:pPr>
        <w:spacing w:after="120" w:before="40"/>
      </w:pPr>
      <w:r>
        <w:rPr>
          <w:rFonts w:ascii="Calibri" w:hAnsi="Calibri" w:eastAsia="Calibri"/>
          <w:b w:val="0"/>
          <w:i w:val="0"/>
          <w:color w:val="003366"/>
          <w:sz w:val="24"/>
        </w:rPr>
        <w:t>7.  Fonctionnalités du module</w:t>
      </w:r>
    </w:p>
    <w:p>
      <w:pPr>
        <w:spacing w:after="120" w:before="40"/>
      </w:pPr>
      <w:r>
        <w:rPr>
          <w:rFonts w:ascii="Calibri" w:hAnsi="Calibri" w:eastAsia="Calibri"/>
          <w:b w:val="0"/>
          <w:i w:val="0"/>
          <w:color w:val="003366"/>
          <w:sz w:val="24"/>
        </w:rPr>
        <w:t>8.  Couverture territoriale</w:t>
      </w:r>
    </w:p>
    <w:p>
      <w:pPr>
        <w:spacing w:after="120" w:before="40"/>
      </w:pPr>
      <w:r>
        <w:rPr>
          <w:rFonts w:ascii="Calibri" w:hAnsi="Calibri" w:eastAsia="Calibri"/>
          <w:b w:val="0"/>
          <w:i w:val="0"/>
          <w:color w:val="003366"/>
          <w:sz w:val="24"/>
        </w:rPr>
        <w:t>9.  Architecture, sécurité et identité visuelle</w:t>
      </w:r>
    </w:p>
    <w:p>
      <w:pPr>
        <w:spacing w:after="120" w:before="40"/>
      </w:pPr>
      <w:r>
        <w:rPr>
          <w:rFonts w:ascii="Calibri" w:hAnsi="Calibri" w:eastAsia="Calibri"/>
          <w:b w:val="0"/>
          <w:i w:val="0"/>
          <w:color w:val="003366"/>
          <w:sz w:val="24"/>
        </w:rPr>
        <w:t>10. État d’avancement et perspectives</w:t>
      </w:r>
    </w:p>
    <w:p>
      <w:pPr>
        <w:spacing w:after="120" w:before="40"/>
      </w:pPr>
      <w:r>
        <w:rPr>
          <w:rFonts w:ascii="Calibri" w:hAnsi="Calibri" w:eastAsia="Calibri"/>
          <w:b w:val="0"/>
          <w:i w:val="0"/>
          <w:color w:val="003366"/>
          <w:sz w:val="24"/>
        </w:rPr>
        <w:t>11. Conclusion</w:t>
      </w:r>
    </w:p>
    <w:p>
      <w:r>
        <w:br w:type="page"/>
      </w:r>
    </w:p>
    <w:p>
      <w:pPr>
        <w:keepNext/>
        <w:spacing w:before="320" w:after="160"/>
        <w:pBdr>
          <w:bottom w:val="single" w:sz="12" w:space="4" w:color="0066C7"/>
        </w:pBdr>
      </w:pPr>
      <w:r>
        <w:rPr>
          <w:rFonts w:ascii="Calibri" w:hAnsi="Calibri" w:eastAsia="Calibri"/>
          <w:b/>
          <w:i w:val="0"/>
          <w:color w:val="004A94"/>
          <w:sz w:val="32"/>
        </w:rPr>
        <w:t>1.  Objet du document</w:t>
      </w:r>
    </w:p>
    <w:p>
      <w:pPr>
        <w:spacing w:after="160" w:before="0" w:line="276" w:lineRule="auto"/>
        <w:jc w:val="both"/>
      </w:pPr>
      <w:r>
        <w:rPr>
          <w:rFonts w:ascii="Calibri" w:hAnsi="Calibri" w:eastAsia="Calibri"/>
          <w:b w:val="0"/>
          <w:i w:val="0"/>
          <w:color w:val="12263A"/>
          <w:sz w:val="22"/>
        </w:rPr>
        <w:t>Le présent document décrit, dans un ordre logique, la plateforme nationale e-Justice et son premier module opérationnel, e-Detenu. Il s’adresse aux autorités de tutelle, aux administrateurs de centres pénitenciers et aux équipes chargées du déploiement.</w:t>
      </w:r>
    </w:p>
    <w:p>
      <w:pPr>
        <w:spacing w:after="160" w:before="0" w:line="276" w:lineRule="auto"/>
        <w:jc w:val="both"/>
      </w:pPr>
      <w:r>
        <w:rPr>
          <w:rFonts w:ascii="Calibri" w:hAnsi="Calibri" w:eastAsia="Calibri"/>
          <w:b w:val="0"/>
          <w:i w:val="0"/>
          <w:color w:val="12263A"/>
          <w:sz w:val="22"/>
        </w:rPr>
        <w:t>Il présente d’abord le cadre institutionnel, puis la vision d’ensemble de e-Justice, ensuite le périmètre d’e-Detenu, la répartition des responsabilités, le déroulement métier, les fonctions disponibles, la couverture des établissements, les choix techniques et, enfin, les perspectives d’extension.</w:t>
      </w:r>
    </w:p>
    <w:p>
      <w:pPr>
        <w:keepNext/>
        <w:spacing w:before="320" w:after="160"/>
        <w:pBdr>
          <w:bottom w:val="single" w:sz="12" w:space="4" w:color="0066C7"/>
        </w:pBdr>
      </w:pPr>
      <w:r>
        <w:rPr>
          <w:rFonts w:ascii="Calibri" w:hAnsi="Calibri" w:eastAsia="Calibri"/>
          <w:b/>
          <w:i w:val="0"/>
          <w:color w:val="004A94"/>
          <w:sz w:val="32"/>
        </w:rPr>
        <w:t>2.  Contexte et enjeux</w:t>
      </w:r>
    </w:p>
    <w:p>
      <w:pPr>
        <w:spacing w:after="160" w:before="0" w:line="276" w:lineRule="auto"/>
        <w:jc w:val="both"/>
      </w:pPr>
      <w:r>
        <w:rPr>
          <w:rFonts w:ascii="Calibri" w:hAnsi="Calibri" w:eastAsia="Calibri"/>
          <w:b w:val="0"/>
          <w:i w:val="0"/>
          <w:color w:val="12263A"/>
          <w:sz w:val="22"/>
        </w:rPr>
        <w:t>La République démocratique du Congo dispose d’un réseau d’établissements pénitentiaires répartis sur l’ensemble du territoire. La gestion quotidienne — identification des détenus, occupation des cellules, visites, personnel, surveillance — reste souvent fragmentée entre supports papier et outils locaux non interconnectés.</w:t>
      </w:r>
    </w:p>
    <w:p>
      <w:pPr>
        <w:spacing w:after="160" w:before="0" w:line="276" w:lineRule="auto"/>
        <w:jc w:val="both"/>
      </w:pPr>
      <w:r>
        <w:rPr>
          <w:rFonts w:ascii="Calibri" w:hAnsi="Calibri" w:eastAsia="Calibri"/>
          <w:b w:val="0"/>
          <w:i w:val="0"/>
          <w:color w:val="12263A"/>
          <w:sz w:val="22"/>
        </w:rPr>
        <w:t>e-Detenu répond à quatre exigences :</w:t>
      </w:r>
    </w:p>
    <w:p>
      <w:pPr>
        <w:spacing w:after="80" w:line="264" w:lineRule="auto"/>
        <w:ind w:left="425"/>
      </w:pPr>
      <w:r>
        <w:rPr>
          <w:rFonts w:ascii="Calibri" w:hAnsi="Calibri" w:eastAsia="Calibri"/>
          <w:b/>
          <w:i w:val="0"/>
          <w:color w:val="004A94"/>
          <w:sz w:val="22"/>
        </w:rPr>
        <w:t>•  Fiabiliser :</w:t>
      </w:r>
      <w:r>
        <w:rPr>
          <w:rFonts w:ascii="Calibri" w:hAnsi="Calibri" w:eastAsia="Calibri"/>
          <w:b w:val="0"/>
          <w:i w:val="0"/>
          <w:color w:val="12263A"/>
          <w:sz w:val="22"/>
        </w:rPr>
        <w:t xml:space="preserve"> disposer d’une fiche unique, à jour, pour chaque personne détenue ;</w:t>
      </w:r>
    </w:p>
    <w:p>
      <w:pPr>
        <w:spacing w:after="80" w:line="264" w:lineRule="auto"/>
        <w:ind w:left="425"/>
      </w:pPr>
      <w:r>
        <w:rPr>
          <w:rFonts w:ascii="Calibri" w:hAnsi="Calibri" w:eastAsia="Calibri"/>
          <w:b/>
          <w:i w:val="0"/>
          <w:color w:val="004A94"/>
          <w:sz w:val="22"/>
        </w:rPr>
        <w:t>•  Séparer :</w:t>
      </w:r>
      <w:r>
        <w:rPr>
          <w:rFonts w:ascii="Calibri" w:hAnsi="Calibri" w:eastAsia="Calibri"/>
          <w:b w:val="0"/>
          <w:i w:val="0"/>
          <w:color w:val="12263A"/>
          <w:sz w:val="22"/>
        </w:rPr>
        <w:t xml:space="preserve"> séparer clairement le pilotage national de la gestion de chaque prison ;</w:t>
      </w:r>
    </w:p>
    <w:p>
      <w:pPr>
        <w:spacing w:after="80" w:line="264" w:lineRule="auto"/>
        <w:ind w:left="425"/>
      </w:pPr>
      <w:r>
        <w:rPr>
          <w:rFonts w:ascii="Calibri" w:hAnsi="Calibri" w:eastAsia="Calibri"/>
          <w:b/>
          <w:i w:val="0"/>
          <w:color w:val="004A94"/>
          <w:sz w:val="22"/>
        </w:rPr>
        <w:t>•  Piloter :</w:t>
      </w:r>
      <w:r>
        <w:rPr>
          <w:rFonts w:ascii="Calibri" w:hAnsi="Calibri" w:eastAsia="Calibri"/>
          <w:b w:val="0"/>
          <w:i w:val="0"/>
          <w:color w:val="12263A"/>
          <w:sz w:val="22"/>
        </w:rPr>
        <w:t xml:space="preserve"> connaître l’occupation réelle des centres et les mouvements (incarcération, libération, transfert) ;</w:t>
      </w:r>
    </w:p>
    <w:p>
      <w:pPr>
        <w:spacing w:after="80" w:line="264" w:lineRule="auto"/>
        <w:ind w:left="425"/>
      </w:pPr>
      <w:r>
        <w:rPr>
          <w:rFonts w:ascii="Calibri" w:hAnsi="Calibri" w:eastAsia="Calibri"/>
          <w:b/>
          <w:i w:val="0"/>
          <w:color w:val="004A94"/>
          <w:sz w:val="22"/>
        </w:rPr>
        <w:t>•  Inscrire :</w:t>
      </w:r>
      <w:r>
        <w:rPr>
          <w:rFonts w:ascii="Calibri" w:hAnsi="Calibri" w:eastAsia="Calibri"/>
          <w:b w:val="0"/>
          <w:i w:val="0"/>
          <w:color w:val="12263A"/>
          <w:sz w:val="22"/>
        </w:rPr>
        <w:t xml:space="preserve"> préparer l’intégration future avec le parquet, le greffe et le casier judiciaire.</w:t>
      </w:r>
    </w:p>
    <w:p>
      <w:pPr>
        <w:keepNext/>
        <w:spacing w:before="320" w:after="160"/>
        <w:pBdr>
          <w:bottom w:val="single" w:sz="12" w:space="4" w:color="0066C7"/>
        </w:pBdr>
      </w:pPr>
      <w:r>
        <w:rPr>
          <w:rFonts w:ascii="Calibri" w:hAnsi="Calibri" w:eastAsia="Calibri"/>
          <w:b/>
          <w:i w:val="0"/>
          <w:color w:val="004A94"/>
          <w:sz w:val="32"/>
        </w:rPr>
        <w:t>3.  La plateforme e-Justice</w:t>
      </w:r>
    </w:p>
    <w:p>
      <w:pPr>
        <w:spacing w:after="160" w:before="0" w:line="276" w:lineRule="auto"/>
        <w:jc w:val="both"/>
      </w:pPr>
      <w:r>
        <w:rPr>
          <w:rFonts w:ascii="Calibri" w:hAnsi="Calibri" w:eastAsia="Calibri"/>
          <w:b w:val="0"/>
          <w:i w:val="0"/>
          <w:color w:val="12263A"/>
          <w:sz w:val="22"/>
        </w:rPr>
        <w:t>e-Justice est conçue comme la porte d’entrée numérique de la chaîne pénale et civile. e-Detenu en constitue le maillon « exécution des peines ». Les autres fonctions sont affichées sur la page d’accueil afin de montrer la trajectoire complète, même lorsqu’elles ne sont pas encore déployées.</w:t>
      </w:r>
    </w:p>
    <w:p>
      <w:pPr>
        <w:keepNext/>
        <w:spacing w:before="240" w:after="160"/>
      </w:pPr>
      <w:r>
        <w:rPr>
          <w:rFonts w:ascii="Calibri" w:hAnsi="Calibri" w:eastAsia="Calibri"/>
          <w:b/>
          <w:i w:val="0"/>
          <w:color w:val="003366"/>
          <w:sz w:val="26"/>
        </w:rPr>
        <w:t>3.1  Les dix fonctions prévues</w:t>
      </w:r>
    </w:p>
    <w:tbl>
      <w:tblPr>
        <w:tblW w:type="auto" w:w="0"/>
        <w:jc w:val="center"/>
        <w:tblLayout w:type="autofit"/>
        <w:tblLook w:firstColumn="1" w:firstRow="1" w:lastColumn="0" w:lastRow="0" w:noHBand="0" w:noVBand="1" w:val="04A0"/>
      </w:tblPr>
      <w:tblGrid>
        <w:gridCol w:w="3213"/>
        <w:gridCol w:w="3213"/>
        <w:gridCol w:w="3213"/>
      </w:tblGrid>
      <w:tr>
        <w:tc>
          <w:tcPr>
            <w:tcW w:type="dxa" w:w="2381"/>
            <w:shd w:fill="004A94" w:val="clear"/>
            <w:tcBorders>
              <w:top w:val="single" w:sz="4" w:color="d5dee8"/>
              <w:left w:val="single" w:sz="4" w:color="d5dee8"/>
              <w:bottom w:val="single" w:sz="4" w:color="d5dee8"/>
              <w:right w:val="single" w:sz="4" w:color="d5dee8"/>
            </w:tcBorders>
          </w:tcPr>
          <w:p>
            <w:pPr>
              <w:spacing w:before="60" w:after="60"/>
              <w:jc w:val="center"/>
            </w:pPr>
            <w:r/>
            <w:r>
              <w:rPr>
                <w:rFonts w:ascii="Calibri" w:hAnsi="Calibri" w:eastAsia="Calibri"/>
                <w:b/>
                <w:i w:val="0"/>
                <w:color w:val="FFFFFF"/>
                <w:sz w:val="20"/>
              </w:rPr>
              <w:t>Fonction</w:t>
            </w:r>
          </w:p>
        </w:tc>
        <w:tc>
          <w:tcPr>
            <w:tcW w:type="dxa" w:w="5386"/>
            <w:shd w:fill="004A94" w:val="clear"/>
            <w:tcBorders>
              <w:top w:val="single" w:sz="4" w:color="d5dee8"/>
              <w:left w:val="single" w:sz="4" w:color="d5dee8"/>
              <w:bottom w:val="single" w:sz="4" w:color="d5dee8"/>
              <w:right w:val="single" w:sz="4" w:color="d5dee8"/>
            </w:tcBorders>
          </w:tcPr>
          <w:p>
            <w:pPr>
              <w:spacing w:before="60" w:after="60"/>
              <w:jc w:val="center"/>
            </w:pPr>
            <w:r/>
            <w:r>
              <w:rPr>
                <w:rFonts w:ascii="Calibri" w:hAnsi="Calibri" w:eastAsia="Calibri"/>
                <w:b/>
                <w:i w:val="0"/>
                <w:color w:val="FFFFFF"/>
                <w:sz w:val="20"/>
              </w:rPr>
              <w:t>Domaine</w:t>
            </w:r>
          </w:p>
        </w:tc>
        <w:tc>
          <w:tcPr>
            <w:tcW w:type="dxa" w:w="1871"/>
            <w:shd w:fill="004A94" w:val="clear"/>
            <w:tcBorders>
              <w:top w:val="single" w:sz="4" w:color="d5dee8"/>
              <w:left w:val="single" w:sz="4" w:color="d5dee8"/>
              <w:bottom w:val="single" w:sz="4" w:color="d5dee8"/>
              <w:right w:val="single" w:sz="4" w:color="d5dee8"/>
            </w:tcBorders>
          </w:tcPr>
          <w:p>
            <w:pPr>
              <w:spacing w:before="60" w:after="60"/>
              <w:jc w:val="center"/>
            </w:pPr>
            <w:r/>
            <w:r>
              <w:rPr>
                <w:rFonts w:ascii="Calibri" w:hAnsi="Calibri" w:eastAsia="Calibri"/>
                <w:b/>
                <w:i w:val="0"/>
                <w:color w:val="FFFFFF"/>
                <w:sz w:val="20"/>
              </w:rPr>
              <w:t>Statut</w:t>
            </w:r>
          </w:p>
        </w:tc>
      </w:tr>
      <w:tr>
        <w:tc>
          <w:tcPr>
            <w:tcW w:type="dxa" w:w="2381"/>
            <w:shd w:fill="F4F8FC" w:val="clear"/>
            <w:tcBorders>
              <w:top w:val="single" w:sz="4" w:color="d5dee8"/>
              <w:left w:val="single" w:sz="4" w:color="d5dee8"/>
              <w:bottom w:val="single" w:sz="4" w:color="d5dee8"/>
              <w:right w:val="single" w:sz="4" w:color="d5dee8"/>
            </w:tcBorders>
          </w:tcPr>
          <w:p>
            <w:pPr>
              <w:spacing w:before="60" w:after="60"/>
              <w:jc w:val="left"/>
            </w:pPr>
            <w:r/>
            <w:r>
              <w:rPr>
                <w:rFonts w:ascii="Calibri" w:hAnsi="Calibri" w:eastAsia="Calibri"/>
                <w:b w:val="0"/>
                <w:i w:val="0"/>
                <w:color w:val="12263A"/>
                <w:sz w:val="20"/>
              </w:rPr>
              <w:t>Police judiciaire</w:t>
            </w:r>
          </w:p>
        </w:tc>
        <w:tc>
          <w:tcPr>
            <w:tcW w:type="dxa" w:w="5386"/>
            <w:shd w:fill="F4F8FC" w:val="clear"/>
            <w:tcBorders>
              <w:top w:val="single" w:sz="4" w:color="d5dee8"/>
              <w:left w:val="single" w:sz="4" w:color="d5dee8"/>
              <w:bottom w:val="single" w:sz="4" w:color="d5dee8"/>
              <w:right w:val="single" w:sz="4" w:color="d5dee8"/>
            </w:tcBorders>
          </w:tcPr>
          <w:p>
            <w:pPr>
              <w:spacing w:before="60" w:after="60"/>
              <w:jc w:val="left"/>
            </w:pPr>
            <w:r/>
            <w:r>
              <w:rPr>
                <w:rFonts w:ascii="Calibri" w:hAnsi="Calibri" w:eastAsia="Calibri"/>
                <w:b w:val="0"/>
                <w:i w:val="0"/>
                <w:color w:val="12263A"/>
                <w:sz w:val="20"/>
              </w:rPr>
              <w:t>Enquêtes, PV, scellés, interpellations</w:t>
            </w:r>
          </w:p>
        </w:tc>
        <w:tc>
          <w:tcPr>
            <w:tcW w:type="dxa" w:w="1871"/>
            <w:shd w:fill="F4F8FC" w:val="clear"/>
            <w:tcBorders>
              <w:top w:val="single" w:sz="4" w:color="d5dee8"/>
              <w:left w:val="single" w:sz="4" w:color="d5dee8"/>
              <w:bottom w:val="single" w:sz="4" w:color="d5dee8"/>
              <w:right w:val="single" w:sz="4" w:color="d5dee8"/>
            </w:tcBorders>
          </w:tcPr>
          <w:p>
            <w:pPr>
              <w:spacing w:before="60" w:after="60"/>
              <w:jc w:val="left"/>
            </w:pPr>
            <w:r/>
            <w:r>
              <w:rPr>
                <w:rFonts w:ascii="Calibri" w:hAnsi="Calibri" w:eastAsia="Calibri"/>
                <w:b w:val="0"/>
                <w:i w:val="0"/>
                <w:color w:val="12263A"/>
                <w:sz w:val="20"/>
              </w:rPr>
              <w:t>Prévu</w:t>
            </w:r>
          </w:p>
        </w:tc>
      </w:tr>
      <w:tr>
        <w:tc>
          <w:tcPr>
            <w:tcW w:type="dxa" w:w="2381"/>
            <w:shd w:fill="FFFFFF" w:val="clear"/>
            <w:tcBorders>
              <w:top w:val="single" w:sz="4" w:color="d5dee8"/>
              <w:left w:val="single" w:sz="4" w:color="d5dee8"/>
              <w:bottom w:val="single" w:sz="4" w:color="d5dee8"/>
              <w:right w:val="single" w:sz="4" w:color="d5dee8"/>
            </w:tcBorders>
          </w:tcPr>
          <w:p>
            <w:pPr>
              <w:spacing w:before="60" w:after="60"/>
              <w:jc w:val="left"/>
            </w:pPr>
            <w:r/>
            <w:r>
              <w:rPr>
                <w:rFonts w:ascii="Calibri" w:hAnsi="Calibri" w:eastAsia="Calibri"/>
                <w:b w:val="0"/>
                <w:i w:val="0"/>
                <w:color w:val="12263A"/>
                <w:sz w:val="20"/>
              </w:rPr>
              <w:t>Poursuites publiques</w:t>
            </w:r>
          </w:p>
        </w:tc>
        <w:tc>
          <w:tcPr>
            <w:tcW w:type="dxa" w:w="5386"/>
            <w:shd w:fill="FFFFFF" w:val="clear"/>
            <w:tcBorders>
              <w:top w:val="single" w:sz="4" w:color="d5dee8"/>
              <w:left w:val="single" w:sz="4" w:color="d5dee8"/>
              <w:bottom w:val="single" w:sz="4" w:color="d5dee8"/>
              <w:right w:val="single" w:sz="4" w:color="d5dee8"/>
            </w:tcBorders>
          </w:tcPr>
          <w:p>
            <w:pPr>
              <w:spacing w:before="60" w:after="60"/>
              <w:jc w:val="left"/>
            </w:pPr>
            <w:r/>
            <w:r>
              <w:rPr>
                <w:rFonts w:ascii="Calibri" w:hAnsi="Calibri" w:eastAsia="Calibri"/>
                <w:b w:val="0"/>
                <w:i w:val="0"/>
                <w:color w:val="12263A"/>
                <w:sz w:val="20"/>
              </w:rPr>
              <w:t>Parquet, classements, réquisitoires</w:t>
            </w:r>
          </w:p>
        </w:tc>
        <w:tc>
          <w:tcPr>
            <w:tcW w:type="dxa" w:w="1871"/>
            <w:shd w:fill="FFFFFF" w:val="clear"/>
            <w:tcBorders>
              <w:top w:val="single" w:sz="4" w:color="d5dee8"/>
              <w:left w:val="single" w:sz="4" w:color="d5dee8"/>
              <w:bottom w:val="single" w:sz="4" w:color="d5dee8"/>
              <w:right w:val="single" w:sz="4" w:color="d5dee8"/>
            </w:tcBorders>
          </w:tcPr>
          <w:p>
            <w:pPr>
              <w:spacing w:before="60" w:after="60"/>
              <w:jc w:val="left"/>
            </w:pPr>
            <w:r/>
            <w:r>
              <w:rPr>
                <w:rFonts w:ascii="Calibri" w:hAnsi="Calibri" w:eastAsia="Calibri"/>
                <w:b w:val="0"/>
                <w:i w:val="0"/>
                <w:color w:val="12263A"/>
                <w:sz w:val="20"/>
              </w:rPr>
              <w:t>Prévu</w:t>
            </w:r>
          </w:p>
        </w:tc>
      </w:tr>
      <w:tr>
        <w:tc>
          <w:tcPr>
            <w:tcW w:type="dxa" w:w="2381"/>
            <w:shd w:fill="F4F8FC" w:val="clear"/>
            <w:tcBorders>
              <w:top w:val="single" w:sz="4" w:color="d5dee8"/>
              <w:left w:val="single" w:sz="4" w:color="d5dee8"/>
              <w:bottom w:val="single" w:sz="4" w:color="d5dee8"/>
              <w:right w:val="single" w:sz="4" w:color="d5dee8"/>
            </w:tcBorders>
          </w:tcPr>
          <w:p>
            <w:pPr>
              <w:spacing w:before="60" w:after="60"/>
              <w:jc w:val="left"/>
            </w:pPr>
            <w:r/>
            <w:r>
              <w:rPr>
                <w:rFonts w:ascii="Calibri" w:hAnsi="Calibri" w:eastAsia="Calibri"/>
                <w:b w:val="0"/>
                <w:i w:val="0"/>
                <w:color w:val="12263A"/>
                <w:sz w:val="20"/>
              </w:rPr>
              <w:t>Instruction préparatoire</w:t>
            </w:r>
          </w:p>
        </w:tc>
        <w:tc>
          <w:tcPr>
            <w:tcW w:type="dxa" w:w="5386"/>
            <w:shd w:fill="F4F8FC" w:val="clear"/>
            <w:tcBorders>
              <w:top w:val="single" w:sz="4" w:color="d5dee8"/>
              <w:left w:val="single" w:sz="4" w:color="d5dee8"/>
              <w:bottom w:val="single" w:sz="4" w:color="d5dee8"/>
              <w:right w:val="single" w:sz="4" w:color="d5dee8"/>
            </w:tcBorders>
          </w:tcPr>
          <w:p>
            <w:pPr>
              <w:spacing w:before="60" w:after="60"/>
              <w:jc w:val="left"/>
            </w:pPr>
            <w:r/>
            <w:r>
              <w:rPr>
                <w:rFonts w:ascii="Calibri" w:hAnsi="Calibri" w:eastAsia="Calibri"/>
                <w:b w:val="0"/>
                <w:i w:val="0"/>
                <w:color w:val="12263A"/>
                <w:sz w:val="20"/>
              </w:rPr>
              <w:t>Mandats, commissions rogatoires</w:t>
            </w:r>
          </w:p>
        </w:tc>
        <w:tc>
          <w:tcPr>
            <w:tcW w:type="dxa" w:w="1871"/>
            <w:shd w:fill="F4F8FC" w:val="clear"/>
            <w:tcBorders>
              <w:top w:val="single" w:sz="4" w:color="d5dee8"/>
              <w:left w:val="single" w:sz="4" w:color="d5dee8"/>
              <w:bottom w:val="single" w:sz="4" w:color="d5dee8"/>
              <w:right w:val="single" w:sz="4" w:color="d5dee8"/>
            </w:tcBorders>
          </w:tcPr>
          <w:p>
            <w:pPr>
              <w:spacing w:before="60" w:after="60"/>
              <w:jc w:val="left"/>
            </w:pPr>
            <w:r/>
            <w:r>
              <w:rPr>
                <w:rFonts w:ascii="Calibri" w:hAnsi="Calibri" w:eastAsia="Calibri"/>
                <w:b w:val="0"/>
                <w:i w:val="0"/>
                <w:color w:val="12263A"/>
                <w:sz w:val="20"/>
              </w:rPr>
              <w:t>Prévu</w:t>
            </w:r>
          </w:p>
        </w:tc>
      </w:tr>
      <w:tr>
        <w:tc>
          <w:tcPr>
            <w:tcW w:type="dxa" w:w="2381"/>
            <w:shd w:fill="FFFFFF" w:val="clear"/>
            <w:tcBorders>
              <w:top w:val="single" w:sz="4" w:color="d5dee8"/>
              <w:left w:val="single" w:sz="4" w:color="d5dee8"/>
              <w:bottom w:val="single" w:sz="4" w:color="d5dee8"/>
              <w:right w:val="single" w:sz="4" w:color="d5dee8"/>
            </w:tcBorders>
          </w:tcPr>
          <w:p>
            <w:pPr>
              <w:spacing w:before="60" w:after="60"/>
              <w:jc w:val="left"/>
            </w:pPr>
            <w:r/>
            <w:r>
              <w:rPr>
                <w:rFonts w:ascii="Calibri" w:hAnsi="Calibri" w:eastAsia="Calibri"/>
                <w:b w:val="0"/>
                <w:i w:val="0"/>
                <w:color w:val="12263A"/>
                <w:sz w:val="20"/>
              </w:rPr>
              <w:t>Audiences et greffe</w:t>
            </w:r>
          </w:p>
        </w:tc>
        <w:tc>
          <w:tcPr>
            <w:tcW w:type="dxa" w:w="5386"/>
            <w:shd w:fill="FFFFFF" w:val="clear"/>
            <w:tcBorders>
              <w:top w:val="single" w:sz="4" w:color="d5dee8"/>
              <w:left w:val="single" w:sz="4" w:color="d5dee8"/>
              <w:bottom w:val="single" w:sz="4" w:color="d5dee8"/>
              <w:right w:val="single" w:sz="4" w:color="d5dee8"/>
            </w:tcBorders>
          </w:tcPr>
          <w:p>
            <w:pPr>
              <w:spacing w:before="60" w:after="60"/>
              <w:jc w:val="left"/>
            </w:pPr>
            <w:r/>
            <w:r>
              <w:rPr>
                <w:rFonts w:ascii="Calibri" w:hAnsi="Calibri" w:eastAsia="Calibri"/>
                <w:b w:val="0"/>
                <w:i w:val="0"/>
                <w:color w:val="12263A"/>
                <w:sz w:val="20"/>
              </w:rPr>
              <w:t>Rôle, convocations, minutes</w:t>
            </w:r>
          </w:p>
        </w:tc>
        <w:tc>
          <w:tcPr>
            <w:tcW w:type="dxa" w:w="1871"/>
            <w:shd w:fill="FFFFFF" w:val="clear"/>
            <w:tcBorders>
              <w:top w:val="single" w:sz="4" w:color="d5dee8"/>
              <w:left w:val="single" w:sz="4" w:color="d5dee8"/>
              <w:bottom w:val="single" w:sz="4" w:color="d5dee8"/>
              <w:right w:val="single" w:sz="4" w:color="d5dee8"/>
            </w:tcBorders>
          </w:tcPr>
          <w:p>
            <w:pPr>
              <w:spacing w:before="60" w:after="60"/>
              <w:jc w:val="left"/>
            </w:pPr>
            <w:r/>
            <w:r>
              <w:rPr>
                <w:rFonts w:ascii="Calibri" w:hAnsi="Calibri" w:eastAsia="Calibri"/>
                <w:b w:val="0"/>
                <w:i w:val="0"/>
                <w:color w:val="12263A"/>
                <w:sz w:val="20"/>
              </w:rPr>
              <w:t>Prévu</w:t>
            </w:r>
          </w:p>
        </w:tc>
      </w:tr>
      <w:tr>
        <w:tc>
          <w:tcPr>
            <w:tcW w:type="dxa" w:w="2381"/>
            <w:shd w:fill="F4F8FC" w:val="clear"/>
            <w:tcBorders>
              <w:top w:val="single" w:sz="4" w:color="d5dee8"/>
              <w:left w:val="single" w:sz="4" w:color="d5dee8"/>
              <w:bottom w:val="single" w:sz="4" w:color="d5dee8"/>
              <w:right w:val="single" w:sz="4" w:color="d5dee8"/>
            </w:tcBorders>
          </w:tcPr>
          <w:p>
            <w:pPr>
              <w:spacing w:before="60" w:after="60"/>
              <w:jc w:val="left"/>
            </w:pPr>
            <w:r/>
            <w:r>
              <w:rPr>
                <w:rFonts w:ascii="Calibri" w:hAnsi="Calibri" w:eastAsia="Calibri"/>
                <w:b w:val="0"/>
                <w:i w:val="0"/>
                <w:color w:val="12263A"/>
                <w:sz w:val="20"/>
              </w:rPr>
              <w:t>Jugements et arrêts</w:t>
            </w:r>
          </w:p>
        </w:tc>
        <w:tc>
          <w:tcPr>
            <w:tcW w:type="dxa" w:w="5386"/>
            <w:shd w:fill="F4F8FC" w:val="clear"/>
            <w:tcBorders>
              <w:top w:val="single" w:sz="4" w:color="d5dee8"/>
              <w:left w:val="single" w:sz="4" w:color="d5dee8"/>
              <w:bottom w:val="single" w:sz="4" w:color="d5dee8"/>
              <w:right w:val="single" w:sz="4" w:color="d5dee8"/>
            </w:tcBorders>
          </w:tcPr>
          <w:p>
            <w:pPr>
              <w:spacing w:before="60" w:after="60"/>
              <w:jc w:val="left"/>
            </w:pPr>
            <w:r/>
            <w:r>
              <w:rPr>
                <w:rFonts w:ascii="Calibri" w:hAnsi="Calibri" w:eastAsia="Calibri"/>
                <w:b w:val="0"/>
                <w:i w:val="0"/>
                <w:color w:val="12263A"/>
                <w:sz w:val="20"/>
              </w:rPr>
              <w:t>Rédaction, signification, recours</w:t>
            </w:r>
          </w:p>
        </w:tc>
        <w:tc>
          <w:tcPr>
            <w:tcW w:type="dxa" w:w="1871"/>
            <w:shd w:fill="F4F8FC" w:val="clear"/>
            <w:tcBorders>
              <w:top w:val="single" w:sz="4" w:color="d5dee8"/>
              <w:left w:val="single" w:sz="4" w:color="d5dee8"/>
              <w:bottom w:val="single" w:sz="4" w:color="d5dee8"/>
              <w:right w:val="single" w:sz="4" w:color="d5dee8"/>
            </w:tcBorders>
          </w:tcPr>
          <w:p>
            <w:pPr>
              <w:spacing w:before="60" w:after="60"/>
              <w:jc w:val="left"/>
            </w:pPr>
            <w:r/>
            <w:r>
              <w:rPr>
                <w:rFonts w:ascii="Calibri" w:hAnsi="Calibri" w:eastAsia="Calibri"/>
                <w:b w:val="0"/>
                <w:i w:val="0"/>
                <w:color w:val="12263A"/>
                <w:sz w:val="20"/>
              </w:rPr>
              <w:t>Prévu</w:t>
            </w:r>
          </w:p>
        </w:tc>
      </w:tr>
      <w:tr>
        <w:tc>
          <w:tcPr>
            <w:tcW w:type="dxa" w:w="2381"/>
            <w:shd w:fill="FFFFFF" w:val="clear"/>
            <w:tcBorders>
              <w:top w:val="single" w:sz="4" w:color="d5dee8"/>
              <w:left w:val="single" w:sz="4" w:color="d5dee8"/>
              <w:bottom w:val="single" w:sz="4" w:color="d5dee8"/>
              <w:right w:val="single" w:sz="4" w:color="d5dee8"/>
            </w:tcBorders>
          </w:tcPr>
          <w:p>
            <w:pPr>
              <w:spacing w:before="60" w:after="60"/>
              <w:jc w:val="left"/>
            </w:pPr>
            <w:r/>
            <w:r>
              <w:rPr>
                <w:rFonts w:ascii="Calibri" w:hAnsi="Calibri" w:eastAsia="Calibri"/>
                <w:b w:val="0"/>
                <w:i w:val="0"/>
                <w:color w:val="12263A"/>
                <w:sz w:val="20"/>
              </w:rPr>
              <w:t>Casier judiciaire</w:t>
            </w:r>
          </w:p>
        </w:tc>
        <w:tc>
          <w:tcPr>
            <w:tcW w:type="dxa" w:w="5386"/>
            <w:shd w:fill="FFFFFF" w:val="clear"/>
            <w:tcBorders>
              <w:top w:val="single" w:sz="4" w:color="d5dee8"/>
              <w:left w:val="single" w:sz="4" w:color="d5dee8"/>
              <w:bottom w:val="single" w:sz="4" w:color="d5dee8"/>
              <w:right w:val="single" w:sz="4" w:color="d5dee8"/>
            </w:tcBorders>
          </w:tcPr>
          <w:p>
            <w:pPr>
              <w:spacing w:before="60" w:after="60"/>
              <w:jc w:val="left"/>
            </w:pPr>
            <w:r/>
            <w:r>
              <w:rPr>
                <w:rFonts w:ascii="Calibri" w:hAnsi="Calibri" w:eastAsia="Calibri"/>
                <w:b w:val="0"/>
                <w:i w:val="0"/>
                <w:color w:val="12263A"/>
                <w:sz w:val="20"/>
              </w:rPr>
              <w:t>Mentions, extraits, réhabilitation</w:t>
            </w:r>
          </w:p>
        </w:tc>
        <w:tc>
          <w:tcPr>
            <w:tcW w:type="dxa" w:w="1871"/>
            <w:shd w:fill="FFFFFF" w:val="clear"/>
            <w:tcBorders>
              <w:top w:val="single" w:sz="4" w:color="d5dee8"/>
              <w:left w:val="single" w:sz="4" w:color="d5dee8"/>
              <w:bottom w:val="single" w:sz="4" w:color="d5dee8"/>
              <w:right w:val="single" w:sz="4" w:color="d5dee8"/>
            </w:tcBorders>
          </w:tcPr>
          <w:p>
            <w:pPr>
              <w:spacing w:before="60" w:after="60"/>
              <w:jc w:val="left"/>
            </w:pPr>
            <w:r/>
            <w:r>
              <w:rPr>
                <w:rFonts w:ascii="Calibri" w:hAnsi="Calibri" w:eastAsia="Calibri"/>
                <w:b w:val="0"/>
                <w:i w:val="0"/>
                <w:color w:val="12263A"/>
                <w:sz w:val="20"/>
              </w:rPr>
              <w:t>Prévu</w:t>
            </w:r>
          </w:p>
        </w:tc>
      </w:tr>
      <w:tr>
        <w:tc>
          <w:tcPr>
            <w:tcW w:type="dxa" w:w="2381"/>
            <w:shd w:fill="F4F8FC" w:val="clear"/>
            <w:tcBorders>
              <w:top w:val="single" w:sz="4" w:color="d5dee8"/>
              <w:left w:val="single" w:sz="4" w:color="d5dee8"/>
              <w:bottom w:val="single" w:sz="4" w:color="d5dee8"/>
              <w:right w:val="single" w:sz="4" w:color="d5dee8"/>
            </w:tcBorders>
          </w:tcPr>
          <w:p>
            <w:pPr>
              <w:spacing w:before="60" w:after="60"/>
              <w:jc w:val="left"/>
            </w:pPr>
            <w:r/>
            <w:r>
              <w:rPr>
                <w:rFonts w:ascii="Calibri" w:hAnsi="Calibri" w:eastAsia="Calibri"/>
                <w:b w:val="0"/>
                <w:i w:val="0"/>
                <w:color w:val="12263A"/>
                <w:sz w:val="20"/>
              </w:rPr>
              <w:t>e-Detenu</w:t>
            </w:r>
          </w:p>
        </w:tc>
        <w:tc>
          <w:tcPr>
            <w:tcW w:type="dxa" w:w="5386"/>
            <w:shd w:fill="F4F8FC" w:val="clear"/>
            <w:tcBorders>
              <w:top w:val="single" w:sz="4" w:color="d5dee8"/>
              <w:left w:val="single" w:sz="4" w:color="d5dee8"/>
              <w:bottom w:val="single" w:sz="4" w:color="d5dee8"/>
              <w:right w:val="single" w:sz="4" w:color="d5dee8"/>
            </w:tcBorders>
          </w:tcPr>
          <w:p>
            <w:pPr>
              <w:spacing w:before="60" w:after="60"/>
              <w:jc w:val="left"/>
            </w:pPr>
            <w:r/>
            <w:r>
              <w:rPr>
                <w:rFonts w:ascii="Calibri" w:hAnsi="Calibri" w:eastAsia="Calibri"/>
                <w:b w:val="0"/>
                <w:i w:val="0"/>
                <w:color w:val="12263A"/>
                <w:sz w:val="20"/>
              </w:rPr>
              <w:t>Centres, fiches, visites, personnel, surveillance</w:t>
            </w:r>
          </w:p>
        </w:tc>
        <w:tc>
          <w:tcPr>
            <w:tcW w:type="dxa" w:w="1871"/>
            <w:shd w:fill="F4F8FC" w:val="clear"/>
            <w:tcBorders>
              <w:top w:val="single" w:sz="4" w:color="d5dee8"/>
              <w:left w:val="single" w:sz="4" w:color="d5dee8"/>
              <w:bottom w:val="single" w:sz="4" w:color="d5dee8"/>
              <w:right w:val="single" w:sz="4" w:color="d5dee8"/>
            </w:tcBorders>
          </w:tcPr>
          <w:p>
            <w:pPr>
              <w:spacing w:before="60" w:after="60"/>
              <w:jc w:val="left"/>
            </w:pPr>
            <w:r/>
            <w:r>
              <w:rPr>
                <w:rFonts w:ascii="Calibri" w:hAnsi="Calibri" w:eastAsia="Calibri"/>
                <w:b w:val="0"/>
                <w:i w:val="0"/>
                <w:color w:val="12263A"/>
                <w:sz w:val="20"/>
              </w:rPr>
              <w:t>Opérationnel</w:t>
            </w:r>
          </w:p>
        </w:tc>
      </w:tr>
      <w:tr>
        <w:tc>
          <w:tcPr>
            <w:tcW w:type="dxa" w:w="2381"/>
            <w:shd w:fill="FFFFFF" w:val="clear"/>
            <w:tcBorders>
              <w:top w:val="single" w:sz="4" w:color="d5dee8"/>
              <w:left w:val="single" w:sz="4" w:color="d5dee8"/>
              <w:bottom w:val="single" w:sz="4" w:color="d5dee8"/>
              <w:right w:val="single" w:sz="4" w:color="d5dee8"/>
            </w:tcBorders>
          </w:tcPr>
          <w:p>
            <w:pPr>
              <w:spacing w:before="60" w:after="60"/>
              <w:jc w:val="left"/>
            </w:pPr>
            <w:r/>
            <w:r>
              <w:rPr>
                <w:rFonts w:ascii="Calibri" w:hAnsi="Calibri" w:eastAsia="Calibri"/>
                <w:b w:val="0"/>
                <w:i w:val="0"/>
                <w:color w:val="12263A"/>
                <w:sz w:val="20"/>
              </w:rPr>
              <w:t>Justice civile</w:t>
            </w:r>
          </w:p>
        </w:tc>
        <w:tc>
          <w:tcPr>
            <w:tcW w:type="dxa" w:w="5386"/>
            <w:shd w:fill="FFFFFF" w:val="clear"/>
            <w:tcBorders>
              <w:top w:val="single" w:sz="4" w:color="d5dee8"/>
              <w:left w:val="single" w:sz="4" w:color="d5dee8"/>
              <w:bottom w:val="single" w:sz="4" w:color="d5dee8"/>
              <w:right w:val="single" w:sz="4" w:color="d5dee8"/>
            </w:tcBorders>
          </w:tcPr>
          <w:p>
            <w:pPr>
              <w:spacing w:before="60" w:after="60"/>
              <w:jc w:val="left"/>
            </w:pPr>
            <w:r/>
            <w:r>
              <w:rPr>
                <w:rFonts w:ascii="Calibri" w:hAnsi="Calibri" w:eastAsia="Calibri"/>
                <w:b w:val="0"/>
                <w:i w:val="0"/>
                <w:color w:val="12263A"/>
                <w:sz w:val="20"/>
              </w:rPr>
              <w:t>Assignations, référés, contentieux</w:t>
            </w:r>
          </w:p>
        </w:tc>
        <w:tc>
          <w:tcPr>
            <w:tcW w:type="dxa" w:w="1871"/>
            <w:shd w:fill="FFFFFF" w:val="clear"/>
            <w:tcBorders>
              <w:top w:val="single" w:sz="4" w:color="d5dee8"/>
              <w:left w:val="single" w:sz="4" w:color="d5dee8"/>
              <w:bottom w:val="single" w:sz="4" w:color="d5dee8"/>
              <w:right w:val="single" w:sz="4" w:color="d5dee8"/>
            </w:tcBorders>
          </w:tcPr>
          <w:p>
            <w:pPr>
              <w:spacing w:before="60" w:after="60"/>
              <w:jc w:val="left"/>
            </w:pPr>
            <w:r/>
            <w:r>
              <w:rPr>
                <w:rFonts w:ascii="Calibri" w:hAnsi="Calibri" w:eastAsia="Calibri"/>
                <w:b w:val="0"/>
                <w:i w:val="0"/>
                <w:color w:val="12263A"/>
                <w:sz w:val="20"/>
              </w:rPr>
              <w:t>Prévu</w:t>
            </w:r>
          </w:p>
        </w:tc>
      </w:tr>
      <w:tr>
        <w:tc>
          <w:tcPr>
            <w:tcW w:type="dxa" w:w="2381"/>
            <w:shd w:fill="F4F8FC" w:val="clear"/>
            <w:tcBorders>
              <w:top w:val="single" w:sz="4" w:color="d5dee8"/>
              <w:left w:val="single" w:sz="4" w:color="d5dee8"/>
              <w:bottom w:val="single" w:sz="4" w:color="d5dee8"/>
              <w:right w:val="single" w:sz="4" w:color="d5dee8"/>
            </w:tcBorders>
          </w:tcPr>
          <w:p>
            <w:pPr>
              <w:spacing w:before="60" w:after="60"/>
              <w:jc w:val="left"/>
            </w:pPr>
            <w:r/>
            <w:r>
              <w:rPr>
                <w:rFonts w:ascii="Calibri" w:hAnsi="Calibri" w:eastAsia="Calibri"/>
                <w:b w:val="0"/>
                <w:i w:val="0"/>
                <w:color w:val="12263A"/>
                <w:sz w:val="20"/>
              </w:rPr>
              <w:t>Aide juridictionnelle</w:t>
            </w:r>
          </w:p>
        </w:tc>
        <w:tc>
          <w:tcPr>
            <w:tcW w:type="dxa" w:w="5386"/>
            <w:shd w:fill="F4F8FC" w:val="clear"/>
            <w:tcBorders>
              <w:top w:val="single" w:sz="4" w:color="d5dee8"/>
              <w:left w:val="single" w:sz="4" w:color="d5dee8"/>
              <w:bottom w:val="single" w:sz="4" w:color="d5dee8"/>
              <w:right w:val="single" w:sz="4" w:color="d5dee8"/>
            </w:tcBorders>
          </w:tcPr>
          <w:p>
            <w:pPr>
              <w:spacing w:before="60" w:after="60"/>
              <w:jc w:val="left"/>
            </w:pPr>
            <w:r/>
            <w:r>
              <w:rPr>
                <w:rFonts w:ascii="Calibri" w:hAnsi="Calibri" w:eastAsia="Calibri"/>
                <w:b w:val="0"/>
                <w:i w:val="0"/>
                <w:color w:val="12263A"/>
                <w:sz w:val="20"/>
              </w:rPr>
              <w:t>Demandes d’aide, commission d’office</w:t>
            </w:r>
          </w:p>
        </w:tc>
        <w:tc>
          <w:tcPr>
            <w:tcW w:type="dxa" w:w="1871"/>
            <w:shd w:fill="F4F8FC" w:val="clear"/>
            <w:tcBorders>
              <w:top w:val="single" w:sz="4" w:color="d5dee8"/>
              <w:left w:val="single" w:sz="4" w:color="d5dee8"/>
              <w:bottom w:val="single" w:sz="4" w:color="d5dee8"/>
              <w:right w:val="single" w:sz="4" w:color="d5dee8"/>
            </w:tcBorders>
          </w:tcPr>
          <w:p>
            <w:pPr>
              <w:spacing w:before="60" w:after="60"/>
              <w:jc w:val="left"/>
            </w:pPr>
            <w:r/>
            <w:r>
              <w:rPr>
                <w:rFonts w:ascii="Calibri" w:hAnsi="Calibri" w:eastAsia="Calibri"/>
                <w:b w:val="0"/>
                <w:i w:val="0"/>
                <w:color w:val="12263A"/>
                <w:sz w:val="20"/>
              </w:rPr>
              <w:t>Prévu</w:t>
            </w:r>
          </w:p>
        </w:tc>
      </w:tr>
      <w:tr>
        <w:tc>
          <w:tcPr>
            <w:tcW w:type="dxa" w:w="2381"/>
            <w:shd w:fill="FFFFFF" w:val="clear"/>
            <w:tcBorders>
              <w:top w:val="single" w:sz="4" w:color="d5dee8"/>
              <w:left w:val="single" w:sz="4" w:color="d5dee8"/>
              <w:bottom w:val="single" w:sz="4" w:color="d5dee8"/>
              <w:right w:val="single" w:sz="4" w:color="d5dee8"/>
            </w:tcBorders>
          </w:tcPr>
          <w:p>
            <w:pPr>
              <w:spacing w:before="60" w:after="60"/>
              <w:jc w:val="left"/>
            </w:pPr>
            <w:r/>
            <w:r>
              <w:rPr>
                <w:rFonts w:ascii="Calibri" w:hAnsi="Calibri" w:eastAsia="Calibri"/>
                <w:b w:val="0"/>
                <w:i w:val="0"/>
                <w:color w:val="12263A"/>
                <w:sz w:val="20"/>
              </w:rPr>
              <w:t>Pilotage</w:t>
            </w:r>
          </w:p>
        </w:tc>
        <w:tc>
          <w:tcPr>
            <w:tcW w:type="dxa" w:w="5386"/>
            <w:shd w:fill="FFFFFF" w:val="clear"/>
            <w:tcBorders>
              <w:top w:val="single" w:sz="4" w:color="d5dee8"/>
              <w:left w:val="single" w:sz="4" w:color="d5dee8"/>
              <w:bottom w:val="single" w:sz="4" w:color="d5dee8"/>
              <w:right w:val="single" w:sz="4" w:color="d5dee8"/>
            </w:tcBorders>
          </w:tcPr>
          <w:p>
            <w:pPr>
              <w:spacing w:before="60" w:after="60"/>
              <w:jc w:val="left"/>
            </w:pPr>
            <w:r/>
            <w:r>
              <w:rPr>
                <w:rFonts w:ascii="Calibri" w:hAnsi="Calibri" w:eastAsia="Calibri"/>
                <w:b w:val="0"/>
                <w:i w:val="0"/>
                <w:color w:val="12263A"/>
                <w:sz w:val="20"/>
              </w:rPr>
              <w:t>Statistiques nationales et délais de justice</w:t>
            </w:r>
          </w:p>
        </w:tc>
        <w:tc>
          <w:tcPr>
            <w:tcW w:type="dxa" w:w="1871"/>
            <w:shd w:fill="FFFFFF" w:val="clear"/>
            <w:tcBorders>
              <w:top w:val="single" w:sz="4" w:color="d5dee8"/>
              <w:left w:val="single" w:sz="4" w:color="d5dee8"/>
              <w:bottom w:val="single" w:sz="4" w:color="d5dee8"/>
              <w:right w:val="single" w:sz="4" w:color="d5dee8"/>
            </w:tcBorders>
          </w:tcPr>
          <w:p>
            <w:pPr>
              <w:spacing w:before="60" w:after="60"/>
              <w:jc w:val="left"/>
            </w:pPr>
            <w:r/>
            <w:r>
              <w:rPr>
                <w:rFonts w:ascii="Calibri" w:hAnsi="Calibri" w:eastAsia="Calibri"/>
                <w:b w:val="0"/>
                <w:i w:val="0"/>
                <w:color w:val="12263A"/>
                <w:sz w:val="20"/>
              </w:rPr>
              <w:t>Prévu</w:t>
            </w:r>
          </w:p>
        </w:tc>
      </w:tr>
    </w:tbl>
    <w:p>
      <w:pPr>
        <w:spacing w:before="40" w:after="200"/>
        <w:jc w:val="center"/>
      </w:pPr>
      <w:r>
        <w:rPr>
          <w:rFonts w:ascii="Calibri" w:hAnsi="Calibri" w:eastAsia="Calibri"/>
          <w:b w:val="0"/>
          <w:i/>
          <w:color w:val="5B6B7C"/>
          <w:sz w:val="18"/>
        </w:rPr>
        <w:t>Tableau 1 — Architecture fonctionnelle de e-Justice</w:t>
      </w:r>
    </w:p>
    <w:p>
      <w:pPr>
        <w:spacing w:after="160" w:before="0" w:line="276" w:lineRule="auto"/>
        <w:jc w:val="both"/>
      </w:pPr>
      <w:r>
        <w:rPr>
          <w:rFonts w:ascii="Calibri" w:hAnsi="Calibri" w:eastAsia="Calibri"/>
          <w:b w:val="0"/>
          <w:i w:val="0"/>
          <w:color w:val="12263A"/>
          <w:sz w:val="22"/>
        </w:rPr>
        <w:t>Cette organisation permet d’éviter les silos : lorsqu’un dossier judiciaire aboutit à une incarcération, e-Detenu en assure l’exécution ; à terme, le casier et les statistiques nationales s’alimenteront des mêmes données.</w:t>
      </w:r>
    </w:p>
    <w:p>
      <w:pPr>
        <w:keepNext/>
        <w:spacing w:before="320" w:after="160"/>
        <w:pBdr>
          <w:bottom w:val="single" w:sz="12" w:space="4" w:color="0066C7"/>
        </w:pBdr>
      </w:pPr>
      <w:r>
        <w:rPr>
          <w:rFonts w:ascii="Calibri" w:hAnsi="Calibri" w:eastAsia="Calibri"/>
          <w:b/>
          <w:i w:val="0"/>
          <w:color w:val="004A94"/>
          <w:sz w:val="32"/>
        </w:rPr>
        <w:t>4.  Le module e-Detenu</w:t>
      </w:r>
    </w:p>
    <w:p>
      <w:pPr>
        <w:spacing w:after="160" w:before="0" w:line="276" w:lineRule="auto"/>
        <w:jc w:val="both"/>
      </w:pPr>
      <w:r>
        <w:rPr>
          <w:rFonts w:ascii="Calibri" w:hAnsi="Calibri" w:eastAsia="Calibri"/>
          <w:b w:val="0"/>
          <w:i w:val="0"/>
          <w:color w:val="12263A"/>
          <w:sz w:val="22"/>
        </w:rPr>
        <w:t>e-Detenu est le système de gestion des centres pénitenciers. Il couvre l’identité du détenu, le dossier judiciaire joint à l’écrou, l’affectation en cellule selon la structure de la prison, les visites, le personnel du centre, la surveillance et les documents officiels (fiche d’identité, listes PDF).</w:t>
      </w:r>
    </w:p>
    <w:p>
      <w:pPr>
        <w:keepNext/>
        <w:spacing w:before="240" w:after="160"/>
      </w:pPr>
      <w:r>
        <w:rPr>
          <w:rFonts w:ascii="Calibri" w:hAnsi="Calibri" w:eastAsia="Calibri"/>
          <w:b/>
          <w:i w:val="0"/>
          <w:color w:val="003366"/>
          <w:sz w:val="26"/>
        </w:rPr>
        <w:t>4.1  Principes directeurs</w:t>
      </w:r>
    </w:p>
    <w:p>
      <w:pPr>
        <w:spacing w:after="80" w:line="264" w:lineRule="auto"/>
        <w:ind w:left="425"/>
      </w:pPr>
      <w:r>
        <w:rPr>
          <w:rFonts w:ascii="Calibri" w:hAnsi="Calibri" w:eastAsia="Calibri"/>
          <w:b/>
          <w:i w:val="0"/>
          <w:color w:val="004A94"/>
          <w:sz w:val="22"/>
        </w:rPr>
        <w:t>•  National :</w:t>
      </w:r>
      <w:r>
        <w:rPr>
          <w:rFonts w:ascii="Calibri" w:hAnsi="Calibri" w:eastAsia="Calibri"/>
          <w:b w:val="0"/>
          <w:i w:val="0"/>
          <w:color w:val="12263A"/>
          <w:sz w:val="22"/>
        </w:rPr>
        <w:t xml:space="preserve"> un administrateur central voit l’ensemble du réseau, crée les prisons et nomme les administrateurs de centre ; il ne saisit pas le quotidien d’une prison.</w:t>
      </w:r>
    </w:p>
    <w:p>
      <w:pPr>
        <w:spacing w:after="80" w:line="264" w:lineRule="auto"/>
        <w:ind w:left="425"/>
      </w:pPr>
      <w:r>
        <w:rPr>
          <w:rFonts w:ascii="Calibri" w:hAnsi="Calibri" w:eastAsia="Calibri"/>
          <w:b/>
          <w:i w:val="0"/>
          <w:color w:val="004A94"/>
          <w:sz w:val="22"/>
        </w:rPr>
        <w:t>•  Local :</w:t>
      </w:r>
      <w:r>
        <w:rPr>
          <w:rFonts w:ascii="Calibri" w:hAnsi="Calibri" w:eastAsia="Calibri"/>
          <w:b w:val="0"/>
          <w:i w:val="0"/>
          <w:color w:val="12263A"/>
          <w:sz w:val="22"/>
        </w:rPr>
        <w:t xml:space="preserve"> chaque admin de prison n’agit que sur son établissement (détenus, personnel, visites).</w:t>
      </w:r>
    </w:p>
    <w:p>
      <w:pPr>
        <w:spacing w:after="80" w:line="264" w:lineRule="auto"/>
        <w:ind w:left="425"/>
      </w:pPr>
      <w:r>
        <w:rPr>
          <w:rFonts w:ascii="Calibri" w:hAnsi="Calibri" w:eastAsia="Calibri"/>
          <w:b/>
          <w:i w:val="0"/>
          <w:color w:val="004A94"/>
          <w:sz w:val="22"/>
        </w:rPr>
        <w:t>•  Opérationnel :</w:t>
      </w:r>
      <w:r>
        <w:rPr>
          <w:rFonts w:ascii="Calibri" w:hAnsi="Calibri" w:eastAsia="Calibri"/>
          <w:b w:val="0"/>
          <w:i w:val="0"/>
          <w:color w:val="12263A"/>
          <w:sz w:val="22"/>
        </w:rPr>
        <w:t xml:space="preserve"> les écrans sont conçus pour un usage de guichet : listes compactes, fiches à onglets, actions immédiates.</w:t>
      </w:r>
    </w:p>
    <w:p>
      <w:pPr>
        <w:spacing w:after="80" w:line="264" w:lineRule="auto"/>
        <w:ind w:left="425"/>
      </w:pPr>
      <w:r>
        <w:rPr>
          <w:rFonts w:ascii="Calibri" w:hAnsi="Calibri" w:eastAsia="Calibri"/>
          <w:b/>
          <w:i w:val="0"/>
          <w:color w:val="004A94"/>
          <w:sz w:val="22"/>
        </w:rPr>
        <w:t>•  Souverain :</w:t>
      </w:r>
      <w:r>
        <w:rPr>
          <w:rFonts w:ascii="Calibri" w:hAnsi="Calibri" w:eastAsia="Calibri"/>
          <w:b w:val="0"/>
          <w:i w:val="0"/>
          <w:color w:val="12263A"/>
          <w:sz w:val="22"/>
        </w:rPr>
        <w:t xml:space="preserve"> l’interface reprend les couleurs du drapeau national (bleu, jaune, rouge) pour un usage institutionnel.</w:t>
      </w:r>
    </w:p>
    <w:p>
      <w:pPr>
        <w:keepNext/>
        <w:spacing w:before="320" w:after="160"/>
        <w:pBdr>
          <w:bottom w:val="single" w:sz="12" w:space="4" w:color="0066C7"/>
        </w:pBdr>
      </w:pPr>
      <w:r>
        <w:rPr>
          <w:rFonts w:ascii="Calibri" w:hAnsi="Calibri" w:eastAsia="Calibri"/>
          <w:b/>
          <w:i w:val="0"/>
          <w:color w:val="004A94"/>
          <w:sz w:val="32"/>
        </w:rPr>
        <w:t>5.  Gouvernance et acteurs</w:t>
      </w:r>
    </w:p>
    <w:p>
      <w:pPr>
        <w:spacing w:after="160" w:before="0" w:line="276" w:lineRule="auto"/>
        <w:jc w:val="both"/>
      </w:pPr>
      <w:r>
        <w:rPr>
          <w:rFonts w:ascii="Calibri" w:hAnsi="Calibri" w:eastAsia="Calibri"/>
          <w:b w:val="0"/>
          <w:i w:val="0"/>
          <w:color w:val="12263A"/>
          <w:sz w:val="22"/>
        </w:rPr>
        <w:t>Les droits d’accès suivent le rôle métier. Un même logiciel sert le niveau national et le niveau de la prison, sans mélanger les écritures.</w:t>
      </w:r>
    </w:p>
    <w:tbl>
      <w:tblPr>
        <w:tblW w:type="auto" w:w="0"/>
        <w:jc w:val="center"/>
        <w:tblLayout w:type="autofit"/>
        <w:tblLook w:firstColumn="1" w:firstRow="1" w:lastColumn="0" w:lastRow="0" w:noHBand="0" w:noVBand="1" w:val="04A0"/>
      </w:tblPr>
      <w:tblGrid>
        <w:gridCol w:w="3213"/>
        <w:gridCol w:w="3213"/>
        <w:gridCol w:w="3213"/>
      </w:tblGrid>
      <w:tr>
        <w:tc>
          <w:tcPr>
            <w:tcW w:type="dxa" w:w="2268"/>
            <w:shd w:fill="004A94" w:val="clear"/>
            <w:tcBorders>
              <w:top w:val="single" w:sz="4" w:color="d5dee8"/>
              <w:left w:val="single" w:sz="4" w:color="d5dee8"/>
              <w:bottom w:val="single" w:sz="4" w:color="d5dee8"/>
              <w:right w:val="single" w:sz="4" w:color="d5dee8"/>
            </w:tcBorders>
          </w:tcPr>
          <w:p>
            <w:pPr>
              <w:spacing w:before="60" w:after="60"/>
              <w:jc w:val="center"/>
            </w:pPr>
            <w:r/>
            <w:r>
              <w:rPr>
                <w:rFonts w:ascii="Calibri" w:hAnsi="Calibri" w:eastAsia="Calibri"/>
                <w:b/>
                <w:i w:val="0"/>
                <w:color w:val="FFFFFF"/>
                <w:sz w:val="20"/>
              </w:rPr>
              <w:t>Acteur</w:t>
            </w:r>
          </w:p>
        </w:tc>
        <w:tc>
          <w:tcPr>
            <w:tcW w:type="dxa" w:w="3685"/>
            <w:shd w:fill="004A94" w:val="clear"/>
            <w:tcBorders>
              <w:top w:val="single" w:sz="4" w:color="d5dee8"/>
              <w:left w:val="single" w:sz="4" w:color="d5dee8"/>
              <w:bottom w:val="single" w:sz="4" w:color="d5dee8"/>
              <w:right w:val="single" w:sz="4" w:color="d5dee8"/>
            </w:tcBorders>
          </w:tcPr>
          <w:p>
            <w:pPr>
              <w:spacing w:before="60" w:after="60"/>
              <w:jc w:val="center"/>
            </w:pPr>
            <w:r/>
            <w:r>
              <w:rPr>
                <w:rFonts w:ascii="Calibri" w:hAnsi="Calibri" w:eastAsia="Calibri"/>
                <w:b/>
                <w:i w:val="0"/>
                <w:color w:val="FFFFFF"/>
                <w:sz w:val="20"/>
              </w:rPr>
              <w:t>Rôle dans e-Detenu</w:t>
            </w:r>
          </w:p>
        </w:tc>
        <w:tc>
          <w:tcPr>
            <w:tcW w:type="dxa" w:w="3685"/>
            <w:shd w:fill="004A94" w:val="clear"/>
            <w:tcBorders>
              <w:top w:val="single" w:sz="4" w:color="d5dee8"/>
              <w:left w:val="single" w:sz="4" w:color="d5dee8"/>
              <w:bottom w:val="single" w:sz="4" w:color="d5dee8"/>
              <w:right w:val="single" w:sz="4" w:color="d5dee8"/>
            </w:tcBorders>
          </w:tcPr>
          <w:p>
            <w:pPr>
              <w:spacing w:before="60" w:after="60"/>
              <w:jc w:val="center"/>
            </w:pPr>
            <w:r/>
            <w:r>
              <w:rPr>
                <w:rFonts w:ascii="Calibri" w:hAnsi="Calibri" w:eastAsia="Calibri"/>
                <w:b/>
                <w:i w:val="0"/>
                <w:color w:val="FFFFFF"/>
                <w:sz w:val="20"/>
              </w:rPr>
              <w:t>Peut créer / modifier</w:t>
            </w:r>
          </w:p>
        </w:tc>
      </w:tr>
      <w:tr>
        <w:tc>
          <w:tcPr>
            <w:tcW w:type="dxa" w:w="2268"/>
            <w:shd w:fill="F4F8FC" w:val="clear"/>
            <w:tcBorders>
              <w:top w:val="single" w:sz="4" w:color="d5dee8"/>
              <w:left w:val="single" w:sz="4" w:color="d5dee8"/>
              <w:bottom w:val="single" w:sz="4" w:color="d5dee8"/>
              <w:right w:val="single" w:sz="4" w:color="d5dee8"/>
            </w:tcBorders>
          </w:tcPr>
          <w:p>
            <w:pPr>
              <w:spacing w:before="60" w:after="60"/>
              <w:jc w:val="left"/>
            </w:pPr>
            <w:r/>
            <w:r>
              <w:rPr>
                <w:rFonts w:ascii="Calibri" w:hAnsi="Calibri" w:eastAsia="Calibri"/>
                <w:b w:val="0"/>
                <w:i w:val="0"/>
                <w:color w:val="12263A"/>
                <w:sz w:val="20"/>
              </w:rPr>
              <w:t>Administrateur central</w:t>
            </w:r>
          </w:p>
        </w:tc>
        <w:tc>
          <w:tcPr>
            <w:tcW w:type="dxa" w:w="3685"/>
            <w:shd w:fill="F4F8FC" w:val="clear"/>
            <w:tcBorders>
              <w:top w:val="single" w:sz="4" w:color="d5dee8"/>
              <w:left w:val="single" w:sz="4" w:color="d5dee8"/>
              <w:bottom w:val="single" w:sz="4" w:color="d5dee8"/>
              <w:right w:val="single" w:sz="4" w:color="d5dee8"/>
            </w:tcBorders>
          </w:tcPr>
          <w:p>
            <w:pPr>
              <w:spacing w:before="60" w:after="60"/>
              <w:jc w:val="left"/>
            </w:pPr>
            <w:r/>
            <w:r>
              <w:rPr>
                <w:rFonts w:ascii="Calibri" w:hAnsi="Calibri" w:eastAsia="Calibri"/>
                <w:b w:val="0"/>
                <w:i w:val="0"/>
                <w:color w:val="12263A"/>
                <w:sz w:val="20"/>
              </w:rPr>
              <w:t>Pilotage national, consultation de toutes les prisons</w:t>
            </w:r>
          </w:p>
        </w:tc>
        <w:tc>
          <w:tcPr>
            <w:tcW w:type="dxa" w:w="3685"/>
            <w:shd w:fill="F4F8FC" w:val="clear"/>
            <w:tcBorders>
              <w:top w:val="single" w:sz="4" w:color="d5dee8"/>
              <w:left w:val="single" w:sz="4" w:color="d5dee8"/>
              <w:bottom w:val="single" w:sz="4" w:color="d5dee8"/>
              <w:right w:val="single" w:sz="4" w:color="d5dee8"/>
            </w:tcBorders>
          </w:tcPr>
          <w:p>
            <w:pPr>
              <w:spacing w:before="60" w:after="60"/>
              <w:jc w:val="left"/>
            </w:pPr>
            <w:r/>
            <w:r>
              <w:rPr>
                <w:rFonts w:ascii="Calibri" w:hAnsi="Calibri" w:eastAsia="Calibri"/>
                <w:b w:val="0"/>
                <w:i w:val="0"/>
                <w:color w:val="12263A"/>
                <w:sz w:val="20"/>
              </w:rPr>
              <w:t>Centres pénitenciers et administrateurs de prison</w:t>
            </w:r>
          </w:p>
        </w:tc>
      </w:tr>
      <w:tr>
        <w:tc>
          <w:tcPr>
            <w:tcW w:type="dxa" w:w="2268"/>
            <w:shd w:fill="FFFFFF" w:val="clear"/>
            <w:tcBorders>
              <w:top w:val="single" w:sz="4" w:color="d5dee8"/>
              <w:left w:val="single" w:sz="4" w:color="d5dee8"/>
              <w:bottom w:val="single" w:sz="4" w:color="d5dee8"/>
              <w:right w:val="single" w:sz="4" w:color="d5dee8"/>
            </w:tcBorders>
          </w:tcPr>
          <w:p>
            <w:pPr>
              <w:spacing w:before="60" w:after="60"/>
              <w:jc w:val="left"/>
            </w:pPr>
            <w:r/>
            <w:r>
              <w:rPr>
                <w:rFonts w:ascii="Calibri" w:hAnsi="Calibri" w:eastAsia="Calibri"/>
                <w:b w:val="0"/>
                <w:i w:val="0"/>
                <w:color w:val="12263A"/>
                <w:sz w:val="20"/>
              </w:rPr>
              <w:t>Administrateur de prison</w:t>
            </w:r>
          </w:p>
        </w:tc>
        <w:tc>
          <w:tcPr>
            <w:tcW w:type="dxa" w:w="3685"/>
            <w:shd w:fill="FFFFFF" w:val="clear"/>
            <w:tcBorders>
              <w:top w:val="single" w:sz="4" w:color="d5dee8"/>
              <w:left w:val="single" w:sz="4" w:color="d5dee8"/>
              <w:bottom w:val="single" w:sz="4" w:color="d5dee8"/>
              <w:right w:val="single" w:sz="4" w:color="d5dee8"/>
            </w:tcBorders>
          </w:tcPr>
          <w:p>
            <w:pPr>
              <w:spacing w:before="60" w:after="60"/>
              <w:jc w:val="left"/>
            </w:pPr>
            <w:r/>
            <w:r>
              <w:rPr>
                <w:rFonts w:ascii="Calibri" w:hAnsi="Calibri" w:eastAsia="Calibri"/>
                <w:b w:val="0"/>
                <w:i w:val="0"/>
                <w:color w:val="12263A"/>
                <w:sz w:val="20"/>
              </w:rPr>
              <w:t>Direction numérique de son centre</w:t>
            </w:r>
          </w:p>
        </w:tc>
        <w:tc>
          <w:tcPr>
            <w:tcW w:type="dxa" w:w="3685"/>
            <w:shd w:fill="FFFFFF" w:val="clear"/>
            <w:tcBorders>
              <w:top w:val="single" w:sz="4" w:color="d5dee8"/>
              <w:left w:val="single" w:sz="4" w:color="d5dee8"/>
              <w:bottom w:val="single" w:sz="4" w:color="d5dee8"/>
              <w:right w:val="single" w:sz="4" w:color="d5dee8"/>
            </w:tcBorders>
          </w:tcPr>
          <w:p>
            <w:pPr>
              <w:spacing w:before="60" w:after="60"/>
              <w:jc w:val="left"/>
            </w:pPr>
            <w:r/>
            <w:r>
              <w:rPr>
                <w:rFonts w:ascii="Calibri" w:hAnsi="Calibri" w:eastAsia="Calibri"/>
                <w:b w:val="0"/>
                <w:i w:val="0"/>
                <w:color w:val="12263A"/>
                <w:sz w:val="20"/>
              </w:rPr>
              <w:t>Détenus, personnel, visites et visiteurs du centre</w:t>
            </w:r>
          </w:p>
        </w:tc>
      </w:tr>
      <w:tr>
        <w:tc>
          <w:tcPr>
            <w:tcW w:type="dxa" w:w="2268"/>
            <w:shd w:fill="F4F8FC" w:val="clear"/>
            <w:tcBorders>
              <w:top w:val="single" w:sz="4" w:color="d5dee8"/>
              <w:left w:val="single" w:sz="4" w:color="d5dee8"/>
              <w:bottom w:val="single" w:sz="4" w:color="d5dee8"/>
              <w:right w:val="single" w:sz="4" w:color="d5dee8"/>
            </w:tcBorders>
          </w:tcPr>
          <w:p>
            <w:pPr>
              <w:spacing w:before="60" w:after="60"/>
              <w:jc w:val="left"/>
            </w:pPr>
            <w:r/>
            <w:r>
              <w:rPr>
                <w:rFonts w:ascii="Calibri" w:hAnsi="Calibri" w:eastAsia="Calibri"/>
                <w:b w:val="0"/>
                <w:i w:val="0"/>
                <w:color w:val="12263A"/>
                <w:sz w:val="20"/>
              </w:rPr>
              <w:t>Directeur</w:t>
            </w:r>
          </w:p>
        </w:tc>
        <w:tc>
          <w:tcPr>
            <w:tcW w:type="dxa" w:w="3685"/>
            <w:shd w:fill="F4F8FC" w:val="clear"/>
            <w:tcBorders>
              <w:top w:val="single" w:sz="4" w:color="d5dee8"/>
              <w:left w:val="single" w:sz="4" w:color="d5dee8"/>
              <w:bottom w:val="single" w:sz="4" w:color="d5dee8"/>
              <w:right w:val="single" w:sz="4" w:color="d5dee8"/>
            </w:tcBorders>
          </w:tcPr>
          <w:p>
            <w:pPr>
              <w:spacing w:before="60" w:after="60"/>
              <w:jc w:val="left"/>
            </w:pPr>
            <w:r/>
            <w:r>
              <w:rPr>
                <w:rFonts w:ascii="Calibri" w:hAnsi="Calibri" w:eastAsia="Calibri"/>
                <w:b w:val="0"/>
                <w:i w:val="0"/>
                <w:color w:val="12263A"/>
                <w:sz w:val="20"/>
              </w:rPr>
              <w:t>Encadrement du centre auquel il est rattaché</w:t>
            </w:r>
          </w:p>
        </w:tc>
        <w:tc>
          <w:tcPr>
            <w:tcW w:type="dxa" w:w="3685"/>
            <w:shd w:fill="F4F8FC" w:val="clear"/>
            <w:tcBorders>
              <w:top w:val="single" w:sz="4" w:color="d5dee8"/>
              <w:left w:val="single" w:sz="4" w:color="d5dee8"/>
              <w:bottom w:val="single" w:sz="4" w:color="d5dee8"/>
              <w:right w:val="single" w:sz="4" w:color="d5dee8"/>
            </w:tcBorders>
          </w:tcPr>
          <w:p>
            <w:pPr>
              <w:spacing w:before="60" w:after="60"/>
              <w:jc w:val="left"/>
            </w:pPr>
            <w:r/>
            <w:r>
              <w:rPr>
                <w:rFonts w:ascii="Calibri" w:hAnsi="Calibri" w:eastAsia="Calibri"/>
                <w:b w:val="0"/>
                <w:i w:val="0"/>
                <w:color w:val="12263A"/>
                <w:sz w:val="20"/>
              </w:rPr>
              <w:t>Données opérationnelles de son centre</w:t>
            </w:r>
          </w:p>
        </w:tc>
      </w:tr>
      <w:tr>
        <w:tc>
          <w:tcPr>
            <w:tcW w:type="dxa" w:w="2268"/>
            <w:shd w:fill="FFFFFF" w:val="clear"/>
            <w:tcBorders>
              <w:top w:val="single" w:sz="4" w:color="d5dee8"/>
              <w:left w:val="single" w:sz="4" w:color="d5dee8"/>
              <w:bottom w:val="single" w:sz="4" w:color="d5dee8"/>
              <w:right w:val="single" w:sz="4" w:color="d5dee8"/>
            </w:tcBorders>
          </w:tcPr>
          <w:p>
            <w:pPr>
              <w:spacing w:before="60" w:after="60"/>
              <w:jc w:val="left"/>
            </w:pPr>
            <w:r/>
            <w:r>
              <w:rPr>
                <w:rFonts w:ascii="Calibri" w:hAnsi="Calibri" w:eastAsia="Calibri"/>
                <w:b w:val="0"/>
                <w:i w:val="0"/>
                <w:color w:val="12263A"/>
                <w:sz w:val="20"/>
              </w:rPr>
              <w:t>Agent</w:t>
            </w:r>
          </w:p>
        </w:tc>
        <w:tc>
          <w:tcPr>
            <w:tcW w:type="dxa" w:w="3685"/>
            <w:shd w:fill="FFFFFF" w:val="clear"/>
            <w:tcBorders>
              <w:top w:val="single" w:sz="4" w:color="d5dee8"/>
              <w:left w:val="single" w:sz="4" w:color="d5dee8"/>
              <w:bottom w:val="single" w:sz="4" w:color="d5dee8"/>
              <w:right w:val="single" w:sz="4" w:color="d5dee8"/>
            </w:tcBorders>
          </w:tcPr>
          <w:p>
            <w:pPr>
              <w:spacing w:before="60" w:after="60"/>
              <w:jc w:val="left"/>
            </w:pPr>
            <w:r/>
            <w:r>
              <w:rPr>
                <w:rFonts w:ascii="Calibri" w:hAnsi="Calibri" w:eastAsia="Calibri"/>
                <w:b w:val="0"/>
                <w:i w:val="0"/>
                <w:color w:val="12263A"/>
                <w:sz w:val="20"/>
              </w:rPr>
              <w:t>Saisie quotidienne (écrou, visites)</w:t>
            </w:r>
          </w:p>
        </w:tc>
        <w:tc>
          <w:tcPr>
            <w:tcW w:type="dxa" w:w="3685"/>
            <w:shd w:fill="FFFFFF" w:val="clear"/>
            <w:tcBorders>
              <w:top w:val="single" w:sz="4" w:color="d5dee8"/>
              <w:left w:val="single" w:sz="4" w:color="d5dee8"/>
              <w:bottom w:val="single" w:sz="4" w:color="d5dee8"/>
              <w:right w:val="single" w:sz="4" w:color="d5dee8"/>
            </w:tcBorders>
          </w:tcPr>
          <w:p>
            <w:pPr>
              <w:spacing w:before="60" w:after="60"/>
              <w:jc w:val="left"/>
            </w:pPr>
            <w:r/>
            <w:r>
              <w:rPr>
                <w:rFonts w:ascii="Calibri" w:hAnsi="Calibri" w:eastAsia="Calibri"/>
                <w:b w:val="0"/>
                <w:i w:val="0"/>
                <w:color w:val="12263A"/>
                <w:sz w:val="20"/>
              </w:rPr>
              <w:t>Détenus et visites de son centre</w:t>
            </w:r>
          </w:p>
        </w:tc>
      </w:tr>
      <w:tr>
        <w:tc>
          <w:tcPr>
            <w:tcW w:type="dxa" w:w="2268"/>
            <w:shd w:fill="F4F8FC" w:val="clear"/>
            <w:tcBorders>
              <w:top w:val="single" w:sz="4" w:color="d5dee8"/>
              <w:left w:val="single" w:sz="4" w:color="d5dee8"/>
              <w:bottom w:val="single" w:sz="4" w:color="d5dee8"/>
              <w:right w:val="single" w:sz="4" w:color="d5dee8"/>
            </w:tcBorders>
          </w:tcPr>
          <w:p>
            <w:pPr>
              <w:spacing w:before="60" w:after="60"/>
              <w:jc w:val="left"/>
            </w:pPr>
            <w:r/>
            <w:r>
              <w:rPr>
                <w:rFonts w:ascii="Calibri" w:hAnsi="Calibri" w:eastAsia="Calibri"/>
                <w:b w:val="0"/>
                <w:i w:val="0"/>
                <w:color w:val="12263A"/>
                <w:sz w:val="20"/>
              </w:rPr>
              <w:t>Médecin</w:t>
            </w:r>
          </w:p>
        </w:tc>
        <w:tc>
          <w:tcPr>
            <w:tcW w:type="dxa" w:w="3685"/>
            <w:shd w:fill="F4F8FC" w:val="clear"/>
            <w:tcBorders>
              <w:top w:val="single" w:sz="4" w:color="d5dee8"/>
              <w:left w:val="single" w:sz="4" w:color="d5dee8"/>
              <w:bottom w:val="single" w:sz="4" w:color="d5dee8"/>
              <w:right w:val="single" w:sz="4" w:color="d5dee8"/>
            </w:tcBorders>
          </w:tcPr>
          <w:p>
            <w:pPr>
              <w:spacing w:before="60" w:after="60"/>
              <w:jc w:val="left"/>
            </w:pPr>
            <w:r/>
            <w:r>
              <w:rPr>
                <w:rFonts w:ascii="Calibri" w:hAnsi="Calibri" w:eastAsia="Calibri"/>
                <w:b w:val="0"/>
                <w:i w:val="0"/>
                <w:color w:val="12263A"/>
                <w:sz w:val="20"/>
              </w:rPr>
              <w:t>Volet soins (module prévu / en cours)</w:t>
            </w:r>
          </w:p>
        </w:tc>
        <w:tc>
          <w:tcPr>
            <w:tcW w:type="dxa" w:w="3685"/>
            <w:shd w:fill="F4F8FC" w:val="clear"/>
            <w:tcBorders>
              <w:top w:val="single" w:sz="4" w:color="d5dee8"/>
              <w:left w:val="single" w:sz="4" w:color="d5dee8"/>
              <w:bottom w:val="single" w:sz="4" w:color="d5dee8"/>
              <w:right w:val="single" w:sz="4" w:color="d5dee8"/>
            </w:tcBorders>
          </w:tcPr>
          <w:p>
            <w:pPr>
              <w:spacing w:before="60" w:after="60"/>
              <w:jc w:val="left"/>
            </w:pPr>
            <w:r/>
            <w:r>
              <w:rPr>
                <w:rFonts w:ascii="Calibri" w:hAnsi="Calibri" w:eastAsia="Calibri"/>
                <w:b w:val="0"/>
                <w:i w:val="0"/>
                <w:color w:val="12263A"/>
                <w:sz w:val="20"/>
              </w:rPr>
              <w:t>Consultations médicales</w:t>
            </w:r>
          </w:p>
        </w:tc>
      </w:tr>
    </w:tbl>
    <w:p>
      <w:pPr>
        <w:spacing w:before="40" w:after="200"/>
        <w:jc w:val="center"/>
      </w:pPr>
      <w:r>
        <w:rPr>
          <w:rFonts w:ascii="Calibri" w:hAnsi="Calibri" w:eastAsia="Calibri"/>
          <w:b w:val="0"/>
          <w:i/>
          <w:color w:val="5B6B7C"/>
          <w:sz w:val="18"/>
        </w:rPr>
        <w:t>Tableau 2 — Répartition des responsabilités</w:t>
      </w:r>
    </w:p>
    <w:p>
      <w:pPr>
        <w:spacing w:after="160" w:before="0" w:line="276" w:lineRule="auto"/>
        <w:jc w:val="both"/>
      </w:pPr>
      <w:r>
        <w:rPr>
          <w:rFonts w:ascii="Calibri" w:hAnsi="Calibri" w:eastAsia="Calibri"/>
          <w:b w:val="0"/>
          <w:i w:val="0"/>
          <w:color w:val="12263A"/>
          <w:sz w:val="22"/>
        </w:rPr>
        <w:t>Cette séparation évite qu’un opérateur national écrase, par erreur, les données d’une prison, tout en lui donnant la visibilité nécessaire au suivi de l’occupation et des effectifs à l’échelle du pays.</w:t>
      </w:r>
    </w:p>
    <w:p>
      <w:pPr>
        <w:keepNext/>
        <w:spacing w:before="320" w:after="160"/>
        <w:pBdr>
          <w:bottom w:val="single" w:sz="12" w:space="4" w:color="0066C7"/>
        </w:pBdr>
      </w:pPr>
      <w:r>
        <w:rPr>
          <w:rFonts w:ascii="Calibri" w:hAnsi="Calibri" w:eastAsia="Calibri"/>
          <w:b/>
          <w:i w:val="0"/>
          <w:color w:val="004A94"/>
          <w:sz w:val="32"/>
        </w:rPr>
        <w:t>6.  Chaîne opérationnelle</w:t>
      </w:r>
    </w:p>
    <w:p>
      <w:pPr>
        <w:spacing w:after="160" w:before="0" w:line="276" w:lineRule="auto"/>
        <w:jc w:val="both"/>
      </w:pPr>
      <w:r>
        <w:rPr>
          <w:rFonts w:ascii="Calibri" w:hAnsi="Calibri" w:eastAsia="Calibri"/>
          <w:b w:val="0"/>
          <w:i w:val="0"/>
          <w:color w:val="12263A"/>
          <w:sz w:val="22"/>
        </w:rPr>
        <w:t>Le logiciel s’utilise selon une suite d’étapes qui correspond à la mise en service d’un établissement puis à sa vie quotidienne.</w:t>
      </w:r>
    </w:p>
    <w:p>
      <w:pPr>
        <w:keepNext/>
        <w:spacing w:before="240" w:after="160"/>
      </w:pPr>
      <w:r>
        <w:rPr>
          <w:rFonts w:ascii="Calibri" w:hAnsi="Calibri" w:eastAsia="Calibri"/>
          <w:b/>
          <w:i w:val="0"/>
          <w:color w:val="003366"/>
          <w:sz w:val="26"/>
        </w:rPr>
        <w:t>6.1  Mise en service d’une prison</w:t>
      </w:r>
    </w:p>
    <w:p>
      <w:pPr>
        <w:spacing w:after="80" w:line="264" w:lineRule="auto"/>
        <w:ind w:left="425"/>
      </w:pPr>
      <w:r>
        <w:rPr>
          <w:rFonts w:ascii="Calibri" w:hAnsi="Calibri" w:eastAsia="Calibri"/>
          <w:b/>
          <w:i w:val="0"/>
          <w:color w:val="004A94"/>
          <w:sz w:val="22"/>
        </w:rPr>
        <w:t>•  1.</w:t>
      </w:r>
      <w:r>
        <w:rPr>
          <w:rFonts w:ascii="Calibri" w:hAnsi="Calibri" w:eastAsia="Calibri"/>
          <w:b w:val="0"/>
          <w:i w:val="0"/>
          <w:color w:val="12263A"/>
          <w:sz w:val="22"/>
        </w:rPr>
        <w:t xml:space="preserve"> l’administrateur central crée le centre (nom, code, type, province, ville, capacité, coordonnées).</w:t>
      </w:r>
    </w:p>
    <w:p>
      <w:pPr>
        <w:spacing w:after="80" w:line="264" w:lineRule="auto"/>
        <w:ind w:left="425"/>
      </w:pPr>
      <w:r>
        <w:rPr>
          <w:rFonts w:ascii="Calibri" w:hAnsi="Calibri" w:eastAsia="Calibri"/>
          <w:b/>
          <w:i w:val="0"/>
          <w:color w:val="004A94"/>
          <w:sz w:val="22"/>
        </w:rPr>
        <w:t>•  2.</w:t>
      </w:r>
      <w:r>
        <w:rPr>
          <w:rFonts w:ascii="Calibri" w:hAnsi="Calibri" w:eastAsia="Calibri"/>
          <w:b w:val="0"/>
          <w:i w:val="0"/>
          <w:color w:val="12263A"/>
          <w:sz w:val="22"/>
        </w:rPr>
        <w:t xml:space="preserve"> il crée l’administrateur de prison, rattaché à cet établissement, avec identifiant et mot de passe.</w:t>
      </w:r>
    </w:p>
    <w:p>
      <w:pPr>
        <w:spacing w:after="80" w:line="264" w:lineRule="auto"/>
        <w:ind w:left="425"/>
      </w:pPr>
      <w:r>
        <w:rPr>
          <w:rFonts w:ascii="Calibri" w:hAnsi="Calibri" w:eastAsia="Calibri"/>
          <w:b/>
          <w:i w:val="0"/>
          <w:color w:val="004A94"/>
          <w:sz w:val="22"/>
        </w:rPr>
        <w:t>•  3.</w:t>
      </w:r>
      <w:r>
        <w:rPr>
          <w:rFonts w:ascii="Calibri" w:hAnsi="Calibri" w:eastAsia="Calibri"/>
          <w:b w:val="0"/>
          <w:i w:val="0"/>
          <w:color w:val="12263A"/>
          <w:sz w:val="22"/>
        </w:rPr>
        <w:t xml:space="preserve"> cet administrateur se connecte : le système l’oriente vers le tableau de bord de son centre uniquement.</w:t>
      </w:r>
    </w:p>
    <w:p>
      <w:pPr>
        <w:keepNext/>
        <w:spacing w:before="240" w:after="160"/>
      </w:pPr>
      <w:r>
        <w:rPr>
          <w:rFonts w:ascii="Calibri" w:hAnsi="Calibri" w:eastAsia="Calibri"/>
          <w:b/>
          <w:i w:val="0"/>
          <w:color w:val="003366"/>
          <w:sz w:val="26"/>
        </w:rPr>
        <w:t>6.2  Vie de la prison</w:t>
      </w:r>
    </w:p>
    <w:p>
      <w:pPr>
        <w:spacing w:after="80" w:line="264" w:lineRule="auto"/>
        <w:ind w:left="425"/>
      </w:pPr>
      <w:r>
        <w:rPr>
          <w:rFonts w:ascii="Calibri" w:hAnsi="Calibri" w:eastAsia="Calibri"/>
          <w:b/>
          <w:i w:val="0"/>
          <w:color w:val="004A94"/>
          <w:sz w:val="22"/>
        </w:rPr>
        <w:t>•  4.</w:t>
      </w:r>
      <w:r>
        <w:rPr>
          <w:rFonts w:ascii="Calibri" w:hAnsi="Calibri" w:eastAsia="Calibri"/>
          <w:b w:val="0"/>
          <w:i w:val="0"/>
          <w:color w:val="12263A"/>
          <w:sz w:val="22"/>
        </w:rPr>
        <w:t xml:space="preserve"> enregistrement du personnel (directeur, gardiens, infirmiers, agents, etc.).</w:t>
      </w:r>
    </w:p>
    <w:p>
      <w:pPr>
        <w:spacing w:after="80" w:line="264" w:lineRule="auto"/>
        <w:ind w:left="425"/>
      </w:pPr>
      <w:r>
        <w:rPr>
          <w:rFonts w:ascii="Calibri" w:hAnsi="Calibri" w:eastAsia="Calibri"/>
          <w:b/>
          <w:i w:val="0"/>
          <w:color w:val="004A94"/>
          <w:sz w:val="22"/>
        </w:rPr>
        <w:t>•  5.</w:t>
      </w:r>
      <w:r>
        <w:rPr>
          <w:rFonts w:ascii="Calibri" w:hAnsi="Calibri" w:eastAsia="Calibri"/>
          <w:b w:val="0"/>
          <w:i w:val="0"/>
          <w:color w:val="12263A"/>
          <w:sz w:val="22"/>
        </w:rPr>
        <w:t xml:space="preserve"> écrou du détenu : identité, photos, dossier, tribunal / juridiction, cellule selon le pavillon et le sexe.</w:t>
      </w:r>
    </w:p>
    <w:p>
      <w:pPr>
        <w:spacing w:after="80" w:line="264" w:lineRule="auto"/>
        <w:ind w:left="425"/>
      </w:pPr>
      <w:r>
        <w:rPr>
          <w:rFonts w:ascii="Calibri" w:hAnsi="Calibri" w:eastAsia="Calibri"/>
          <w:b/>
          <w:i w:val="0"/>
          <w:color w:val="004A94"/>
          <w:sz w:val="22"/>
        </w:rPr>
        <w:t>•  6.</w:t>
      </w:r>
      <w:r>
        <w:rPr>
          <w:rFonts w:ascii="Calibri" w:hAnsi="Calibri" w:eastAsia="Calibri"/>
          <w:b w:val="0"/>
          <w:i w:val="0"/>
          <w:color w:val="12263A"/>
          <w:sz w:val="22"/>
        </w:rPr>
        <w:t xml:space="preserve"> programmation et suivi des visites (visiteur, durée, statut, historique sur la fiche du détenu).</w:t>
      </w:r>
    </w:p>
    <w:p>
      <w:pPr>
        <w:spacing w:after="80" w:line="264" w:lineRule="auto"/>
        <w:ind w:left="425"/>
      </w:pPr>
      <w:r>
        <w:rPr>
          <w:rFonts w:ascii="Calibri" w:hAnsi="Calibri" w:eastAsia="Calibri"/>
          <w:b/>
          <w:i w:val="0"/>
          <w:color w:val="004A94"/>
          <w:sz w:val="22"/>
        </w:rPr>
        <w:t>•  7.</w:t>
      </w:r>
      <w:r>
        <w:rPr>
          <w:rFonts w:ascii="Calibri" w:hAnsi="Calibri" w:eastAsia="Calibri"/>
          <w:b w:val="0"/>
          <w:i w:val="0"/>
          <w:color w:val="12263A"/>
          <w:sz w:val="22"/>
        </w:rPr>
        <w:t xml:space="preserve"> libération ou transfert, édition de la fiche PDF et de la liste du centre.</w:t>
      </w:r>
    </w:p>
    <w:p>
      <w:pPr>
        <w:spacing w:after="80" w:line="264" w:lineRule="auto"/>
        <w:ind w:left="425"/>
      </w:pPr>
      <w:r>
        <w:rPr>
          <w:rFonts w:ascii="Calibri" w:hAnsi="Calibri" w:eastAsia="Calibri"/>
          <w:b/>
          <w:i w:val="0"/>
          <w:color w:val="004A94"/>
          <w:sz w:val="22"/>
        </w:rPr>
        <w:t>•  8.</w:t>
      </w:r>
      <w:r>
        <w:rPr>
          <w:rFonts w:ascii="Calibri" w:hAnsi="Calibri" w:eastAsia="Calibri"/>
          <w:b w:val="0"/>
          <w:i w:val="0"/>
          <w:color w:val="12263A"/>
          <w:sz w:val="22"/>
        </w:rPr>
        <w:t xml:space="preserve"> l’administrateur central consulte les mêmes informations à l’échelle nationale, sans les modifier.</w:t>
      </w:r>
    </w:p>
    <w:p>
      <w:pPr>
        <w:keepNext/>
        <w:spacing w:before="320" w:after="160"/>
        <w:pBdr>
          <w:bottom w:val="single" w:sz="12" w:space="4" w:color="0066C7"/>
        </w:pBdr>
      </w:pPr>
      <w:r>
        <w:rPr>
          <w:rFonts w:ascii="Calibri" w:hAnsi="Calibri" w:eastAsia="Calibri"/>
          <w:b/>
          <w:i w:val="0"/>
          <w:color w:val="004A94"/>
          <w:sz w:val="32"/>
        </w:rPr>
        <w:t>7.  Fonctionnalités du module</w:t>
      </w:r>
    </w:p>
    <w:p>
      <w:pPr>
        <w:keepNext/>
        <w:spacing w:before="240" w:after="160"/>
      </w:pPr>
      <w:r>
        <w:rPr>
          <w:rFonts w:ascii="Calibri" w:hAnsi="Calibri" w:eastAsia="Calibri"/>
          <w:b/>
          <w:i w:val="0"/>
          <w:color w:val="003366"/>
          <w:sz w:val="26"/>
        </w:rPr>
        <w:t>7.1  Tableau de bord</w:t>
      </w:r>
    </w:p>
    <w:p>
      <w:pPr>
        <w:spacing w:after="160" w:before="0" w:line="276" w:lineRule="auto"/>
        <w:jc w:val="both"/>
      </w:pPr>
      <w:r>
        <w:rPr>
          <w:rFonts w:ascii="Calibri" w:hAnsi="Calibri" w:eastAsia="Calibri"/>
          <w:b w:val="0"/>
          <w:i w:val="0"/>
          <w:color w:val="12263A"/>
          <w:sz w:val="22"/>
        </w:rPr>
        <w:t>Le tableau de bord central présente les indicateurs nationaux : nombre de centres, provinces couvertes, administrateurs, détenus, répartition par statut (incarcéré, libéré, transféré) et par sexe, capacité et taux d’occupation. Le tableau de bord d’un centre reprend les mêmes familles d’indicateurs, bornées à l’établissement.</w:t>
      </w:r>
    </w:p>
    <w:p>
      <w:pPr>
        <w:keepNext/>
        <w:spacing w:before="240" w:after="160"/>
      </w:pPr>
      <w:r>
        <w:rPr>
          <w:rFonts w:ascii="Calibri" w:hAnsi="Calibri" w:eastAsia="Calibri"/>
          <w:b/>
          <w:i w:val="0"/>
          <w:color w:val="003366"/>
          <w:sz w:val="26"/>
        </w:rPr>
        <w:t>7.2  Centres et administrateurs</w:t>
      </w:r>
    </w:p>
    <w:p>
      <w:pPr>
        <w:spacing w:after="160" w:before="0" w:line="276" w:lineRule="auto"/>
        <w:jc w:val="both"/>
      </w:pPr>
      <w:r>
        <w:rPr>
          <w:rFonts w:ascii="Calibri" w:hAnsi="Calibri" w:eastAsia="Calibri"/>
          <w:b w:val="0"/>
          <w:i w:val="0"/>
          <w:color w:val="12263A"/>
          <w:sz w:val="22"/>
        </w:rPr>
        <w:t>La liste des centres affiche le nom, le code, la ville, la province, le type et l’occupation. Un filtre par province permet de travailler par entité territoriale. La fiche d’un centre donne accès aux détenus de cet établissement. Les administrateurs de prison sont créés et suivis (poste, matricule, affectation, statut actif ou inactif).</w:t>
      </w:r>
    </w:p>
    <w:p>
      <w:pPr>
        <w:keepNext/>
        <w:spacing w:before="240" w:after="160"/>
      </w:pPr>
      <w:r>
        <w:rPr>
          <w:rFonts w:ascii="Calibri" w:hAnsi="Calibri" w:eastAsia="Calibri"/>
          <w:b/>
          <w:i w:val="0"/>
          <w:color w:val="003366"/>
          <w:sz w:val="26"/>
        </w:rPr>
        <w:t>7.3  Détenus</w:t>
      </w:r>
    </w:p>
    <w:p>
      <w:pPr>
        <w:spacing w:after="160" w:before="0" w:line="276" w:lineRule="auto"/>
        <w:jc w:val="both"/>
      </w:pPr>
      <w:r>
        <w:rPr>
          <w:rFonts w:ascii="Calibri" w:hAnsi="Calibri" w:eastAsia="Calibri"/>
          <w:b w:val="0"/>
          <w:i w:val="0"/>
          <w:color w:val="12263A"/>
          <w:sz w:val="22"/>
        </w:rPr>
        <w:t>La fiche détenu rassemble l’état civil, les photographies (face et profil), les informations judiciaires (motif, tribunal choisi dans la liste des juridictions, numéro et dossier joint), l’affectation pénitentiaire (centre, pavillon, cellule filtrée selon la structure et le sexe), le régime, les données médicales de base et l’historique des visites. Les listes sont compactes, avec recherche, pastilles de statut et actions (consulter, modifier, PDF).</w:t>
      </w:r>
    </w:p>
    <w:p>
      <w:pPr>
        <w:keepNext/>
        <w:spacing w:before="240" w:after="160"/>
      </w:pPr>
      <w:r>
        <w:rPr>
          <w:rFonts w:ascii="Calibri" w:hAnsi="Calibri" w:eastAsia="Calibri"/>
          <w:b/>
          <w:i w:val="0"/>
          <w:color w:val="003366"/>
          <w:sz w:val="26"/>
        </w:rPr>
        <w:t>7.4  Cellules</w:t>
      </w:r>
    </w:p>
    <w:p>
      <w:pPr>
        <w:spacing w:after="160" w:before="0" w:line="276" w:lineRule="auto"/>
        <w:jc w:val="both"/>
      </w:pPr>
      <w:r>
        <w:rPr>
          <w:rFonts w:ascii="Calibri" w:hAnsi="Calibri" w:eastAsia="Calibri"/>
          <w:b w:val="0"/>
          <w:i w:val="0"/>
          <w:color w:val="12263A"/>
          <w:sz w:val="22"/>
        </w:rPr>
        <w:t>Les cellules ne sont pas saisies en texte libre. Elles appartiennent à la structure du centre (pavillons hommes et femmes). Lors de l’écrou, la liste proposée dépend du centre et du sexe, afin d’éviter une affectation incohérente.</w:t>
      </w:r>
    </w:p>
    <w:p>
      <w:pPr>
        <w:keepNext/>
        <w:spacing w:before="240" w:after="160"/>
      </w:pPr>
      <w:r>
        <w:rPr>
          <w:rFonts w:ascii="Calibri" w:hAnsi="Calibri" w:eastAsia="Calibri"/>
          <w:b/>
          <w:i w:val="0"/>
          <w:color w:val="003366"/>
          <w:sz w:val="26"/>
        </w:rPr>
        <w:t>7.5  Visites et visiteurs</w:t>
      </w:r>
    </w:p>
    <w:p>
      <w:pPr>
        <w:spacing w:after="160" w:before="0" w:line="276" w:lineRule="auto"/>
        <w:jc w:val="both"/>
      </w:pPr>
      <w:r>
        <w:rPr>
          <w:rFonts w:ascii="Calibri" w:hAnsi="Calibri" w:eastAsia="Calibri"/>
          <w:b w:val="0"/>
          <w:i w:val="0"/>
          <w:color w:val="12263A"/>
          <w:sz w:val="22"/>
        </w:rPr>
        <w:t>Les visiteurs (famille, avocat, ami, autre) sont enregistrés une fois. Une visite relie un visiteur à un détenu du centre, avec date, durée et statut (programmée, en cours, terminée, annulée, refusée). L’historique apparaît sur la fiche du détenu. Par défaut, la liste des visites met en avant la journée en cours.</w:t>
      </w:r>
    </w:p>
    <w:p>
      <w:pPr>
        <w:keepNext/>
        <w:spacing w:before="240" w:after="160"/>
      </w:pPr>
      <w:r>
        <w:rPr>
          <w:rFonts w:ascii="Calibri" w:hAnsi="Calibri" w:eastAsia="Calibri"/>
          <w:b/>
          <w:i w:val="0"/>
          <w:color w:val="003366"/>
          <w:sz w:val="26"/>
        </w:rPr>
        <w:t>7.6  Personnel</w:t>
      </w:r>
    </w:p>
    <w:p>
      <w:pPr>
        <w:spacing w:after="160" w:before="0" w:line="276" w:lineRule="auto"/>
        <w:jc w:val="both"/>
      </w:pPr>
      <w:r>
        <w:rPr>
          <w:rFonts w:ascii="Calibri" w:hAnsi="Calibri" w:eastAsia="Calibri"/>
          <w:b w:val="0"/>
          <w:i w:val="0"/>
          <w:color w:val="12263A"/>
          <w:sz w:val="22"/>
        </w:rPr>
        <w:t>Le module personnel décrit les agents du centre : matricule, fonctions, statut (actif, congé, inactif). Seuls les responsables du centre créent et mettent à jour ces fiches.</w:t>
      </w:r>
    </w:p>
    <w:p>
      <w:pPr>
        <w:keepNext/>
        <w:spacing w:before="240" w:after="160"/>
      </w:pPr>
      <w:r>
        <w:rPr>
          <w:rFonts w:ascii="Calibri" w:hAnsi="Calibri" w:eastAsia="Calibri"/>
          <w:b/>
          <w:i w:val="0"/>
          <w:color w:val="003366"/>
          <w:sz w:val="26"/>
        </w:rPr>
        <w:t>7.7  Surveillance et biométrie</w:t>
      </w:r>
    </w:p>
    <w:p>
      <w:pPr>
        <w:spacing w:after="160" w:before="0" w:line="276" w:lineRule="auto"/>
        <w:jc w:val="both"/>
      </w:pPr>
      <w:r>
        <w:rPr>
          <w:rFonts w:ascii="Calibri" w:hAnsi="Calibri" w:eastAsia="Calibri"/>
          <w:b w:val="0"/>
          <w:i w:val="0"/>
          <w:color w:val="12263A"/>
          <w:sz w:val="22"/>
        </w:rPr>
        <w:t>Un volet surveillance permet d’associer un profil facial au détenu et d’enregistrer des détections. La capture biométrique est prévue comme authentification future ; l’écran correspondant est en place pour les développements ultérieurs. L’identification principale actuelle reste le compte nominatif et le mot de passe.</w:t>
      </w:r>
    </w:p>
    <w:p>
      <w:pPr>
        <w:keepNext/>
        <w:spacing w:before="240" w:after="160"/>
      </w:pPr>
      <w:r>
        <w:rPr>
          <w:rFonts w:ascii="Calibri" w:hAnsi="Calibri" w:eastAsia="Calibri"/>
          <w:b/>
          <w:i w:val="0"/>
          <w:color w:val="003366"/>
          <w:sz w:val="26"/>
        </w:rPr>
        <w:t>7.8  Documents officiels</w:t>
      </w:r>
    </w:p>
    <w:p>
      <w:pPr>
        <w:spacing w:after="160" w:before="0" w:line="276" w:lineRule="auto"/>
        <w:jc w:val="both"/>
      </w:pPr>
      <w:r>
        <w:rPr>
          <w:rFonts w:ascii="Calibri" w:hAnsi="Calibri" w:eastAsia="Calibri"/>
          <w:b w:val="0"/>
          <w:i w:val="0"/>
          <w:color w:val="12263A"/>
          <w:sz w:val="22"/>
        </w:rPr>
        <w:t>La fiche d’identité du détenu et la liste des détenus d’un centre sont éditables en PDF, avec photographie lorsque celle-ci est disponible. Ces documents sont destinés aux dossiers d’écrou et aux contrôles administratifs.</w:t>
      </w:r>
    </w:p>
    <w:p>
      <w:pPr>
        <w:keepNext/>
        <w:spacing w:before="240" w:after="160"/>
      </w:pPr>
      <w:r>
        <w:rPr>
          <w:rFonts w:ascii="Calibri" w:hAnsi="Calibri" w:eastAsia="Calibri"/>
          <w:b/>
          <w:i w:val="0"/>
          <w:color w:val="003366"/>
          <w:sz w:val="26"/>
        </w:rPr>
        <w:t>7.9  Autres domaines du logiciel</w:t>
      </w:r>
    </w:p>
    <w:p>
      <w:pPr>
        <w:spacing w:after="160" w:before="0" w:line="276" w:lineRule="auto"/>
        <w:jc w:val="both"/>
      </w:pPr>
      <w:r>
        <w:rPr>
          <w:rFonts w:ascii="Calibri" w:hAnsi="Calibri" w:eastAsia="Calibri"/>
          <w:b w:val="0"/>
          <w:i w:val="0"/>
          <w:color w:val="12263A"/>
          <w:sz w:val="22"/>
        </w:rPr>
        <w:t>L’application embarque également des modules de soins, de logistique et de rapports, accessibles selon le rôle. Ils complètent e-Detenu sans remplacer le circuit judiciaire des autres fonctions e-Justice, encore à déployer.</w:t>
      </w:r>
    </w:p>
    <w:p>
      <w:pPr>
        <w:keepNext/>
        <w:spacing w:before="320" w:after="160"/>
        <w:pBdr>
          <w:bottom w:val="single" w:sz="12" w:space="4" w:color="0066C7"/>
        </w:pBdr>
      </w:pPr>
      <w:r>
        <w:rPr>
          <w:rFonts w:ascii="Calibri" w:hAnsi="Calibri" w:eastAsia="Calibri"/>
          <w:b/>
          <w:i w:val="0"/>
          <w:color w:val="004A94"/>
          <w:sz w:val="32"/>
        </w:rPr>
        <w:t>8.  Couverture territoriale</w:t>
      </w:r>
    </w:p>
    <w:p>
      <w:pPr>
        <w:spacing w:after="160" w:before="0" w:line="276" w:lineRule="auto"/>
        <w:jc w:val="both"/>
      </w:pPr>
      <w:r>
        <w:rPr>
          <w:rFonts w:ascii="Calibri" w:hAnsi="Calibri" w:eastAsia="Calibri"/>
          <w:b w:val="0"/>
          <w:i w:val="0"/>
          <w:color w:val="12263A"/>
          <w:sz w:val="22"/>
        </w:rPr>
        <w:t>Le référentiel initial intègre les prisons centrales et urbaines principales du pays (trente-cinq établissements), avec province, ville et géolocalisation indicative. Il ne prétend pas recenser tous les cachots de territoire. L’administrateur central peut ajouter un centre manquant.</w:t>
      </w:r>
    </w:p>
    <w:tbl>
      <w:tblPr>
        <w:tblW w:type="auto" w:w="0"/>
        <w:jc w:val="center"/>
        <w:tblLayout w:type="autofit"/>
        <w:tblLook w:firstColumn="1" w:firstRow="1" w:lastColumn="0" w:lastRow="0" w:noHBand="0" w:noVBand="1" w:val="04A0"/>
      </w:tblPr>
      <w:tblGrid>
        <w:gridCol w:w="4819"/>
        <w:gridCol w:w="4819"/>
      </w:tblGrid>
      <w:tr>
        <w:tc>
          <w:tcPr>
            <w:tcW w:type="dxa" w:w="4252"/>
            <w:shd w:fill="004A94" w:val="clear"/>
            <w:tcBorders>
              <w:top w:val="single" w:sz="4" w:color="d5dee8"/>
              <w:left w:val="single" w:sz="4" w:color="d5dee8"/>
              <w:bottom w:val="single" w:sz="4" w:color="d5dee8"/>
              <w:right w:val="single" w:sz="4" w:color="d5dee8"/>
            </w:tcBorders>
          </w:tcPr>
          <w:p>
            <w:pPr>
              <w:spacing w:before="60" w:after="60"/>
              <w:jc w:val="center"/>
            </w:pPr>
            <w:r/>
            <w:r>
              <w:rPr>
                <w:rFonts w:ascii="Calibri" w:hAnsi="Calibri" w:eastAsia="Calibri"/>
                <w:b/>
                <w:i w:val="0"/>
                <w:color w:val="FFFFFF"/>
                <w:sz w:val="20"/>
              </w:rPr>
              <w:t>Province / ville</w:t>
            </w:r>
          </w:p>
        </w:tc>
        <w:tc>
          <w:tcPr>
            <w:tcW w:type="dxa" w:w="5386"/>
            <w:shd w:fill="004A94" w:val="clear"/>
            <w:tcBorders>
              <w:top w:val="single" w:sz="4" w:color="d5dee8"/>
              <w:left w:val="single" w:sz="4" w:color="d5dee8"/>
              <w:bottom w:val="single" w:sz="4" w:color="d5dee8"/>
              <w:right w:val="single" w:sz="4" w:color="d5dee8"/>
            </w:tcBorders>
          </w:tcPr>
          <w:p>
            <w:pPr>
              <w:spacing w:before="60" w:after="60"/>
              <w:jc w:val="center"/>
            </w:pPr>
            <w:r/>
            <w:r>
              <w:rPr>
                <w:rFonts w:ascii="Calibri" w:hAnsi="Calibri" w:eastAsia="Calibri"/>
                <w:b/>
                <w:i w:val="0"/>
                <w:color w:val="FFFFFF"/>
                <w:sz w:val="20"/>
              </w:rPr>
              <w:t>Établissements (exemples)</w:t>
            </w:r>
          </w:p>
        </w:tc>
      </w:tr>
      <w:tr>
        <w:tc>
          <w:tcPr>
            <w:tcW w:type="dxa" w:w="4252"/>
            <w:shd w:fill="F4F8FC" w:val="clear"/>
            <w:tcBorders>
              <w:top w:val="single" w:sz="4" w:color="d5dee8"/>
              <w:left w:val="single" w:sz="4" w:color="d5dee8"/>
              <w:bottom w:val="single" w:sz="4" w:color="d5dee8"/>
              <w:right w:val="single" w:sz="4" w:color="d5dee8"/>
            </w:tcBorders>
          </w:tcPr>
          <w:p>
            <w:pPr>
              <w:spacing w:before="60" w:after="60"/>
              <w:jc w:val="left"/>
            </w:pPr>
            <w:r/>
            <w:r>
              <w:rPr>
                <w:rFonts w:ascii="Calibri" w:hAnsi="Calibri" w:eastAsia="Calibri"/>
                <w:b w:val="0"/>
                <w:i w:val="0"/>
                <w:color w:val="12263A"/>
                <w:sz w:val="20"/>
              </w:rPr>
              <w:t>Kinshasa</w:t>
            </w:r>
          </w:p>
        </w:tc>
        <w:tc>
          <w:tcPr>
            <w:tcW w:type="dxa" w:w="5386"/>
            <w:shd w:fill="F4F8FC" w:val="clear"/>
            <w:tcBorders>
              <w:top w:val="single" w:sz="4" w:color="d5dee8"/>
              <w:left w:val="single" w:sz="4" w:color="d5dee8"/>
              <w:bottom w:val="single" w:sz="4" w:color="d5dee8"/>
              <w:right w:val="single" w:sz="4" w:color="d5dee8"/>
            </w:tcBorders>
          </w:tcPr>
          <w:p>
            <w:pPr>
              <w:spacing w:before="60" w:after="60"/>
              <w:jc w:val="left"/>
            </w:pPr>
            <w:r/>
            <w:r>
              <w:rPr>
                <w:rFonts w:ascii="Calibri" w:hAnsi="Calibri" w:eastAsia="Calibri"/>
                <w:b w:val="0"/>
                <w:i w:val="0"/>
                <w:color w:val="12263A"/>
                <w:sz w:val="20"/>
              </w:rPr>
              <w:t>Prison centrale de Makala ; prison militaire de Ndolo</w:t>
            </w:r>
          </w:p>
        </w:tc>
      </w:tr>
      <w:tr>
        <w:tc>
          <w:tcPr>
            <w:tcW w:type="dxa" w:w="4252"/>
            <w:shd w:fill="FFFFFF" w:val="clear"/>
            <w:tcBorders>
              <w:top w:val="single" w:sz="4" w:color="d5dee8"/>
              <w:left w:val="single" w:sz="4" w:color="d5dee8"/>
              <w:bottom w:val="single" w:sz="4" w:color="d5dee8"/>
              <w:right w:val="single" w:sz="4" w:color="d5dee8"/>
            </w:tcBorders>
          </w:tcPr>
          <w:p>
            <w:pPr>
              <w:spacing w:before="60" w:after="60"/>
              <w:jc w:val="left"/>
            </w:pPr>
            <w:r/>
            <w:r>
              <w:rPr>
                <w:rFonts w:ascii="Calibri" w:hAnsi="Calibri" w:eastAsia="Calibri"/>
                <w:b w:val="0"/>
                <w:i w:val="0"/>
                <w:color w:val="12263A"/>
                <w:sz w:val="20"/>
              </w:rPr>
              <w:t>Kongo-Central</w:t>
            </w:r>
          </w:p>
        </w:tc>
        <w:tc>
          <w:tcPr>
            <w:tcW w:type="dxa" w:w="5386"/>
            <w:shd w:fill="FFFFFF" w:val="clear"/>
            <w:tcBorders>
              <w:top w:val="single" w:sz="4" w:color="d5dee8"/>
              <w:left w:val="single" w:sz="4" w:color="d5dee8"/>
              <w:bottom w:val="single" w:sz="4" w:color="d5dee8"/>
              <w:right w:val="single" w:sz="4" w:color="d5dee8"/>
            </w:tcBorders>
          </w:tcPr>
          <w:p>
            <w:pPr>
              <w:spacing w:before="60" w:after="60"/>
              <w:jc w:val="left"/>
            </w:pPr>
            <w:r/>
            <w:r>
              <w:rPr>
                <w:rFonts w:ascii="Calibri" w:hAnsi="Calibri" w:eastAsia="Calibri"/>
                <w:b w:val="0"/>
                <w:i w:val="0"/>
                <w:color w:val="12263A"/>
                <w:sz w:val="20"/>
              </w:rPr>
              <w:t>Luzumu, Matadi, Boma</w:t>
            </w:r>
          </w:p>
        </w:tc>
      </w:tr>
      <w:tr>
        <w:tc>
          <w:tcPr>
            <w:tcW w:type="dxa" w:w="4252"/>
            <w:shd w:fill="F4F8FC" w:val="clear"/>
            <w:tcBorders>
              <w:top w:val="single" w:sz="4" w:color="d5dee8"/>
              <w:left w:val="single" w:sz="4" w:color="d5dee8"/>
              <w:bottom w:val="single" w:sz="4" w:color="d5dee8"/>
              <w:right w:val="single" w:sz="4" w:color="d5dee8"/>
            </w:tcBorders>
          </w:tcPr>
          <w:p>
            <w:pPr>
              <w:spacing w:before="60" w:after="60"/>
              <w:jc w:val="left"/>
            </w:pPr>
            <w:r/>
            <w:r>
              <w:rPr>
                <w:rFonts w:ascii="Calibri" w:hAnsi="Calibri" w:eastAsia="Calibri"/>
                <w:b w:val="0"/>
                <w:i w:val="0"/>
                <w:color w:val="12263A"/>
                <w:sz w:val="20"/>
              </w:rPr>
              <w:t>Kwilu, Kwango</w:t>
            </w:r>
          </w:p>
        </w:tc>
        <w:tc>
          <w:tcPr>
            <w:tcW w:type="dxa" w:w="5386"/>
            <w:shd w:fill="F4F8FC" w:val="clear"/>
            <w:tcBorders>
              <w:top w:val="single" w:sz="4" w:color="d5dee8"/>
              <w:left w:val="single" w:sz="4" w:color="d5dee8"/>
              <w:bottom w:val="single" w:sz="4" w:color="d5dee8"/>
              <w:right w:val="single" w:sz="4" w:color="d5dee8"/>
            </w:tcBorders>
          </w:tcPr>
          <w:p>
            <w:pPr>
              <w:spacing w:before="60" w:after="60"/>
              <w:jc w:val="left"/>
            </w:pPr>
            <w:r/>
            <w:r>
              <w:rPr>
                <w:rFonts w:ascii="Calibri" w:hAnsi="Calibri" w:eastAsia="Calibri"/>
                <w:b w:val="0"/>
                <w:i w:val="0"/>
                <w:color w:val="12263A"/>
                <w:sz w:val="20"/>
              </w:rPr>
              <w:t>Kikwit, Bandundu, Kenge</w:t>
            </w:r>
          </w:p>
        </w:tc>
      </w:tr>
      <w:tr>
        <w:tc>
          <w:tcPr>
            <w:tcW w:type="dxa" w:w="4252"/>
            <w:shd w:fill="FFFFFF" w:val="clear"/>
            <w:tcBorders>
              <w:top w:val="single" w:sz="4" w:color="d5dee8"/>
              <w:left w:val="single" w:sz="4" w:color="d5dee8"/>
              <w:bottom w:val="single" w:sz="4" w:color="d5dee8"/>
              <w:right w:val="single" w:sz="4" w:color="d5dee8"/>
            </w:tcBorders>
          </w:tcPr>
          <w:p>
            <w:pPr>
              <w:spacing w:before="60" w:after="60"/>
              <w:jc w:val="left"/>
            </w:pPr>
            <w:r/>
            <w:r>
              <w:rPr>
                <w:rFonts w:ascii="Calibri" w:hAnsi="Calibri" w:eastAsia="Calibri"/>
                <w:b w:val="0"/>
                <w:i w:val="0"/>
                <w:color w:val="12263A"/>
                <w:sz w:val="20"/>
              </w:rPr>
              <w:t>Équateur, Tshuapa, Mongala, Ubangi</w:t>
            </w:r>
          </w:p>
        </w:tc>
        <w:tc>
          <w:tcPr>
            <w:tcW w:type="dxa" w:w="5386"/>
            <w:shd w:fill="FFFFFF" w:val="clear"/>
            <w:tcBorders>
              <w:top w:val="single" w:sz="4" w:color="d5dee8"/>
              <w:left w:val="single" w:sz="4" w:color="d5dee8"/>
              <w:bottom w:val="single" w:sz="4" w:color="d5dee8"/>
              <w:right w:val="single" w:sz="4" w:color="d5dee8"/>
            </w:tcBorders>
          </w:tcPr>
          <w:p>
            <w:pPr>
              <w:spacing w:before="60" w:after="60"/>
              <w:jc w:val="left"/>
            </w:pPr>
            <w:r/>
            <w:r>
              <w:rPr>
                <w:rFonts w:ascii="Calibri" w:hAnsi="Calibri" w:eastAsia="Calibri"/>
                <w:b w:val="0"/>
                <w:i w:val="0"/>
                <w:color w:val="12263A"/>
                <w:sz w:val="20"/>
              </w:rPr>
              <w:t>Mbandaka, Boende, Angenga, Lisala, Gbadolite, Gemena</w:t>
            </w:r>
          </w:p>
        </w:tc>
      </w:tr>
      <w:tr>
        <w:tc>
          <w:tcPr>
            <w:tcW w:type="dxa" w:w="4252"/>
            <w:shd w:fill="F4F8FC" w:val="clear"/>
            <w:tcBorders>
              <w:top w:val="single" w:sz="4" w:color="d5dee8"/>
              <w:left w:val="single" w:sz="4" w:color="d5dee8"/>
              <w:bottom w:val="single" w:sz="4" w:color="d5dee8"/>
              <w:right w:val="single" w:sz="4" w:color="d5dee8"/>
            </w:tcBorders>
          </w:tcPr>
          <w:p>
            <w:pPr>
              <w:spacing w:before="60" w:after="60"/>
              <w:jc w:val="left"/>
            </w:pPr>
            <w:r/>
            <w:r>
              <w:rPr>
                <w:rFonts w:ascii="Calibri" w:hAnsi="Calibri" w:eastAsia="Calibri"/>
                <w:b w:val="0"/>
                <w:i w:val="0"/>
                <w:color w:val="12263A"/>
                <w:sz w:val="20"/>
              </w:rPr>
              <w:t>Tshopo, Uele, Maniema</w:t>
            </w:r>
          </w:p>
        </w:tc>
        <w:tc>
          <w:tcPr>
            <w:tcW w:type="dxa" w:w="5386"/>
            <w:shd w:fill="F4F8FC" w:val="clear"/>
            <w:tcBorders>
              <w:top w:val="single" w:sz="4" w:color="d5dee8"/>
              <w:left w:val="single" w:sz="4" w:color="d5dee8"/>
              <w:bottom w:val="single" w:sz="4" w:color="d5dee8"/>
              <w:right w:val="single" w:sz="4" w:color="d5dee8"/>
            </w:tcBorders>
          </w:tcPr>
          <w:p>
            <w:pPr>
              <w:spacing w:before="60" w:after="60"/>
              <w:jc w:val="left"/>
            </w:pPr>
            <w:r/>
            <w:r>
              <w:rPr>
                <w:rFonts w:ascii="Calibri" w:hAnsi="Calibri" w:eastAsia="Calibri"/>
                <w:b w:val="0"/>
                <w:i w:val="0"/>
                <w:color w:val="12263A"/>
                <w:sz w:val="20"/>
              </w:rPr>
              <w:t>Kisangani, Osio, Isiro, Buta, Kindu</w:t>
            </w:r>
          </w:p>
        </w:tc>
      </w:tr>
      <w:tr>
        <w:tc>
          <w:tcPr>
            <w:tcW w:type="dxa" w:w="4252"/>
            <w:shd w:fill="FFFFFF" w:val="clear"/>
            <w:tcBorders>
              <w:top w:val="single" w:sz="4" w:color="d5dee8"/>
              <w:left w:val="single" w:sz="4" w:color="d5dee8"/>
              <w:bottom w:val="single" w:sz="4" w:color="d5dee8"/>
              <w:right w:val="single" w:sz="4" w:color="d5dee8"/>
            </w:tcBorders>
          </w:tcPr>
          <w:p>
            <w:pPr>
              <w:spacing w:before="60" w:after="60"/>
              <w:jc w:val="left"/>
            </w:pPr>
            <w:r/>
            <w:r>
              <w:rPr>
                <w:rFonts w:ascii="Calibri" w:hAnsi="Calibri" w:eastAsia="Calibri"/>
                <w:b w:val="0"/>
                <w:i w:val="0"/>
                <w:color w:val="12263A"/>
                <w:sz w:val="20"/>
              </w:rPr>
              <w:t>Nord-Kivu, Sud-Kivu, Ituri</w:t>
            </w:r>
          </w:p>
        </w:tc>
        <w:tc>
          <w:tcPr>
            <w:tcW w:type="dxa" w:w="5386"/>
            <w:shd w:fill="FFFFFF" w:val="clear"/>
            <w:tcBorders>
              <w:top w:val="single" w:sz="4" w:color="d5dee8"/>
              <w:left w:val="single" w:sz="4" w:color="d5dee8"/>
              <w:bottom w:val="single" w:sz="4" w:color="d5dee8"/>
              <w:right w:val="single" w:sz="4" w:color="d5dee8"/>
            </w:tcBorders>
          </w:tcPr>
          <w:p>
            <w:pPr>
              <w:spacing w:before="60" w:after="60"/>
              <w:jc w:val="left"/>
            </w:pPr>
            <w:r/>
            <w:r>
              <w:rPr>
                <w:rFonts w:ascii="Calibri" w:hAnsi="Calibri" w:eastAsia="Calibri"/>
                <w:b w:val="0"/>
                <w:i w:val="0"/>
                <w:color w:val="12263A"/>
                <w:sz w:val="20"/>
              </w:rPr>
              <w:t>Munzenze (Goma), Beni, Butembo, Bukavu, Uvira, Bunia</w:t>
            </w:r>
          </w:p>
        </w:tc>
      </w:tr>
      <w:tr>
        <w:tc>
          <w:tcPr>
            <w:tcW w:type="dxa" w:w="4252"/>
            <w:shd w:fill="F4F8FC" w:val="clear"/>
            <w:tcBorders>
              <w:top w:val="single" w:sz="4" w:color="d5dee8"/>
              <w:left w:val="single" w:sz="4" w:color="d5dee8"/>
              <w:bottom w:val="single" w:sz="4" w:color="d5dee8"/>
              <w:right w:val="single" w:sz="4" w:color="d5dee8"/>
            </w:tcBorders>
          </w:tcPr>
          <w:p>
            <w:pPr>
              <w:spacing w:before="60" w:after="60"/>
              <w:jc w:val="left"/>
            </w:pPr>
            <w:r/>
            <w:r>
              <w:rPr>
                <w:rFonts w:ascii="Calibri" w:hAnsi="Calibri" w:eastAsia="Calibri"/>
                <w:b w:val="0"/>
                <w:i w:val="0"/>
                <w:color w:val="12263A"/>
                <w:sz w:val="20"/>
              </w:rPr>
              <w:t>Tanganyika, Haut-Katanga, Lualaba, Haut-Lomami</w:t>
            </w:r>
          </w:p>
        </w:tc>
        <w:tc>
          <w:tcPr>
            <w:tcW w:type="dxa" w:w="5386"/>
            <w:shd w:fill="F4F8FC" w:val="clear"/>
            <w:tcBorders>
              <w:top w:val="single" w:sz="4" w:color="d5dee8"/>
              <w:left w:val="single" w:sz="4" w:color="d5dee8"/>
              <w:bottom w:val="single" w:sz="4" w:color="d5dee8"/>
              <w:right w:val="single" w:sz="4" w:color="d5dee8"/>
            </w:tcBorders>
          </w:tcPr>
          <w:p>
            <w:pPr>
              <w:spacing w:before="60" w:after="60"/>
              <w:jc w:val="left"/>
            </w:pPr>
            <w:r/>
            <w:r>
              <w:rPr>
                <w:rFonts w:ascii="Calibri" w:hAnsi="Calibri" w:eastAsia="Calibri"/>
                <w:b w:val="0"/>
                <w:i w:val="0"/>
                <w:color w:val="12263A"/>
                <w:sz w:val="20"/>
              </w:rPr>
              <w:t>Kalemie, Kasapa (Lubumbashi), Buluwo (Likasi), Kolwezi, Kamina</w:t>
            </w:r>
          </w:p>
        </w:tc>
      </w:tr>
      <w:tr>
        <w:tc>
          <w:tcPr>
            <w:tcW w:type="dxa" w:w="4252"/>
            <w:shd w:fill="FFFFFF" w:val="clear"/>
            <w:tcBorders>
              <w:top w:val="single" w:sz="4" w:color="d5dee8"/>
              <w:left w:val="single" w:sz="4" w:color="d5dee8"/>
              <w:bottom w:val="single" w:sz="4" w:color="d5dee8"/>
              <w:right w:val="single" w:sz="4" w:color="d5dee8"/>
            </w:tcBorders>
          </w:tcPr>
          <w:p>
            <w:pPr>
              <w:spacing w:before="60" w:after="60"/>
              <w:jc w:val="left"/>
            </w:pPr>
            <w:r/>
            <w:r>
              <w:rPr>
                <w:rFonts w:ascii="Calibri" w:hAnsi="Calibri" w:eastAsia="Calibri"/>
                <w:b w:val="0"/>
                <w:i w:val="0"/>
                <w:color w:val="12263A"/>
                <w:sz w:val="20"/>
              </w:rPr>
              <w:t>Kasaï, Lomami, Sankuru</w:t>
            </w:r>
          </w:p>
        </w:tc>
        <w:tc>
          <w:tcPr>
            <w:tcW w:type="dxa" w:w="5386"/>
            <w:shd w:fill="FFFFFF" w:val="clear"/>
            <w:tcBorders>
              <w:top w:val="single" w:sz="4" w:color="d5dee8"/>
              <w:left w:val="single" w:sz="4" w:color="d5dee8"/>
              <w:bottom w:val="single" w:sz="4" w:color="d5dee8"/>
              <w:right w:val="single" w:sz="4" w:color="d5dee8"/>
            </w:tcBorders>
          </w:tcPr>
          <w:p>
            <w:pPr>
              <w:spacing w:before="60" w:after="60"/>
              <w:jc w:val="left"/>
            </w:pPr>
            <w:r/>
            <w:r>
              <w:rPr>
                <w:rFonts w:ascii="Calibri" w:hAnsi="Calibri" w:eastAsia="Calibri"/>
                <w:b w:val="0"/>
                <w:i w:val="0"/>
                <w:color w:val="12263A"/>
                <w:sz w:val="20"/>
              </w:rPr>
              <w:t>Kananga, Mbuji-Mayi, Tshikapa, Mwene-Ditu, Lodja</w:t>
            </w:r>
          </w:p>
        </w:tc>
      </w:tr>
    </w:tbl>
    <w:p>
      <w:pPr>
        <w:spacing w:before="40" w:after="200"/>
        <w:jc w:val="center"/>
      </w:pPr>
      <w:r>
        <w:rPr>
          <w:rFonts w:ascii="Calibri" w:hAnsi="Calibri" w:eastAsia="Calibri"/>
          <w:b w:val="0"/>
          <w:i/>
          <w:color w:val="5B6B7C"/>
          <w:sz w:val="18"/>
        </w:rPr>
        <w:t>Tableau 3 — Exemples d’établissements du référentiel national</w:t>
      </w:r>
    </w:p>
    <w:p>
      <w:pPr>
        <w:keepNext/>
        <w:spacing w:before="320" w:after="160"/>
        <w:pBdr>
          <w:bottom w:val="single" w:sz="12" w:space="4" w:color="0066C7"/>
        </w:pBdr>
      </w:pPr>
      <w:r>
        <w:rPr>
          <w:rFonts w:ascii="Calibri" w:hAnsi="Calibri" w:eastAsia="Calibri"/>
          <w:b/>
          <w:i w:val="0"/>
          <w:color w:val="004A94"/>
          <w:sz w:val="32"/>
        </w:rPr>
        <w:t>9.  Architecture, sécurité et identité visuelle</w:t>
      </w:r>
    </w:p>
    <w:p>
      <w:pPr>
        <w:keepNext/>
        <w:spacing w:before="240" w:after="160"/>
      </w:pPr>
      <w:r>
        <w:rPr>
          <w:rFonts w:ascii="Calibri" w:hAnsi="Calibri" w:eastAsia="Calibri"/>
          <w:b/>
          <w:i w:val="0"/>
          <w:color w:val="003366"/>
          <w:sz w:val="26"/>
        </w:rPr>
        <w:t>9.1  Technique</w:t>
      </w:r>
    </w:p>
    <w:p>
      <w:pPr>
        <w:spacing w:after="160" w:before="0" w:line="276" w:lineRule="auto"/>
        <w:jc w:val="both"/>
      </w:pPr>
      <w:r>
        <w:rPr>
          <w:rFonts w:ascii="Calibri" w:hAnsi="Calibri" w:eastAsia="Calibri"/>
          <w:b w:val="0"/>
          <w:i w:val="0"/>
          <w:color w:val="12263A"/>
          <w:sz w:val="22"/>
        </w:rPr>
        <w:t>e-Detenu est une application web (Django) avec une interface de gestion et une API REST destinée aux intégrations. Les données sont organisées par centre. Les listes, fiches et formulaires partagent une présentation compacte, adaptée à un usage bureautique quotidien.</w:t>
      </w:r>
    </w:p>
    <w:p>
      <w:pPr>
        <w:keepNext/>
        <w:spacing w:before="240" w:after="160"/>
      </w:pPr>
      <w:r>
        <w:rPr>
          <w:rFonts w:ascii="Calibri" w:hAnsi="Calibri" w:eastAsia="Calibri"/>
          <w:b/>
          <w:i w:val="0"/>
          <w:color w:val="003366"/>
          <w:sz w:val="26"/>
        </w:rPr>
        <w:t>9.2  Sécurité d’accès</w:t>
      </w:r>
    </w:p>
    <w:p>
      <w:pPr>
        <w:spacing w:after="80" w:line="264" w:lineRule="auto"/>
        <w:ind w:left="425"/>
      </w:pPr>
      <w:r>
        <w:rPr>
          <w:rFonts w:ascii="Calibri" w:hAnsi="Calibri" w:eastAsia="Calibri"/>
          <w:b/>
          <w:i w:val="0"/>
          <w:color w:val="004A94"/>
          <w:sz w:val="22"/>
        </w:rPr>
        <w:t>•  Compte :</w:t>
      </w:r>
      <w:r>
        <w:rPr>
          <w:rFonts w:ascii="Calibri" w:hAnsi="Calibri" w:eastAsia="Calibri"/>
          <w:b w:val="0"/>
          <w:i w:val="0"/>
          <w:color w:val="12263A"/>
          <w:sz w:val="22"/>
        </w:rPr>
        <w:t xml:space="preserve"> authentification nominative ; une connexion biométrique est prévue ultérieurement ;</w:t>
      </w:r>
    </w:p>
    <w:p>
      <w:pPr>
        <w:spacing w:after="80" w:line="264" w:lineRule="auto"/>
        <w:ind w:left="425"/>
      </w:pPr>
      <w:r>
        <w:rPr>
          <w:rFonts w:ascii="Calibri" w:hAnsi="Calibri" w:eastAsia="Calibri"/>
          <w:b/>
          <w:i w:val="0"/>
          <w:color w:val="004A94"/>
          <w:sz w:val="22"/>
        </w:rPr>
        <w:t>•  Session :</w:t>
      </w:r>
      <w:r>
        <w:rPr>
          <w:rFonts w:ascii="Calibri" w:hAnsi="Calibri" w:eastAsia="Calibri"/>
          <w:b w:val="0"/>
          <w:i w:val="0"/>
          <w:color w:val="12263A"/>
          <w:sz w:val="22"/>
        </w:rPr>
        <w:t xml:space="preserve"> redirection automatique selon le rôle (national ou centre) ;</w:t>
      </w:r>
    </w:p>
    <w:p>
      <w:pPr>
        <w:spacing w:after="80" w:line="264" w:lineRule="auto"/>
        <w:ind w:left="425"/>
      </w:pPr>
      <w:r>
        <w:rPr>
          <w:rFonts w:ascii="Calibri" w:hAnsi="Calibri" w:eastAsia="Calibri"/>
          <w:b/>
          <w:i w:val="0"/>
          <w:color w:val="004A94"/>
          <w:sz w:val="22"/>
        </w:rPr>
        <w:t>•  Écriture :</w:t>
      </w:r>
      <w:r>
        <w:rPr>
          <w:rFonts w:ascii="Calibri" w:hAnsi="Calibri" w:eastAsia="Calibri"/>
          <w:b w:val="0"/>
          <w:i w:val="0"/>
          <w:color w:val="12263A"/>
          <w:sz w:val="22"/>
        </w:rPr>
        <w:t xml:space="preserve"> l’administrateur central ne peut pas écrire les données opérationnelles d’une prison ;</w:t>
      </w:r>
    </w:p>
    <w:p>
      <w:pPr>
        <w:spacing w:after="80" w:line="264" w:lineRule="auto"/>
        <w:ind w:left="425"/>
      </w:pPr>
      <w:r>
        <w:rPr>
          <w:rFonts w:ascii="Calibri" w:hAnsi="Calibri" w:eastAsia="Calibri"/>
          <w:b/>
          <w:i w:val="0"/>
          <w:color w:val="004A94"/>
          <w:sz w:val="22"/>
        </w:rPr>
        <w:t>•  Isolation :</w:t>
      </w:r>
      <w:r>
        <w:rPr>
          <w:rFonts w:ascii="Calibri" w:hAnsi="Calibri" w:eastAsia="Calibri"/>
          <w:b w:val="0"/>
          <w:i w:val="0"/>
          <w:color w:val="12263A"/>
          <w:sz w:val="22"/>
        </w:rPr>
        <w:t xml:space="preserve"> un administrateur de centre ne voit et ne modifie que son établissement.</w:t>
      </w:r>
    </w:p>
    <w:p>
      <w:pPr>
        <w:keepNext/>
        <w:spacing w:before="240" w:after="160"/>
      </w:pPr>
      <w:r>
        <w:rPr>
          <w:rFonts w:ascii="Calibri" w:hAnsi="Calibri" w:eastAsia="Calibri"/>
          <w:b/>
          <w:i w:val="0"/>
          <w:color w:val="003366"/>
          <w:sz w:val="26"/>
        </w:rPr>
        <w:t>9.3  Charte graphique</w:t>
      </w:r>
    </w:p>
    <w:p>
      <w:pPr>
        <w:spacing w:after="160" w:before="0" w:line="276" w:lineRule="auto"/>
        <w:jc w:val="both"/>
      </w:pPr>
      <w:r>
        <w:rPr>
          <w:rFonts w:ascii="Calibri" w:hAnsi="Calibri" w:eastAsia="Calibri"/>
          <w:b w:val="0"/>
          <w:i w:val="0"/>
          <w:color w:val="12263A"/>
          <w:sz w:val="22"/>
        </w:rPr>
        <w:t>L’interface reprend le bleu, le jaune et le rouge du drapeau de la République démocratique du Congo, avec une présentation institutionnelle (pas de style ludique). Les statuts (incarcéré, libéré, transféré, etc.) sont distingués par des pastilles lisibles.</w:t>
      </w:r>
    </w:p>
    <w:p>
      <w:pPr>
        <w:keepNext/>
        <w:spacing w:before="320" w:after="160"/>
        <w:pBdr>
          <w:bottom w:val="single" w:sz="12" w:space="4" w:color="0066C7"/>
        </w:pBdr>
      </w:pPr>
      <w:r>
        <w:rPr>
          <w:rFonts w:ascii="Calibri" w:hAnsi="Calibri" w:eastAsia="Calibri"/>
          <w:b/>
          <w:i w:val="0"/>
          <w:color w:val="004A94"/>
          <w:sz w:val="32"/>
        </w:rPr>
        <w:t>10.  État d’avancement et perspectives</w:t>
      </w:r>
    </w:p>
    <w:tbl>
      <w:tblPr>
        <w:tblW w:type="auto" w:w="0"/>
        <w:jc w:val="center"/>
        <w:tblLayout w:type="autofit"/>
        <w:tblLook w:firstColumn="1" w:firstRow="1" w:lastColumn="0" w:lastRow="0" w:noHBand="0" w:noVBand="1" w:val="04A0"/>
      </w:tblPr>
      <w:tblGrid>
        <w:gridCol w:w="4819"/>
        <w:gridCol w:w="4819"/>
      </w:tblGrid>
      <w:tr>
        <w:tc>
          <w:tcPr>
            <w:tcW w:type="dxa" w:w="4819"/>
            <w:shd w:fill="004A94" w:val="clear"/>
            <w:tcBorders>
              <w:top w:val="single" w:sz="4" w:color="d5dee8"/>
              <w:left w:val="single" w:sz="4" w:color="d5dee8"/>
              <w:bottom w:val="single" w:sz="4" w:color="d5dee8"/>
              <w:right w:val="single" w:sz="4" w:color="d5dee8"/>
            </w:tcBorders>
          </w:tcPr>
          <w:p>
            <w:pPr>
              <w:spacing w:before="60" w:after="60"/>
              <w:jc w:val="center"/>
            </w:pPr>
            <w:r/>
            <w:r>
              <w:rPr>
                <w:rFonts w:ascii="Calibri" w:hAnsi="Calibri" w:eastAsia="Calibri"/>
                <w:b/>
                <w:i w:val="0"/>
                <w:color w:val="FFFFFF"/>
                <w:sz w:val="20"/>
              </w:rPr>
              <w:t>Livré dans e-Detenu</w:t>
            </w:r>
          </w:p>
        </w:tc>
        <w:tc>
          <w:tcPr>
            <w:tcW w:type="dxa" w:w="4819"/>
            <w:shd w:fill="004A94" w:val="clear"/>
            <w:tcBorders>
              <w:top w:val="single" w:sz="4" w:color="d5dee8"/>
              <w:left w:val="single" w:sz="4" w:color="d5dee8"/>
              <w:bottom w:val="single" w:sz="4" w:color="d5dee8"/>
              <w:right w:val="single" w:sz="4" w:color="d5dee8"/>
            </w:tcBorders>
          </w:tcPr>
          <w:p>
            <w:pPr>
              <w:spacing w:before="60" w:after="60"/>
              <w:jc w:val="center"/>
            </w:pPr>
            <w:r/>
            <w:r>
              <w:rPr>
                <w:rFonts w:ascii="Calibri" w:hAnsi="Calibri" w:eastAsia="Calibri"/>
                <w:b/>
                <w:i w:val="0"/>
                <w:color w:val="FFFFFF"/>
                <w:sz w:val="20"/>
              </w:rPr>
              <w:t>À développer dans e-Justice</w:t>
            </w:r>
          </w:p>
        </w:tc>
      </w:tr>
      <w:tr>
        <w:tc>
          <w:tcPr>
            <w:tcW w:type="dxa" w:w="4819"/>
            <w:shd w:fill="F4F8FC" w:val="clear"/>
            <w:tcBorders>
              <w:top w:val="single" w:sz="4" w:color="d5dee8"/>
              <w:left w:val="single" w:sz="4" w:color="d5dee8"/>
              <w:bottom w:val="single" w:sz="4" w:color="d5dee8"/>
              <w:right w:val="single" w:sz="4" w:color="d5dee8"/>
            </w:tcBorders>
          </w:tcPr>
          <w:p>
            <w:pPr>
              <w:spacing w:before="60" w:after="60"/>
              <w:jc w:val="left"/>
            </w:pPr>
            <w:r/>
            <w:r>
              <w:rPr>
                <w:rFonts w:ascii="Calibri" w:hAnsi="Calibri" w:eastAsia="Calibri"/>
                <w:b w:val="0"/>
                <w:i w:val="0"/>
                <w:color w:val="12263A"/>
                <w:sz w:val="20"/>
              </w:rPr>
              <w:t>Accueil e-Justice et connexion sécurisée</w:t>
            </w:r>
          </w:p>
        </w:tc>
        <w:tc>
          <w:tcPr>
            <w:tcW w:type="dxa" w:w="4819"/>
            <w:shd w:fill="F4F8FC" w:val="clear"/>
            <w:tcBorders>
              <w:top w:val="single" w:sz="4" w:color="d5dee8"/>
              <w:left w:val="single" w:sz="4" w:color="d5dee8"/>
              <w:bottom w:val="single" w:sz="4" w:color="d5dee8"/>
              <w:right w:val="single" w:sz="4" w:color="d5dee8"/>
            </w:tcBorders>
          </w:tcPr>
          <w:p>
            <w:pPr>
              <w:spacing w:before="60" w:after="60"/>
              <w:jc w:val="left"/>
            </w:pPr>
            <w:r/>
            <w:r>
              <w:rPr>
                <w:rFonts w:ascii="Calibri" w:hAnsi="Calibri" w:eastAsia="Calibri"/>
                <w:b w:val="0"/>
                <w:i w:val="0"/>
                <w:color w:val="12263A"/>
                <w:sz w:val="20"/>
              </w:rPr>
              <w:t>Police judiciaire et parquet</w:t>
            </w:r>
          </w:p>
        </w:tc>
      </w:tr>
      <w:tr>
        <w:tc>
          <w:tcPr>
            <w:tcW w:type="dxa" w:w="4819"/>
            <w:shd w:fill="FFFFFF" w:val="clear"/>
            <w:tcBorders>
              <w:top w:val="single" w:sz="4" w:color="d5dee8"/>
              <w:left w:val="single" w:sz="4" w:color="d5dee8"/>
              <w:bottom w:val="single" w:sz="4" w:color="d5dee8"/>
              <w:right w:val="single" w:sz="4" w:color="d5dee8"/>
            </w:tcBorders>
          </w:tcPr>
          <w:p>
            <w:pPr>
              <w:spacing w:before="60" w:after="60"/>
              <w:jc w:val="left"/>
            </w:pPr>
            <w:r/>
            <w:r>
              <w:rPr>
                <w:rFonts w:ascii="Calibri" w:hAnsi="Calibri" w:eastAsia="Calibri"/>
                <w:b w:val="0"/>
                <w:i w:val="0"/>
                <w:color w:val="12263A"/>
                <w:sz w:val="20"/>
              </w:rPr>
              <w:t>Création des prisons et des admins de centre</w:t>
            </w:r>
          </w:p>
        </w:tc>
        <w:tc>
          <w:tcPr>
            <w:tcW w:type="dxa" w:w="4819"/>
            <w:shd w:fill="FFFFFF" w:val="clear"/>
            <w:tcBorders>
              <w:top w:val="single" w:sz="4" w:color="d5dee8"/>
              <w:left w:val="single" w:sz="4" w:color="d5dee8"/>
              <w:bottom w:val="single" w:sz="4" w:color="d5dee8"/>
              <w:right w:val="single" w:sz="4" w:color="d5dee8"/>
            </w:tcBorders>
          </w:tcPr>
          <w:p>
            <w:pPr>
              <w:spacing w:before="60" w:after="60"/>
              <w:jc w:val="left"/>
            </w:pPr>
            <w:r/>
            <w:r>
              <w:rPr>
                <w:rFonts w:ascii="Calibri" w:hAnsi="Calibri" w:eastAsia="Calibri"/>
                <w:b w:val="0"/>
                <w:i w:val="0"/>
                <w:color w:val="12263A"/>
                <w:sz w:val="20"/>
              </w:rPr>
              <w:t>Instruction, greffe, jugements</w:t>
            </w:r>
          </w:p>
        </w:tc>
      </w:tr>
      <w:tr>
        <w:tc>
          <w:tcPr>
            <w:tcW w:type="dxa" w:w="4819"/>
            <w:shd w:fill="F4F8FC" w:val="clear"/>
            <w:tcBorders>
              <w:top w:val="single" w:sz="4" w:color="d5dee8"/>
              <w:left w:val="single" w:sz="4" w:color="d5dee8"/>
              <w:bottom w:val="single" w:sz="4" w:color="d5dee8"/>
              <w:right w:val="single" w:sz="4" w:color="d5dee8"/>
            </w:tcBorders>
          </w:tcPr>
          <w:p>
            <w:pPr>
              <w:spacing w:before="60" w:after="60"/>
              <w:jc w:val="left"/>
            </w:pPr>
            <w:r/>
            <w:r>
              <w:rPr>
                <w:rFonts w:ascii="Calibri" w:hAnsi="Calibri" w:eastAsia="Calibri"/>
                <w:b w:val="0"/>
                <w:i w:val="0"/>
                <w:color w:val="12263A"/>
                <w:sz w:val="20"/>
              </w:rPr>
              <w:t>Fiches détenus, dossiers, photos, cellules</w:t>
            </w:r>
          </w:p>
        </w:tc>
        <w:tc>
          <w:tcPr>
            <w:tcW w:type="dxa" w:w="4819"/>
            <w:shd w:fill="F4F8FC" w:val="clear"/>
            <w:tcBorders>
              <w:top w:val="single" w:sz="4" w:color="d5dee8"/>
              <w:left w:val="single" w:sz="4" w:color="d5dee8"/>
              <w:bottom w:val="single" w:sz="4" w:color="d5dee8"/>
              <w:right w:val="single" w:sz="4" w:color="d5dee8"/>
            </w:tcBorders>
          </w:tcPr>
          <w:p>
            <w:pPr>
              <w:spacing w:before="60" w:after="60"/>
              <w:jc w:val="left"/>
            </w:pPr>
            <w:r/>
            <w:r>
              <w:rPr>
                <w:rFonts w:ascii="Calibri" w:hAnsi="Calibri" w:eastAsia="Calibri"/>
                <w:b w:val="0"/>
                <w:i w:val="0"/>
                <w:color w:val="12263A"/>
                <w:sz w:val="20"/>
              </w:rPr>
              <w:t>Casier judiciaire national</w:t>
            </w:r>
          </w:p>
        </w:tc>
      </w:tr>
      <w:tr>
        <w:tc>
          <w:tcPr>
            <w:tcW w:type="dxa" w:w="4819"/>
            <w:shd w:fill="FFFFFF" w:val="clear"/>
            <w:tcBorders>
              <w:top w:val="single" w:sz="4" w:color="d5dee8"/>
              <w:left w:val="single" w:sz="4" w:color="d5dee8"/>
              <w:bottom w:val="single" w:sz="4" w:color="d5dee8"/>
              <w:right w:val="single" w:sz="4" w:color="d5dee8"/>
            </w:tcBorders>
          </w:tcPr>
          <w:p>
            <w:pPr>
              <w:spacing w:before="60" w:after="60"/>
              <w:jc w:val="left"/>
            </w:pPr>
            <w:r/>
            <w:r>
              <w:rPr>
                <w:rFonts w:ascii="Calibri" w:hAnsi="Calibri" w:eastAsia="Calibri"/>
                <w:b w:val="0"/>
                <w:i w:val="0"/>
                <w:color w:val="12263A"/>
                <w:sz w:val="20"/>
              </w:rPr>
              <w:t>Visites, visiteurs, personnel</w:t>
            </w:r>
          </w:p>
        </w:tc>
        <w:tc>
          <w:tcPr>
            <w:tcW w:type="dxa" w:w="4819"/>
            <w:shd w:fill="FFFFFF" w:val="clear"/>
            <w:tcBorders>
              <w:top w:val="single" w:sz="4" w:color="d5dee8"/>
              <w:left w:val="single" w:sz="4" w:color="d5dee8"/>
              <w:bottom w:val="single" w:sz="4" w:color="d5dee8"/>
              <w:right w:val="single" w:sz="4" w:color="d5dee8"/>
            </w:tcBorders>
          </w:tcPr>
          <w:p>
            <w:pPr>
              <w:spacing w:before="60" w:after="60"/>
              <w:jc w:val="left"/>
            </w:pPr>
            <w:r/>
            <w:r>
              <w:rPr>
                <w:rFonts w:ascii="Calibri" w:hAnsi="Calibri" w:eastAsia="Calibri"/>
                <w:b w:val="0"/>
                <w:i w:val="0"/>
                <w:color w:val="12263A"/>
                <w:sz w:val="20"/>
              </w:rPr>
              <w:t>Justice civile et aide juridictionnelle</w:t>
            </w:r>
          </w:p>
        </w:tc>
      </w:tr>
      <w:tr>
        <w:tc>
          <w:tcPr>
            <w:tcW w:type="dxa" w:w="4819"/>
            <w:shd w:fill="F4F8FC" w:val="clear"/>
            <w:tcBorders>
              <w:top w:val="single" w:sz="4" w:color="d5dee8"/>
              <w:left w:val="single" w:sz="4" w:color="d5dee8"/>
              <w:bottom w:val="single" w:sz="4" w:color="d5dee8"/>
              <w:right w:val="single" w:sz="4" w:color="d5dee8"/>
            </w:tcBorders>
          </w:tcPr>
          <w:p>
            <w:pPr>
              <w:spacing w:before="60" w:after="60"/>
              <w:jc w:val="left"/>
            </w:pPr>
            <w:r/>
            <w:r>
              <w:rPr>
                <w:rFonts w:ascii="Calibri" w:hAnsi="Calibri" w:eastAsia="Calibri"/>
                <w:b w:val="0"/>
                <w:i w:val="0"/>
                <w:color w:val="12263A"/>
                <w:sz w:val="20"/>
              </w:rPr>
              <w:t>Tableaux de bord national et de centre</w:t>
            </w:r>
          </w:p>
        </w:tc>
        <w:tc>
          <w:tcPr>
            <w:tcW w:type="dxa" w:w="4819"/>
            <w:shd w:fill="F4F8FC" w:val="clear"/>
            <w:tcBorders>
              <w:top w:val="single" w:sz="4" w:color="d5dee8"/>
              <w:left w:val="single" w:sz="4" w:color="d5dee8"/>
              <w:bottom w:val="single" w:sz="4" w:color="d5dee8"/>
              <w:right w:val="single" w:sz="4" w:color="d5dee8"/>
            </w:tcBorders>
          </w:tcPr>
          <w:p>
            <w:pPr>
              <w:spacing w:before="60" w:after="60"/>
              <w:jc w:val="left"/>
            </w:pPr>
            <w:r/>
            <w:r>
              <w:rPr>
                <w:rFonts w:ascii="Calibri" w:hAnsi="Calibri" w:eastAsia="Calibri"/>
                <w:b w:val="0"/>
                <w:i w:val="0"/>
                <w:color w:val="12263A"/>
                <w:sz w:val="20"/>
              </w:rPr>
              <w:t>Pilotage statistique transversal</w:t>
            </w:r>
          </w:p>
        </w:tc>
      </w:tr>
      <w:tr>
        <w:tc>
          <w:tcPr>
            <w:tcW w:type="dxa" w:w="4819"/>
            <w:shd w:fill="FFFFFF" w:val="clear"/>
            <w:tcBorders>
              <w:top w:val="single" w:sz="4" w:color="d5dee8"/>
              <w:left w:val="single" w:sz="4" w:color="d5dee8"/>
              <w:bottom w:val="single" w:sz="4" w:color="d5dee8"/>
              <w:right w:val="single" w:sz="4" w:color="d5dee8"/>
            </w:tcBorders>
          </w:tcPr>
          <w:p>
            <w:pPr>
              <w:spacing w:before="60" w:after="60"/>
              <w:jc w:val="left"/>
            </w:pPr>
            <w:r/>
            <w:r>
              <w:rPr>
                <w:rFonts w:ascii="Calibri" w:hAnsi="Calibri" w:eastAsia="Calibri"/>
                <w:b w:val="0"/>
                <w:i w:val="0"/>
                <w:color w:val="12263A"/>
                <w:sz w:val="20"/>
              </w:rPr>
              <w:t>PDF (fiche, liste du centre), surveillance (base)</w:t>
            </w:r>
          </w:p>
        </w:tc>
        <w:tc>
          <w:tcPr>
            <w:tcW w:type="dxa" w:w="4819"/>
            <w:shd w:fill="FFFFFF" w:val="clear"/>
            <w:tcBorders>
              <w:top w:val="single" w:sz="4" w:color="d5dee8"/>
              <w:left w:val="single" w:sz="4" w:color="d5dee8"/>
              <w:bottom w:val="single" w:sz="4" w:color="d5dee8"/>
              <w:right w:val="single" w:sz="4" w:color="d5dee8"/>
            </w:tcBorders>
          </w:tcPr>
          <w:p>
            <w:pPr>
              <w:spacing w:before="60" w:after="60"/>
              <w:jc w:val="left"/>
            </w:pPr>
            <w:r/>
            <w:r>
              <w:rPr>
                <w:rFonts w:ascii="Calibri" w:hAnsi="Calibri" w:eastAsia="Calibri"/>
                <w:b w:val="0"/>
                <w:i w:val="0"/>
                <w:color w:val="12263A"/>
                <w:sz w:val="20"/>
              </w:rPr>
              <w:t>Biométrie d’authentification aboutie</w:t>
            </w:r>
          </w:p>
        </w:tc>
      </w:tr>
    </w:tbl>
    <w:p>
      <w:pPr>
        <w:spacing w:before="40" w:after="200"/>
        <w:jc w:val="center"/>
      </w:pPr>
      <w:r>
        <w:rPr>
          <w:rFonts w:ascii="Calibri" w:hAnsi="Calibri" w:eastAsia="Calibri"/>
          <w:b w:val="0"/>
          <w:i/>
          <w:color w:val="5B6B7C"/>
          <w:sz w:val="18"/>
        </w:rPr>
        <w:t>Tableau 4 — Ce qui est en service et ce qui reste à bâtir</w:t>
      </w:r>
    </w:p>
    <w:p>
      <w:pPr>
        <w:spacing w:after="160" w:before="0" w:line="276" w:lineRule="auto"/>
        <w:jc w:val="both"/>
      </w:pPr>
      <w:r>
        <w:rPr>
          <w:rFonts w:ascii="Calibri" w:hAnsi="Calibri" w:eastAsia="Calibri"/>
          <w:b w:val="0"/>
          <w:i w:val="0"/>
          <w:color w:val="12263A"/>
          <w:sz w:val="22"/>
        </w:rPr>
        <w:t>La priorité immédiate reste la consolidation d’e-Detenu dans les centres déjà dotés d’un administrateur, puis l’extension progressive aux autres établissements du référentiel, avant d’ouvrir les fonctions judiciaires amont (parquet, greffe).</w:t>
      </w:r>
    </w:p>
    <w:p>
      <w:pPr>
        <w:keepNext/>
        <w:spacing w:before="320" w:after="160"/>
        <w:pBdr>
          <w:bottom w:val="single" w:sz="12" w:space="4" w:color="0066C7"/>
        </w:pBdr>
      </w:pPr>
      <w:r>
        <w:rPr>
          <w:rFonts w:ascii="Calibri" w:hAnsi="Calibri" w:eastAsia="Calibri"/>
          <w:b/>
          <w:i w:val="0"/>
          <w:color w:val="004A94"/>
          <w:sz w:val="32"/>
        </w:rPr>
        <w:t>11.  Conclusion</w:t>
      </w:r>
    </w:p>
    <w:p>
      <w:pPr>
        <w:spacing w:after="160" w:before="0" w:line="276" w:lineRule="auto"/>
        <w:jc w:val="both"/>
      </w:pPr>
      <w:r>
        <w:rPr>
          <w:rFonts w:ascii="Calibri" w:hAnsi="Calibri" w:eastAsia="Calibri"/>
          <w:b w:val="0"/>
          <w:i w:val="0"/>
          <w:color w:val="12263A"/>
          <w:sz w:val="22"/>
        </w:rPr>
        <w:t>e-Justice pose le cadre d’une administration judiciaire numérique nationale. e-Detenu en est le premier maillon vivant : il donne à l’État une vue d’ensemble des prisons, et à chaque centre un outil de gestion quotidienne, avec une règle simple — le niveau central crée les établissements et leurs responsables ; les responsables créent les personnes de leur prison.</w:t>
      </w:r>
    </w:p>
    <w:p>
      <w:pPr>
        <w:spacing w:after="160" w:before="0" w:line="276" w:lineRule="auto"/>
        <w:jc w:val="both"/>
      </w:pPr>
      <w:r>
        <w:rPr>
          <w:rFonts w:ascii="Calibri" w:hAnsi="Calibri" w:eastAsia="Calibri"/>
          <w:b w:val="0"/>
          <w:i w:val="0"/>
          <w:color w:val="12263A"/>
          <w:sz w:val="22"/>
        </w:rPr>
        <w:t>Cette suite logique — plateforme, module, rôles, chaîne métier, fonctions, territoire, technique — constitue le socle de présentation du logiciel auprès des autorités et des équipes de déploiement.</w:t>
      </w:r>
    </w:p>
    <w:p>
      <w:pPr>
        <w:spacing w:before="480"/>
        <w:jc w:val="center"/>
      </w:pPr>
      <w:r>
        <w:rPr>
          <w:rFonts w:ascii="Calibri" w:hAnsi="Calibri" w:eastAsia="Calibri"/>
          <w:b w:val="0"/>
          <w:i/>
          <w:color w:val="5B6B7C"/>
          <w:sz w:val="20"/>
        </w:rPr>
        <w:t>—  Fin du document  —</w:t>
      </w:r>
    </w:p>
    <w:sectPr w:rsidR="00FC693F" w:rsidRPr="0006063C" w:rsidSect="00034616">
      <w:footerReference w:type="default" r:id="rId9"/>
      <w:pgSz w:w="11906" w:h="16838"/>
      <w:pgMar w:top="1020"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B6B7C"/>
        <w:sz w:val="16"/>
      </w:rPr>
      <w:t xml:space="preserve">e-Justice  ·  Module e-Detenu  ·  République démocratique du Congo   ·   </w:t>
    </w:r>
    <w:r>
      <w:rPr>
        <w:rFonts w:ascii="Calibri" w:hAnsi="Calibri" w:eastAsia="Calibri"/>
        <w:b w:val="0"/>
        <w:i w:val="0"/>
        <w:color w:val="5B6B7C"/>
        <w:sz w:val="16"/>
      </w:rPr>
      <w:fldChar w:fldCharType="begin"/>
      <w:instrText xml:space="preserve"> PAGE </w:instrText>
      <w:fldChar w:fldCharType="end"/>
    </w:r>
    <w:r>
      <w:rPr>
        <w:rFonts w:ascii="Calibri" w:hAnsi="Calibri" w:eastAsia="Calibri"/>
        <w:b w:val="0"/>
        <w:i w:val="0"/>
        <w:color w:val="5B6B7C"/>
        <w:sz w:val="16"/>
      </w:rPr>
      <w:t xml:space="preserve"> / </w:t>
    </w:r>
    <w:r>
      <w:rPr>
        <w:rFonts w:ascii="Calibri" w:hAnsi="Calibri" w:eastAsia="Calibri"/>
        <w:b w:val="0"/>
        <w:i w:val="0"/>
        <w:color w:val="5B6B7C"/>
        <w:sz w:val="16"/>
      </w:rPr>
      <w:fldChar w:fldCharType="begin"/>
      <w:instrText xml:space="preserve"> NUMPAGES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Présentation de la plateforme e-Justice et du module e-Detenu</dc:title>
  <dc:subject>Document de présentation institutionnelle</dc:subject>
  <dc:creator>e-Justice — République démocratique du Congo</dc:creator>
  <cp:keywords/>
  <dc:description>generated by python-docx</dc:description>
  <cp:lastModifiedBy/>
  <cp:revision>1</cp:revision>
  <dcterms:created xsi:type="dcterms:W3CDTF">2013-12-23T23:15:00Z</dcterms:created>
  <dcterms:modified xsi:type="dcterms:W3CDTF">2013-12-23T23:15:00Z</dcterms:modified>
  <cp:category/>
  <dc:language>fr-FR</dc:language>
</cp:coreProperties>
</file>