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ANNEXE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IV -2 : document de préparation au déroulement de l’épreuve E4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1"/>
        <w:gridCol w:w="25"/>
        <w:gridCol w:w="3691"/>
        <w:tblGridChange w:id="0">
          <w:tblGrid>
            <w:gridCol w:w="5921"/>
            <w:gridCol w:w="25"/>
            <w:gridCol w:w="3691"/>
          </w:tblGrid>
        </w:tblGridChange>
      </w:tblGrid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BTS Services informatiques aux organisations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2018</w:t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 – Conception et maintenance de solutions informatiques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Coefficient 4</w:t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EXPRESSION DES BESOINS</w:t>
            </w:r>
          </w:p>
        </w:tc>
      </w:tr>
      <w:tr>
        <w:tc>
          <w:tcPr>
            <w:shd w:fill="auto" w:val="clear"/>
            <w:tcMar>
              <w:top w:w="28.0" w:type="dxa"/>
              <w:left w:w="115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Épreuve ponctuelle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☐</w:t>
            </w:r>
          </w:p>
        </w:tc>
        <w:tc>
          <w:tcPr>
            <w:gridSpan w:val="2"/>
            <w:shd w:fill="auto" w:val="clear"/>
            <w:tcMar>
              <w:top w:w="28.0" w:type="dxa"/>
              <w:left w:w="0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Contrôle en cours de formation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☐</w:t>
            </w:r>
          </w:p>
        </w:tc>
      </w:tr>
      <w:tr>
        <w:tc>
          <w:tcPr>
            <w:shd w:fill="auto" w:val="clear"/>
            <w:tcMar>
              <w:top w:w="28.0" w:type="dxa"/>
              <w:left w:w="115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 SISR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☐</w:t>
            </w:r>
          </w:p>
        </w:tc>
        <w:tc>
          <w:tcPr>
            <w:gridSpan w:val="2"/>
            <w:shd w:fill="auto" w:val="clear"/>
            <w:tcMar>
              <w:top w:w="28.0" w:type="dxa"/>
              <w:left w:w="0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 SLAM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☐</w:t>
            </w:r>
          </w:p>
        </w:tc>
      </w:tr>
      <w:tr>
        <w:tc>
          <w:tcPr>
            <w:gridSpan w:val="2"/>
            <w:shd w:fill="auto" w:val="clear"/>
            <w:tcMar>
              <w:top w:w="28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 et prénom du candidat 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0" w:type="dxa"/>
              <w:left w:w="0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JURY :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candidat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:</w:t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Situation professionnelle retenue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Situation 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Situation 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Contexte lié à l’expression des besoins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GSB Notes de frais</w:t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Modifications à opérer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veut gérer le mode de paiement pour chaque frais hors-forfait.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mode est désigné par un code et un libellé de la façon suivante 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1 : Espèces; 2 : Chèque ; 3 : Carte Bancaire</w:t>
              <w:br w:type="textWrapping"/>
              <w:br w:type="textWrapping"/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Production attendue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Apporter toutes les modifications nécessaires à la saisie des frais par un visiteur.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Fournir : une maquette écran, un modèle de données, des requêtes SQL, les fichiers de code.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Versionner le travail.</w:t>
              <w:br w:type="textWrapping"/>
              <w:br w:type="textWrapping"/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Nature de la documentation professionnelle à présenter en appui de la solution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☐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Rapport de test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☐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Documentation technique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☐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Rapport d’incident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1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Documentation utilisateur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Autre : </w:t>
            </w:r>
          </w:p>
        </w:tc>
      </w:tr>
      <w:tr>
        <w:tc>
          <w:tcPr>
            <w:gridSpan w:val="3"/>
            <w:shd w:fill="auto" w:val="clear"/>
            <w:tcMar>
              <w:top w:w="28.0" w:type="dxa"/>
              <w:left w:w="115.0" w:type="dxa"/>
              <w:bottom w:w="2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 cours de l’épreuve, le candidat est autorisé à utiliser les ressources électroniques mises à disposition par le centre d’examen, à l’exception de tout service d’échanges synchrones ou asynchrones avec un tiers.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 est informé que l’ensemble des connexions réalisées peuvent faire l’objet d’un contrôle par la commission d’interrogation.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