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компьютерных наук</w:t>
      </w:r>
    </w:p>
    <w:p w:rsidR="00000000" w:rsidDel="00000000" w:rsidP="00000000" w:rsidRDefault="00000000" w:rsidRPr="00000000" w14:paraId="00000007">
      <w:pPr>
        <w:spacing w:after="840" w:befor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</w:t>
      </w:r>
      <w:r w:rsidDel="00000000" w:rsidR="00000000" w:rsidRPr="00000000">
        <w:rPr>
          <w:i w:val="1"/>
          <w:sz w:val="24"/>
          <w:szCs w:val="24"/>
          <w:rtl w:val="0"/>
        </w:rPr>
        <w:t xml:space="preserve"> программирования и информационных технологий                 </w:t>
      </w:r>
      <w:r w:rsidDel="00000000" w:rsidR="00000000" w:rsidRPr="00000000">
        <w:rPr>
          <w:sz w:val="24"/>
          <w:szCs w:val="24"/>
          <w:rtl w:val="0"/>
        </w:rPr>
        <w:t xml:space="preserve">Кафедра</w:t>
      </w:r>
      <w:r w:rsidDel="00000000" w:rsidR="00000000" w:rsidRPr="00000000">
        <w:rPr>
          <w:i w:val="1"/>
          <w:sz w:val="24"/>
          <w:szCs w:val="24"/>
          <w:rtl w:val="0"/>
        </w:rPr>
        <w:t xml:space="preserve"> информационных технологий управления</w:t>
      </w:r>
    </w:p>
    <w:p w:rsidR="00000000" w:rsidDel="00000000" w:rsidP="00000000" w:rsidRDefault="00000000" w:rsidRPr="00000000" w14:paraId="00000008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Веб-приложение заказа воды и обработки заказов “VitaWater”</w:t>
      </w:r>
    </w:p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Курсовой проект</w:t>
      </w:r>
    </w:p>
    <w:p w:rsidR="00000000" w:rsidDel="00000000" w:rsidP="00000000" w:rsidRDefault="00000000" w:rsidRPr="00000000" w14:paraId="0000000B">
      <w:pPr>
        <w:spacing w:after="120" w:before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09.03.02 Информационные системы и технологии</w:t>
      </w:r>
    </w:p>
    <w:p w:rsidR="00000000" w:rsidDel="00000000" w:rsidP="00000000" w:rsidRDefault="00000000" w:rsidRPr="00000000" w14:paraId="0000000D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Программная инженерия в информационных системах</w:t>
      </w:r>
    </w:p>
    <w:p w:rsidR="00000000" w:rsidDel="00000000" w:rsidP="00000000" w:rsidRDefault="00000000" w:rsidRPr="00000000" w14:paraId="0000000E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Информационные технологии управления</w:t>
      </w:r>
    </w:p>
    <w:p w:rsidR="00000000" w:rsidDel="00000000" w:rsidP="00000000" w:rsidRDefault="00000000" w:rsidRPr="00000000" w14:paraId="0000000F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12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Допущен к защите</w:t>
      </w:r>
    </w:p>
    <w:p w:rsidR="00000000" w:rsidDel="00000000" w:rsidP="00000000" w:rsidRDefault="00000000" w:rsidRPr="00000000" w14:paraId="00000013">
      <w:pPr>
        <w:spacing w:after="12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Обучающийся ________________ </w:t>
      </w:r>
      <w:r w:rsidDel="00000000" w:rsidR="00000000" w:rsidRPr="00000000">
        <w:rPr>
          <w:i w:val="1"/>
          <w:rtl w:val="0"/>
        </w:rPr>
        <w:t xml:space="preserve">А.А. Аксёнов, 3 курс, 3.1 группа</w:t>
      </w:r>
    </w:p>
    <w:p w:rsidR="00000000" w:rsidDel="00000000" w:rsidP="00000000" w:rsidRDefault="00000000" w:rsidRPr="00000000" w14:paraId="00000014">
      <w:pPr>
        <w:spacing w:after="12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Обучающийся ________________ </w:t>
      </w:r>
      <w:r w:rsidDel="00000000" w:rsidR="00000000" w:rsidRPr="00000000">
        <w:rPr>
          <w:i w:val="1"/>
          <w:rtl w:val="0"/>
        </w:rPr>
        <w:t xml:space="preserve">Р.И. Погорелов, 3 курс,  3.1 группа</w:t>
      </w:r>
    </w:p>
    <w:p w:rsidR="00000000" w:rsidDel="00000000" w:rsidP="00000000" w:rsidRDefault="00000000" w:rsidRPr="00000000" w14:paraId="00000015">
      <w:pPr>
        <w:spacing w:after="120" w:before="24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Обучающийся ________________ </w:t>
      </w:r>
      <w:r w:rsidDel="00000000" w:rsidR="00000000" w:rsidRPr="00000000">
        <w:rPr>
          <w:i w:val="1"/>
          <w:rtl w:val="0"/>
        </w:rPr>
        <w:t xml:space="preserve">А.Ю. Чиркин, 3 курс,  2.2 группа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Воронеж 2020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yfeev1tg72y" w:id="0"/>
      <w:bookmarkEnd w:id="0"/>
      <w:r w:rsidDel="00000000" w:rsidR="00000000" w:rsidRPr="00000000">
        <w:rPr>
          <w:b w:val="1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yfeev1tg72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_kyfeev1tg72y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n8do0lq1dj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_gn8do0lq1dj2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ks64fzo94o2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   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_ks64fzo94o2z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jdci5d829cj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2.   Анализ предметной области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_jdci5d829cjq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tjhbmd73pb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Глоссарий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_gtjhbmd73pbt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ktolktd7iv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 Анализ предметной области в целом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_iktolktd7ivz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mi05xq5smd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 Анализ существующих решений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_nmi05xq5smd5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b3s2xrn0tmj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2.4. Анализ потребностей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_b3s2xrn0tmje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rbyo1qxkntjh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2.4.1 Со стороны потребителей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_rbyo1qxkntjh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mpha3pf3lpzc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2.4.2. Со стороны производителей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_mpha3pf3lpzc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k5kkzfumvjz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3. Список использованных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_k5kkzfumvjzh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ctebyo4gvpe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</w:rPr>
      </w:pPr>
      <w:bookmarkStart w:colFirst="0" w:colLast="0" w:name="_gn8do0lq1dj2" w:id="2"/>
      <w:bookmarkEnd w:id="2"/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границах города, в зависимости от района, вода из-под крана может сильно отличаться по своему составу и вкусовым качествам. Кто-то привык пить водопроводную воду и не видит отличия от бутилированной, кому-то приходится ставить систему фильтров, чтобы избавиться от неприятного «водопроводного привкуса». Почему это происходит, и можно ли пить воду из крана без предварительной обработки?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Вся водопроводная вода проходит предварительную подготовку на предприятиях «Водоканала», отвечающих за водоснабжение жителей. Источники забора воды делятся на подземные и поверхностные. Подземные источники — это скважины различного происхождения и глубины залегания. Как правило, такая вода требует минимальной обработки или не требует ее вовсе. Процесс водоподготовки представляет собой осветление, обесцвечивание, фильтрование через песчаные фильтры, повторное обеззараживание воды перед поступлением в запасорегулирующие резервуары и распределительную сеть. Вода после водоподготовки отвечает всем требованиям СанПиН и может быть использована для бытовых целей без ограничений.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Несмотря на то, что водопроводная вода соответствует всем нормам, пить ее без предварительной обработки врачи не рекомендуют.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Одним из способов очистки водопроводной воды является кипячение. Термическая обработка избавляет ее от большинства микроорганизмов. Однако кипячение изменяет вкус воды, часть полезных минеральных соединений разрушается и испаряется. Кроме того, от хлористых и железистых соединений кипячение не спасает.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4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Избавиться от запаха хлора и избытка железа в воде помогает установка специальных фильтров. Но таких системы, как правило, дороги в обслуживании, так как требуют регулярной замены картриджей.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итоге самым простым решением становится разделение воды в доме на питьевую и техническую. Водопроводная вода прекрасно подходит для бытовых нужд — мытья посуды, уборки помещения, стирки, полива цветов и так далее. А вот питьевую воду лучше заказывать отдельно. В этом случае вы будете уверены в ее чистоте и полезности, а водопроводный привкус железа и хлора не испортит вкус еды и чая.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60" w:lineRule="auto"/>
        <w:rPr>
          <w:rFonts w:ascii="Roboto" w:cs="Roboto" w:eastAsia="Roboto" w:hAnsi="Roboto"/>
          <w:color w:val="465c6c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Именно поэтому у людей возникла необходимость заказывать минерализованную/витаминизированную бутилированную воду.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b w:val="1"/>
          <w:sz w:val="36"/>
          <w:szCs w:val="36"/>
        </w:rPr>
      </w:pPr>
      <w:bookmarkStart w:colFirst="0" w:colLast="0" w:name="_vgkkx4ny28l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b w:val="1"/>
          <w:sz w:val="36"/>
          <w:szCs w:val="36"/>
        </w:rPr>
      </w:pPr>
      <w:bookmarkStart w:colFirst="0" w:colLast="0" w:name="_ks64fzo94o2z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курсового проекта является создание веб-приложения с интуитивно понятным интерфейсом для заказа питьевой воды. Также система будет позволять менеджеру обрабатывать заказы клиентов. Веб-приложение должно иметь 3 вида пользователей со следующим возможностями: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before="12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Потенциальный клиент: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добавить в корзину товар, указать количество товара;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заказать выбранные товары;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Клиент: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имеет возможности “потенциального клиента”;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совершить “быстрый заказ”;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списка адресов; 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имени;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посмотреть историю своих заказов и их статус;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отменить заказ;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из системы;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Менеджер: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заказов;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выгрузка заказов в формате, поддерживаемым Microsoft Excel;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статуса заказа;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покупателей;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hd w:fill="ffffff" w:val="clear"/>
        <w:spacing w:after="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выйти из системы;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Завершенный проект представляет собой полностью функционирующее веб-приложение, имеющие указанный выше функционал.</w:t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цели курсового проекта были выделены следующие задачи: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Front-end части приложения, взаимодействие с которой осуществляется пользователями через веб-браузер;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Back-end части приложения, развернутой на удаленном сервер;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связи между Front-end и Back-end частями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69s17qeub2o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after="240" w:before="240" w:lineRule="auto"/>
        <w:rPr>
          <w:b w:val="1"/>
          <w:sz w:val="36"/>
          <w:szCs w:val="36"/>
        </w:rPr>
      </w:pPr>
      <w:bookmarkStart w:colFirst="0" w:colLast="0" w:name="_jdci5d829cjq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36"/>
          <w:szCs w:val="36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63">
      <w:pPr>
        <w:pStyle w:val="Heading2"/>
        <w:rPr>
          <w:b w:val="1"/>
        </w:rPr>
      </w:pPr>
      <w:bookmarkStart w:colFirst="0" w:colLast="0" w:name="_gtjhbmd73pbt" w:id="7"/>
      <w:bookmarkEnd w:id="7"/>
      <w:r w:rsidDel="00000000" w:rsidR="00000000" w:rsidRPr="00000000">
        <w:rPr>
          <w:b w:val="1"/>
          <w:rtl w:val="0"/>
        </w:rPr>
        <w:t xml:space="preserve">2.1. Глоссарий</w:t>
      </w:r>
    </w:p>
    <w:p w:rsidR="00000000" w:rsidDel="00000000" w:rsidP="00000000" w:rsidRDefault="00000000" w:rsidRPr="00000000" w14:paraId="00000064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Потенциальные клиент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посетитель веб-приложения, который имеет возможность совершить первый заказ.</w:t>
      </w:r>
    </w:p>
    <w:p w:rsidR="00000000" w:rsidDel="00000000" w:rsidP="00000000" w:rsidRDefault="00000000" w:rsidRPr="00000000" w14:paraId="00000065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Клиент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покупатель, который совершил один заказ или более.</w:t>
      </w:r>
    </w:p>
    <w:p w:rsidR="00000000" w:rsidDel="00000000" w:rsidP="00000000" w:rsidRDefault="00000000" w:rsidRPr="00000000" w14:paraId="00000066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u w:val="single"/>
          <w:rtl w:val="0"/>
        </w:rPr>
        <w:t xml:space="preserve">Менеджер по продажам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8"/>
          <w:szCs w:val="28"/>
          <w:highlight w:val="white"/>
          <w:rtl w:val="0"/>
        </w:rPr>
        <w:t xml:space="preserve"> - специалист, профессионально занимающийся торговой деятельностью.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Быстрый заказ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заказ с выбором адреса и состава заказа из истории</w:t>
      </w:r>
    </w:p>
    <w:p w:rsidR="00000000" w:rsidDel="00000000" w:rsidP="00000000" w:rsidRDefault="00000000" w:rsidRPr="00000000" w14:paraId="00000068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клиентская сторона пользовательского интерфейса к программно-аппаратной части 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программно-аппаратная часть сервиса.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REST API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это стиль архитектуры программного обеспечения для построения распределенных масштабируемых веб-сервисов.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2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GitHub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крупнейший веб-сервис для хостинга IT-проектов и их совместной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b w:val="1"/>
        </w:rPr>
      </w:pPr>
      <w:bookmarkStart w:colFirst="0" w:colLast="0" w:name="_iktolktd7ivz" w:id="8"/>
      <w:bookmarkEnd w:id="8"/>
      <w:r w:rsidDel="00000000" w:rsidR="00000000" w:rsidRPr="00000000">
        <w:rPr>
          <w:b w:val="1"/>
          <w:rtl w:val="0"/>
        </w:rPr>
        <w:t xml:space="preserve">2.2. Анализ предметной области в целом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465c6c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эпоху глобального потепления наличие чистой питьевой воды с каждым днем становится все большей проблемой. Всё больше людей обращают внимание на качество питьевой воды и многие хотели бы пить полезную для здоровья воду. </w:t>
      </w:r>
    </w:p>
    <w:p w:rsidR="00000000" w:rsidDel="00000000" w:rsidP="00000000" w:rsidRDefault="00000000" w:rsidRPr="00000000" w14:paraId="0000007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c476f"/>
          <w:sz w:val="27"/>
          <w:szCs w:val="27"/>
          <w:shd w:fill="f1f9ff" w:val="clear"/>
        </w:rPr>
      </w:pPr>
      <w:r w:rsidDel="00000000" w:rsidR="00000000" w:rsidRPr="00000000">
        <w:rPr>
          <w:sz w:val="27"/>
          <w:szCs w:val="27"/>
          <w:rtl w:val="0"/>
        </w:rPr>
        <w:t xml:space="preserve">Согласно исследованию независимой аналитической компании Alto Consulting group на протяжении последних трех лет в России наблюдается увеличение производства бутилированных вод.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2c476f"/>
          <w:sz w:val="27"/>
          <w:szCs w:val="27"/>
          <w:shd w:fill="f1f9ff" w:val="clear"/>
        </w:rPr>
      </w:pPr>
      <w:r w:rsidDel="00000000" w:rsidR="00000000" w:rsidRPr="00000000">
        <w:rPr>
          <w:sz w:val="27"/>
          <w:szCs w:val="27"/>
          <w:rtl w:val="0"/>
        </w:rPr>
        <w:t xml:space="preserve">Исследование, проведённое ВЦИОМ показывает, что 49% опрошенных интересуются качеством водопроводной воды. Вместе с тем только воду из под крана пьют всего 44%.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c476f"/>
          <w:sz w:val="27"/>
          <w:szCs w:val="27"/>
          <w:shd w:fill="f1f9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Согласно исследованию агенству маркетинговых исследований МАСМИ 25% опрошенных одной из целей потребления воды называют получение необходимых витаминов и микроэлементов. </w:t>
      </w:r>
    </w:p>
    <w:p w:rsidR="00000000" w:rsidDel="00000000" w:rsidP="00000000" w:rsidRDefault="00000000" w:rsidRPr="00000000" w14:paraId="0000007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Исследование общественного мнения, проведённого ВЦИОМ показывает, что т</w:t>
      </w:r>
      <w:r w:rsidDel="00000000" w:rsidR="00000000" w:rsidRPr="00000000">
        <w:rPr>
          <w:sz w:val="27"/>
          <w:szCs w:val="27"/>
          <w:rtl w:val="0"/>
        </w:rPr>
        <w:t xml:space="preserve">реть россиян (32%) считают, что потребляемых с пищей полезных веществ недостаточно, поэтому необходимо дополнительно принимать витамины и минералы.</w:t>
      </w:r>
    </w:p>
    <w:p w:rsidR="00000000" w:rsidDel="00000000" w:rsidP="00000000" w:rsidRDefault="00000000" w:rsidRPr="00000000" w14:paraId="0000007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b w:val="1"/>
        </w:rPr>
      </w:pPr>
      <w:bookmarkStart w:colFirst="0" w:colLast="0" w:name="_nmi05xq5smd5" w:id="9"/>
      <w:bookmarkEnd w:id="9"/>
      <w:r w:rsidDel="00000000" w:rsidR="00000000" w:rsidRPr="00000000">
        <w:rPr>
          <w:b w:val="1"/>
          <w:rtl w:val="0"/>
        </w:rPr>
        <w:t xml:space="preserve">2.3. Анализ существующих решений</w:t>
      </w:r>
    </w:p>
    <w:p w:rsidR="00000000" w:rsidDel="00000000" w:rsidP="00000000" w:rsidRDefault="00000000" w:rsidRPr="00000000" w14:paraId="0000007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Основной р</w:t>
      </w:r>
      <w:r w:rsidDel="00000000" w:rsidR="00000000" w:rsidRPr="00000000">
        <w:rPr>
          <w:sz w:val="27"/>
          <w:szCs w:val="27"/>
          <w:rtl w:val="0"/>
        </w:rPr>
        <w:t xml:space="preserve">ынок бутилированной воды Воронежа представлен следующей таблицей: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очищенная (неизвестного происхождения)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http://vodaart.ru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https://aqua.one/воронеж/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http://water-vrn.ru/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минеральная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https://k-water36.ru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http://36eco.ru/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минеральная вулканического происхождения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http://borjomi.ru/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артезианская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http://vodadivo.ru/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https://aqua-work.ru/voronezh/voda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Из чего можно сделать вывод, что витаминизированная вода не представлена на рынке бутилированной воды Воронежа. </w:t>
      </w:r>
      <w:r w:rsidDel="00000000" w:rsidR="00000000" w:rsidRPr="00000000">
        <w:rPr>
          <w:sz w:val="27"/>
          <w:szCs w:val="27"/>
          <w:rtl w:val="0"/>
        </w:rPr>
        <w:t xml:space="preserve">Именно поэтому возник уникальный продукт VitaWater, который удовлетворяет запросы людей.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b w:val="1"/>
        </w:rPr>
      </w:pPr>
      <w:bookmarkStart w:colFirst="0" w:colLast="0" w:name="_b3s2xrn0tmje" w:id="10"/>
      <w:bookmarkEnd w:id="10"/>
      <w:r w:rsidDel="00000000" w:rsidR="00000000" w:rsidRPr="00000000">
        <w:rPr>
          <w:b w:val="1"/>
          <w:rtl w:val="0"/>
        </w:rPr>
        <w:t xml:space="preserve">2.4. Анализ потребностей</w:t>
      </w:r>
    </w:p>
    <w:p w:rsidR="00000000" w:rsidDel="00000000" w:rsidP="00000000" w:rsidRDefault="00000000" w:rsidRPr="00000000" w14:paraId="0000008B">
      <w:pPr>
        <w:pStyle w:val="Heading3"/>
        <w:rPr>
          <w:b w:val="1"/>
        </w:rPr>
      </w:pPr>
      <w:bookmarkStart w:colFirst="0" w:colLast="0" w:name="_rbyo1qxkntjh" w:id="11"/>
      <w:bookmarkEnd w:id="11"/>
      <w:r w:rsidDel="00000000" w:rsidR="00000000" w:rsidRPr="00000000">
        <w:rPr>
          <w:b w:val="1"/>
          <w:rtl w:val="0"/>
        </w:rPr>
        <w:t xml:space="preserve">2.4.1 Со стороны потребителей</w:t>
      </w:r>
    </w:p>
    <w:p w:rsidR="00000000" w:rsidDel="00000000" w:rsidP="00000000" w:rsidRDefault="00000000" w:rsidRPr="00000000" w14:paraId="0000008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b w:val="1"/>
        </w:rPr>
      </w:pPr>
      <w:bookmarkStart w:colFirst="0" w:colLast="0" w:name="_mpha3pf3lpzc" w:id="12"/>
      <w:bookmarkEnd w:id="12"/>
      <w:r w:rsidDel="00000000" w:rsidR="00000000" w:rsidRPr="00000000">
        <w:rPr>
          <w:b w:val="1"/>
          <w:rtl w:val="0"/>
        </w:rPr>
        <w:t xml:space="preserve">2.4.2. Со стороны производителей</w:t>
      </w:r>
    </w:p>
    <w:p w:rsidR="00000000" w:rsidDel="00000000" w:rsidP="00000000" w:rsidRDefault="00000000" w:rsidRPr="00000000" w14:paraId="0000008E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Для новой компании, которая производит витаминизированную воду необходимо разработать систему удобного и быстрого заказа воды и обработки заказов. (сейчас заказ возможен только по телефону) Это позволит привлечь новых клиентов в компанию.</w:t>
      </w:r>
    </w:p>
    <w:p w:rsidR="00000000" w:rsidDel="00000000" w:rsidP="00000000" w:rsidRDefault="00000000" w:rsidRPr="00000000" w14:paraId="0000008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Наше приложение даёт возможность за несколько минут выбрать и заказать витаминизированную воду, а менеджеру обработать созданные клиентами заказы.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gt0vgaauw0v2" w:id="13"/>
      <w:bookmarkEnd w:id="1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Heading1"/>
        <w:rPr>
          <w:b w:val="1"/>
          <w:sz w:val="36"/>
          <w:szCs w:val="36"/>
        </w:rPr>
      </w:pPr>
      <w:bookmarkStart w:colFirst="0" w:colLast="0" w:name="_gt0vgaauw0v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240" w:before="240" w:lineRule="auto"/>
        <w:rPr>
          <w:sz w:val="27"/>
          <w:szCs w:val="27"/>
        </w:rPr>
      </w:pPr>
      <w:bookmarkStart w:colFirst="0" w:colLast="0" w:name="_k5kkzfumvjzh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3. Список использованных источников</w:t>
      </w:r>
      <w:r w:rsidDel="00000000" w:rsidR="00000000" w:rsidRPr="00000000">
        <w:rPr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7"/>
          <w:szCs w:val="27"/>
        </w:rPr>
      </w:pPr>
      <w:hyperlink r:id="rId14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https://alto-group.ru/otchot/rossija/361-rynok-butilirovannoj-vody-tekushhaya-situaciya-i-prognoz-2014-2018-gg.html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7"/>
          <w:szCs w:val="27"/>
        </w:rPr>
      </w:pPr>
      <w:hyperlink r:id="rId15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https://wciom.ru/index.php?id=236&amp;uid=9914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http://www.foodmarket.spb.ru/current.php?article=2367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orjomi.ru/" TargetMode="External"/><Relationship Id="rId10" Type="http://schemas.openxmlformats.org/officeDocument/2006/relationships/hyperlink" Target="http://36eco.ru/" TargetMode="External"/><Relationship Id="rId13" Type="http://schemas.openxmlformats.org/officeDocument/2006/relationships/hyperlink" Target="https://aqua-work.ru/voronezh/voda" TargetMode="External"/><Relationship Id="rId12" Type="http://schemas.openxmlformats.org/officeDocument/2006/relationships/hyperlink" Target="http://vodadivo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-water36.ru" TargetMode="External"/><Relationship Id="rId15" Type="http://schemas.openxmlformats.org/officeDocument/2006/relationships/hyperlink" Target="https://wciom.ru/index.php?id=236&amp;uid=9914" TargetMode="External"/><Relationship Id="rId14" Type="http://schemas.openxmlformats.org/officeDocument/2006/relationships/hyperlink" Target="https://alto-group.ru/otchot/rossija/361-rynok-butilirovannoj-vody-tekushhaya-situaciya-i-prognoz-2014-2018-gg.html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vodaart.ru" TargetMode="External"/><Relationship Id="rId7" Type="http://schemas.openxmlformats.org/officeDocument/2006/relationships/hyperlink" Target="https://aqua.one/%D0%B2%D0%BE%D1%80%D0%BE%D0%BD%D0%B5%D0%B6/" TargetMode="External"/><Relationship Id="rId8" Type="http://schemas.openxmlformats.org/officeDocument/2006/relationships/hyperlink" Target="http://water-vrn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