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Pr>
        <w:rPr>
          <w:sz w:val="40"/>
          <w:szCs w:val="40"/>
        </w:rPr>
      </w:pPr>
    </w:p>
    <w:p w:rsidR="004F4035" w:rsidRDefault="007A2733">
      <w:pPr>
        <w:jc w:val="right"/>
        <w:rPr>
          <w:sz w:val="40"/>
          <w:szCs w:val="40"/>
        </w:rPr>
      </w:pPr>
      <w:r>
        <w:rPr>
          <w:sz w:val="40"/>
          <w:szCs w:val="40"/>
        </w:rPr>
        <w:t>PLAN DE GESTIÓN DE LA CONFIGURACIÓN</w:t>
      </w:r>
    </w:p>
    <w:p w:rsidR="004F4035" w:rsidRDefault="007A2733">
      <w:pPr>
        <w:jc w:val="right"/>
        <w:rPr>
          <w:sz w:val="40"/>
          <w:szCs w:val="40"/>
        </w:rPr>
      </w:pPr>
      <w:r>
        <w:rPr>
          <w:sz w:val="40"/>
          <w:szCs w:val="40"/>
        </w:rPr>
        <w:t>SOFTWARE ENTERPRISE SERVICES</w:t>
      </w:r>
    </w:p>
    <w:p w:rsidR="004F4035" w:rsidRDefault="007A2733">
      <w:pPr>
        <w:rPr>
          <w:color w:val="2E75B5"/>
          <w:sz w:val="32"/>
          <w:szCs w:val="32"/>
        </w:rPr>
      </w:pPr>
      <w:r>
        <w:br w:type="page"/>
      </w:r>
    </w:p>
    <w:p w:rsidR="004F4035" w:rsidRDefault="007A2733">
      <w:pPr>
        <w:keepNext/>
        <w:keepLines/>
        <w:spacing w:before="240" w:after="0"/>
        <w:rPr>
          <w:color w:val="2E75B5"/>
          <w:sz w:val="32"/>
          <w:szCs w:val="32"/>
        </w:rPr>
      </w:pPr>
      <w:r>
        <w:rPr>
          <w:color w:val="2E75B5"/>
          <w:sz w:val="32"/>
          <w:szCs w:val="32"/>
        </w:rPr>
        <w:lastRenderedPageBreak/>
        <w:t>Contenido</w:t>
      </w:r>
    </w:p>
    <w:sdt>
      <w:sdtPr>
        <w:id w:val="-1494019686"/>
        <w:docPartObj>
          <w:docPartGallery w:val="Table of Contents"/>
          <w:docPartUnique/>
        </w:docPartObj>
      </w:sdtPr>
      <w:sdtEndPr/>
      <w:sdtContent>
        <w:p w:rsidR="004F4035" w:rsidRDefault="007A2733">
          <w:pPr>
            <w:tabs>
              <w:tab w:val="right" w:pos="8503"/>
            </w:tabs>
            <w:spacing w:before="80" w:line="240" w:lineRule="auto"/>
          </w:pPr>
          <w:r>
            <w:fldChar w:fldCharType="begin"/>
          </w:r>
          <w:r>
            <w:instrText xml:space="preserve"> TOC \h \u \z </w:instrText>
          </w:r>
          <w:r>
            <w:fldChar w:fldCharType="separate"/>
          </w:r>
          <w:hyperlink w:anchor="_30j0zll">
            <w:r>
              <w:rPr>
                <w:b/>
              </w:rPr>
              <w:t>INTRODUCCIÓN</w:t>
            </w:r>
          </w:hyperlink>
          <w:r>
            <w:rPr>
              <w:b/>
            </w:rPr>
            <w:tab/>
          </w:r>
          <w:r>
            <w:fldChar w:fldCharType="begin"/>
          </w:r>
          <w:r>
            <w:instrText xml:space="preserve"> PAGEREF _30j0zll \h </w:instrText>
          </w:r>
          <w:r>
            <w:fldChar w:fldCharType="separate"/>
          </w:r>
          <w:r>
            <w:rPr>
              <w:b/>
            </w:rPr>
            <w:t>3</w:t>
          </w:r>
          <w:r>
            <w:fldChar w:fldCharType="end"/>
          </w:r>
        </w:p>
        <w:p w:rsidR="004F4035" w:rsidRDefault="007A2733">
          <w:pPr>
            <w:tabs>
              <w:tab w:val="right" w:pos="8503"/>
            </w:tabs>
            <w:spacing w:before="60" w:line="240" w:lineRule="auto"/>
            <w:ind w:left="360"/>
          </w:pPr>
          <w:hyperlink w:anchor="_1fob9te">
            <w:r>
              <w:t>Propósito</w:t>
            </w:r>
          </w:hyperlink>
          <w:r>
            <w:tab/>
          </w:r>
          <w:r>
            <w:fldChar w:fldCharType="begin"/>
          </w:r>
          <w:r>
            <w:instrText xml:space="preserve"> PAGEREF _1fob9te \h </w:instrText>
          </w:r>
          <w:r>
            <w:fldChar w:fldCharType="separate"/>
          </w:r>
          <w:r>
            <w:t>3</w:t>
          </w:r>
          <w:r>
            <w:fldChar w:fldCharType="end"/>
          </w:r>
        </w:p>
        <w:p w:rsidR="004F4035" w:rsidRDefault="007A2733">
          <w:pPr>
            <w:tabs>
              <w:tab w:val="right" w:pos="8503"/>
            </w:tabs>
            <w:spacing w:before="60" w:line="240" w:lineRule="auto"/>
            <w:ind w:left="360"/>
          </w:pPr>
          <w:hyperlink w:anchor="_3znysh7">
            <w:r>
              <w:t>Aplicabilidad</w:t>
            </w:r>
          </w:hyperlink>
          <w:r>
            <w:tab/>
          </w:r>
          <w:r>
            <w:fldChar w:fldCharType="begin"/>
          </w:r>
          <w:r>
            <w:instrText xml:space="preserve"> PAGEREF _3znysh7 \h </w:instrText>
          </w:r>
          <w:r>
            <w:fldChar w:fldCharType="separate"/>
          </w:r>
          <w:r>
            <w:t>3</w:t>
          </w:r>
          <w:r>
            <w:fldChar w:fldCharType="end"/>
          </w:r>
        </w:p>
        <w:p w:rsidR="004F4035" w:rsidRDefault="007A2733">
          <w:pPr>
            <w:tabs>
              <w:tab w:val="right" w:pos="8503"/>
            </w:tabs>
            <w:spacing w:before="60" w:after="80" w:line="240" w:lineRule="auto"/>
            <w:ind w:left="360"/>
          </w:pPr>
          <w:hyperlink w:anchor="_2et92p0">
            <w:r>
              <w:t>Alcance</w:t>
            </w:r>
          </w:hyperlink>
          <w:r>
            <w:tab/>
          </w:r>
          <w:r>
            <w:fldChar w:fldCharType="begin"/>
          </w:r>
          <w:r>
            <w:instrText xml:space="preserve"> PAGEREF _2et92p0 \h </w:instrText>
          </w:r>
          <w:r>
            <w:fldChar w:fldCharType="separate"/>
          </w:r>
          <w:r>
            <w:t>4</w:t>
          </w:r>
          <w:r>
            <w:fldChar w:fldCharType="end"/>
          </w:r>
          <w:r>
            <w:fldChar w:fldCharType="end"/>
          </w:r>
        </w:p>
      </w:sdtContent>
    </w:sdt>
    <w:p w:rsidR="004F4035" w:rsidRDefault="004F4035"/>
    <w:p w:rsidR="004F4035" w:rsidRDefault="004F4035"/>
    <w:p w:rsidR="004F4035" w:rsidRDefault="007A2733">
      <w:pPr>
        <w:rPr>
          <w:sz w:val="32"/>
          <w:szCs w:val="32"/>
        </w:rPr>
      </w:pPr>
      <w:r>
        <w:br w:type="page"/>
      </w:r>
    </w:p>
    <w:p w:rsidR="004F4035" w:rsidRDefault="007A2733">
      <w:pPr>
        <w:pStyle w:val="Ttulo1"/>
        <w:numPr>
          <w:ilvl w:val="0"/>
          <w:numId w:val="7"/>
        </w:numPr>
        <w:rPr>
          <w:b/>
          <w:color w:val="000000"/>
        </w:rPr>
      </w:pPr>
      <w:bookmarkStart w:id="0" w:name="_30j0zll" w:colFirst="0" w:colLast="0"/>
      <w:bookmarkEnd w:id="0"/>
      <w:r>
        <w:rPr>
          <w:b/>
          <w:color w:val="000000"/>
        </w:rPr>
        <w:lastRenderedPageBreak/>
        <w:t>INTRODUCCIÓN</w:t>
      </w:r>
    </w:p>
    <w:p w:rsidR="004F4035" w:rsidRDefault="004F4035">
      <w:pPr>
        <w:ind w:left="360"/>
        <w:jc w:val="both"/>
      </w:pPr>
    </w:p>
    <w:p w:rsidR="004F4035" w:rsidRDefault="007A2733">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w:t>
      </w:r>
      <w:r>
        <w:t>externa.</w:t>
      </w:r>
    </w:p>
    <w:p w:rsidR="004F4035" w:rsidRDefault="007A2733">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w:t>
      </w:r>
      <w:r>
        <w:t>en ser ignorados ya que estos permiten que el Software se adecue a nuevos ambientes, obtenga nuevos módulos o mejoras en los ya existentes y modificaciones producto de cambios en el negocio o en los procesos.</w:t>
      </w:r>
    </w:p>
    <w:p w:rsidR="004F4035" w:rsidRDefault="00474222">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1E4466" w:rsidRDefault="007A2733" w:rsidP="001E4466">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w:t>
      </w:r>
      <w:r>
        <w:t>d de los artefactos generados por los diversos proyectos que la organización posee, garantizar que no se realicen cambios sin control y asegurar que los integrantes de los proyectos dispongan de versiones actualizadas y aprobadas. Los artefactos no solo ab</w:t>
      </w:r>
      <w:r>
        <w:t>arcan ejecutables finales, sino a todos los productos generados por los Proyectos.</w:t>
      </w:r>
    </w:p>
    <w:p w:rsidR="004F4035" w:rsidRDefault="007A2733" w:rsidP="001E4466">
      <w:pPr>
        <w:ind w:left="360"/>
        <w:jc w:val="both"/>
      </w:pPr>
      <w:r>
        <w:t>El Plan de Gestión de la Configuración busca definir qué se va a configurar, cómo se va a configurar, quién lo va a configurar y cómo se manejarán los cambios qu</w:t>
      </w:r>
      <w:r>
        <w:t xml:space="preserve">e se realizarán. Para eso, el documento describirá las actividades de la Gestión de Configuración del Software que deben ser llevadas a cabo durante el proceso de desarrollo de los Proyectos de Software de la Organización. Las actividades de la Gestión de </w:t>
      </w:r>
      <w:r>
        <w:t>la Configuración del Software que se llevarán a cabo y que garantizan la calidad de esta, son las siguientes:</w:t>
      </w:r>
    </w:p>
    <w:p w:rsidR="004F4035" w:rsidRDefault="007A2733">
      <w:pPr>
        <w:numPr>
          <w:ilvl w:val="0"/>
          <w:numId w:val="3"/>
        </w:numPr>
        <w:spacing w:after="0"/>
        <w:contextualSpacing/>
        <w:jc w:val="both"/>
      </w:pPr>
      <w:r>
        <w:t>P</w:t>
      </w:r>
      <w:r>
        <w:t>lanificación de la Gestión de la Configuración</w:t>
      </w:r>
    </w:p>
    <w:p w:rsidR="004F4035" w:rsidRDefault="007A2733">
      <w:pPr>
        <w:numPr>
          <w:ilvl w:val="0"/>
          <w:numId w:val="3"/>
        </w:numPr>
        <w:spacing w:after="0"/>
        <w:contextualSpacing/>
        <w:jc w:val="both"/>
      </w:pPr>
      <w:r>
        <w:t>Identificación de la Configuración</w:t>
      </w:r>
    </w:p>
    <w:p w:rsidR="004F4035" w:rsidRDefault="007A2733">
      <w:pPr>
        <w:numPr>
          <w:ilvl w:val="0"/>
          <w:numId w:val="3"/>
        </w:numPr>
        <w:spacing w:after="0"/>
        <w:contextualSpacing/>
        <w:jc w:val="both"/>
      </w:pPr>
      <w:r>
        <w:t>Control de la Configuración.</w:t>
      </w:r>
    </w:p>
    <w:p w:rsidR="004F4035" w:rsidRDefault="007A2733">
      <w:pPr>
        <w:numPr>
          <w:ilvl w:val="0"/>
          <w:numId w:val="3"/>
        </w:numPr>
        <w:spacing w:after="0"/>
        <w:contextualSpacing/>
        <w:jc w:val="both"/>
      </w:pPr>
      <w:r>
        <w:t>Estado de la Configuración.</w:t>
      </w:r>
    </w:p>
    <w:p w:rsidR="004F4035" w:rsidRDefault="007A2733">
      <w:pPr>
        <w:numPr>
          <w:ilvl w:val="0"/>
          <w:numId w:val="3"/>
        </w:numPr>
        <w:spacing w:after="0"/>
        <w:contextualSpacing/>
        <w:jc w:val="both"/>
      </w:pPr>
      <w:r>
        <w:t>Audito</w:t>
      </w:r>
      <w:r>
        <w:t>rías y Revisiones de la Configuración.</w:t>
      </w:r>
    </w:p>
    <w:p w:rsidR="004F4035" w:rsidRDefault="007A2733">
      <w:pPr>
        <w:numPr>
          <w:ilvl w:val="0"/>
          <w:numId w:val="3"/>
        </w:numPr>
        <w:contextualSpacing/>
        <w:jc w:val="both"/>
      </w:pPr>
      <w:r>
        <w:t xml:space="preserve">Gestión de </w:t>
      </w:r>
      <w:proofErr w:type="spellStart"/>
      <w:r>
        <w:t>Release</w:t>
      </w:r>
      <w:proofErr w:type="spellEnd"/>
      <w:r>
        <w:t>.</w:t>
      </w:r>
    </w:p>
    <w:p w:rsidR="004F4035" w:rsidRDefault="004F4035">
      <w:pPr>
        <w:ind w:left="360"/>
      </w:pPr>
    </w:p>
    <w:p w:rsidR="004F4035" w:rsidRDefault="007A2733" w:rsidP="00E661E5">
      <w:pPr>
        <w:ind w:left="360"/>
        <w:jc w:val="both"/>
      </w:pPr>
      <w:r>
        <w:t xml:space="preserve">El presente Plan de Gestión de la Configuración aplica para todos aquellos proyectos de Desarrollo de Software que </w:t>
      </w:r>
      <w:r w:rsidR="00C07854">
        <w:t>se encuentran en desarrollo y en producción, así como futuros proyectos</w:t>
      </w:r>
      <w:bookmarkStart w:id="1" w:name="_2et92p0" w:colFirst="0" w:colLast="0"/>
      <w:bookmarkEnd w:id="1"/>
      <w:r w:rsidR="00E661E5">
        <w:t xml:space="preserve">. </w:t>
      </w:r>
      <w:r w:rsidR="009C7236">
        <w:t>El presente Plan de Gestión de la Configuración no aplica</w:t>
      </w:r>
      <w:r w:rsidR="00223DF4">
        <w:t xml:space="preserve"> para documentos confidenciales</w:t>
      </w:r>
      <w:r w:rsidR="00AC4E37">
        <w:t xml:space="preserve"> pertenecientes a Clientes o</w:t>
      </w:r>
      <w:r w:rsidR="00223DF4">
        <w:t xml:space="preserve"> Proveedores.</w:t>
      </w:r>
      <w:r w:rsidR="009C7236">
        <w:t xml:space="preserve"> </w:t>
      </w:r>
    </w:p>
    <w:p w:rsidR="004F4035" w:rsidRDefault="004F4035">
      <w:pPr>
        <w:jc w:val="both"/>
      </w:pPr>
    </w:p>
    <w:p w:rsidR="004F4035" w:rsidRDefault="007A2733">
      <w:pPr>
        <w:keepLines/>
        <w:widowControl w:val="0"/>
        <w:spacing w:after="120" w:line="312" w:lineRule="auto"/>
        <w:jc w:val="both"/>
        <w:rPr>
          <w:rFonts w:ascii="Arial" w:eastAsia="Arial" w:hAnsi="Arial" w:cs="Arial"/>
          <w:b/>
          <w:sz w:val="20"/>
          <w:szCs w:val="20"/>
        </w:rPr>
      </w:pPr>
      <w:r>
        <w:rPr>
          <w:b/>
          <w:sz w:val="26"/>
          <w:szCs w:val="26"/>
        </w:rPr>
        <w:t>2. Gestión de la SCM</w:t>
      </w:r>
    </w:p>
    <w:p w:rsidR="004F4035" w:rsidRDefault="007A2733">
      <w:pPr>
        <w:keepLines/>
        <w:widowControl w:val="0"/>
        <w:spacing w:after="120" w:line="312" w:lineRule="auto"/>
        <w:ind w:left="426"/>
        <w:jc w:val="both"/>
        <w:rPr>
          <w:rFonts w:ascii="Arial" w:eastAsia="Arial" w:hAnsi="Arial" w:cs="Arial"/>
          <w:sz w:val="20"/>
          <w:szCs w:val="20"/>
        </w:rPr>
      </w:pPr>
      <w:r>
        <w:t xml:space="preserve">A continuación se describen las responsabilidades y los responsables para la realización de las actividades de gestión de configuración dentro </w:t>
      </w:r>
      <w:r>
        <w:t>del proyecto.</w:t>
      </w:r>
    </w:p>
    <w:p w:rsidR="004F4035" w:rsidRDefault="007A2733">
      <w:pPr>
        <w:keepLines/>
        <w:widowControl w:val="0"/>
        <w:numPr>
          <w:ilvl w:val="1"/>
          <w:numId w:val="1"/>
        </w:numPr>
        <w:spacing w:after="120" w:line="312" w:lineRule="auto"/>
        <w:ind w:left="851"/>
        <w:jc w:val="both"/>
        <w:rPr>
          <w:rFonts w:ascii="Arial" w:eastAsia="Arial" w:hAnsi="Arial" w:cs="Arial"/>
          <w:b/>
          <w:sz w:val="20"/>
          <w:szCs w:val="20"/>
        </w:rPr>
      </w:pPr>
      <w:r>
        <w:rPr>
          <w:b/>
          <w:sz w:val="26"/>
          <w:szCs w:val="26"/>
        </w:rPr>
        <w:t>Organización</w:t>
      </w:r>
    </w:p>
    <w:p w:rsidR="004F4035" w:rsidRDefault="004F4035">
      <w:pPr>
        <w:keepLines/>
        <w:widowControl w:val="0"/>
        <w:spacing w:after="120" w:line="312" w:lineRule="auto"/>
        <w:ind w:left="720"/>
        <w:jc w:val="both"/>
        <w:rPr>
          <w:rFonts w:ascii="Arial" w:eastAsia="Arial" w:hAnsi="Arial" w:cs="Arial"/>
          <w:sz w:val="20"/>
          <w:szCs w:val="20"/>
        </w:rPr>
      </w:pPr>
    </w:p>
    <w:p w:rsidR="004F4035" w:rsidRDefault="007A2733">
      <w:pPr>
        <w:keepLines/>
        <w:widowControl w:val="0"/>
        <w:numPr>
          <w:ilvl w:val="1"/>
          <w:numId w:val="1"/>
        </w:numPr>
        <w:spacing w:after="120" w:line="312" w:lineRule="auto"/>
        <w:ind w:left="851"/>
        <w:jc w:val="both"/>
        <w:rPr>
          <w:rFonts w:ascii="Arial" w:eastAsia="Arial" w:hAnsi="Arial" w:cs="Arial"/>
          <w:b/>
          <w:sz w:val="20"/>
          <w:szCs w:val="20"/>
        </w:rPr>
      </w:pPr>
      <w:r>
        <w:rPr>
          <w:rFonts w:ascii="Arial" w:eastAsia="Arial" w:hAnsi="Arial" w:cs="Arial"/>
          <w:b/>
          <w:sz w:val="20"/>
          <w:szCs w:val="20"/>
        </w:rPr>
        <w:t>Roles y Responsabilidades</w:t>
      </w:r>
    </w:p>
    <w:p w:rsidR="004F4035" w:rsidRDefault="007A2733">
      <w:pPr>
        <w:keepLines/>
        <w:widowControl w:val="0"/>
        <w:numPr>
          <w:ilvl w:val="0"/>
          <w:numId w:val="6"/>
        </w:numPr>
        <w:spacing w:after="120" w:line="312" w:lineRule="auto"/>
        <w:contextualSpacing/>
        <w:jc w:val="both"/>
        <w:rPr>
          <w:b/>
        </w:rPr>
      </w:pPr>
      <w:r>
        <w:rPr>
          <w:b/>
        </w:rPr>
        <w:t>Comité de Control de Cambios</w:t>
      </w:r>
    </w:p>
    <w:p w:rsidR="004F4035" w:rsidRDefault="007A2733">
      <w:pPr>
        <w:keepLines/>
        <w:widowControl w:val="0"/>
        <w:spacing w:after="120" w:line="312" w:lineRule="auto"/>
        <w:ind w:left="1276"/>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w:t>
      </w:r>
      <w:r>
        <w:t>ariamente realizada por el CCC). Además se encargará de revisar la implementación (deberá comprobar que lo implementado corresponda con el cambio indicado en la SC). El CCC estará formado por los miembros del equipo central de desarrollo.</w:t>
      </w:r>
      <w:bookmarkStart w:id="2" w:name="_GoBack"/>
      <w:bookmarkEnd w:id="2"/>
    </w:p>
    <w:p w:rsidR="004F4035" w:rsidRDefault="007A2733">
      <w:pPr>
        <w:keepLines/>
        <w:widowControl w:val="0"/>
        <w:numPr>
          <w:ilvl w:val="0"/>
          <w:numId w:val="5"/>
        </w:numPr>
        <w:spacing w:after="120" w:line="312" w:lineRule="auto"/>
        <w:contextualSpacing/>
        <w:jc w:val="both"/>
        <w:rPr>
          <w:b/>
        </w:rPr>
      </w:pPr>
      <w:r>
        <w:rPr>
          <w:b/>
        </w:rPr>
        <w:t xml:space="preserve"> Gestor de l</w:t>
      </w:r>
      <w:r>
        <w:rPr>
          <w:b/>
        </w:rPr>
        <w:t>a Gestión de la Configuración</w:t>
      </w:r>
    </w:p>
    <w:p w:rsidR="004F4035" w:rsidRDefault="007A2733">
      <w:pPr>
        <w:keepLines/>
        <w:widowControl w:val="0"/>
        <w:spacing w:after="120" w:line="312" w:lineRule="auto"/>
        <w:ind w:left="1276"/>
        <w:jc w:val="both"/>
      </w:pPr>
      <w:r>
        <w:t xml:space="preserve">El gestor de la gestión de la configuración es el encargado de implementar, mantener y mejorar la gestión de la configuración. Además se encargará de controlar todos los cambios realizados en el repositorio CVS, vigilando que </w:t>
      </w:r>
      <w:r>
        <w:t xml:space="preserve">se siguen las indicaciones establecidas en el presente plan SCM. También se encargará de administrar la herramienta </w:t>
      </w:r>
      <w:proofErr w:type="spellStart"/>
      <w:r>
        <w:t>GitHub</w:t>
      </w:r>
      <w:proofErr w:type="spellEnd"/>
      <w:r>
        <w:t xml:space="preserve"> para un uso adecuado de la misma durante el desarrollo del proyecto. Asimismo será la persona que se responsabilice de la creación de</w:t>
      </w:r>
      <w:r>
        <w:t xml:space="preserve"> ramas en el repositorio CVS.</w:t>
      </w:r>
    </w:p>
    <w:p w:rsidR="004F4035" w:rsidRDefault="007A2733">
      <w:pPr>
        <w:keepLines/>
        <w:widowControl w:val="0"/>
        <w:numPr>
          <w:ilvl w:val="0"/>
          <w:numId w:val="4"/>
        </w:numPr>
        <w:spacing w:after="120" w:line="312" w:lineRule="auto"/>
        <w:ind w:left="1276" w:hanging="217"/>
        <w:jc w:val="both"/>
        <w:rPr>
          <w:b/>
        </w:rPr>
      </w:pPr>
      <w:r>
        <w:rPr>
          <w:b/>
        </w:rPr>
        <w:t>Bibliotecario</w:t>
      </w:r>
    </w:p>
    <w:p w:rsidR="004F4035" w:rsidRDefault="007A2733">
      <w:pPr>
        <w:keepLines/>
        <w:widowControl w:val="0"/>
        <w:spacing w:after="120" w:line="312" w:lineRule="auto"/>
        <w:ind w:left="1276"/>
        <w:jc w:val="both"/>
      </w:pPr>
      <w:r>
        <w:t xml:space="preserve">El bibliotecario se ocupará de diseñar y establecer la biblioteca de software para cada proyecto de desarrollo, así como mantener un índice actualizado con el contenido de cada biblioteca. Organizará y mantendrá </w:t>
      </w:r>
      <w:r>
        <w:t>el software y la documentación de cada proyecto de acuerdo a un proceso documentado. Además, se encargará de registrar y mantener copias de las antiguas versiones.</w:t>
      </w:r>
    </w:p>
    <w:p w:rsidR="004F4035" w:rsidRDefault="007A2733">
      <w:pPr>
        <w:keepLines/>
        <w:widowControl w:val="0"/>
        <w:numPr>
          <w:ilvl w:val="0"/>
          <w:numId w:val="4"/>
        </w:numPr>
        <w:spacing w:after="120" w:line="312" w:lineRule="auto"/>
        <w:ind w:left="1276" w:hanging="217"/>
        <w:jc w:val="both"/>
      </w:pPr>
      <w:r>
        <w:rPr>
          <w:b/>
        </w:rPr>
        <w:t>Equipo de Trabajo</w:t>
      </w:r>
    </w:p>
    <w:p w:rsidR="004F4035" w:rsidRDefault="007A2733">
      <w:pPr>
        <w:keepLines/>
        <w:widowControl w:val="0"/>
        <w:spacing w:after="120" w:line="312" w:lineRule="auto"/>
        <w:ind w:left="1276"/>
        <w:jc w:val="both"/>
      </w:pPr>
      <w:r>
        <w:lastRenderedPageBreak/>
        <w:t>El equipo de trabajo será responsable de desarrollar los documentos y fich</w:t>
      </w:r>
      <w:r>
        <w:t xml:space="preserve">eros de código fuente, almacenando las nuevas versiones en el repositorio CVS. Notificarán cuándo un documento o fichero fuente está listo para ser probado, momento en el que se pondrán en marcha todas las tareas de aseguramiento de calidad. También serán </w:t>
      </w:r>
      <w:r>
        <w:t>los responsables de descubrir fallos o solicitar cambios en las versiones estables de un producto, y de implementarlos por indicación del CCC. Cada desarrollador deberá introducir una descripción completa y correcta de los cambios introducidos en un docume</w:t>
      </w:r>
      <w:r>
        <w:t>nto o fichero fuente al integrar una nueva versión en el repositorio CVS.</w:t>
      </w:r>
    </w:p>
    <w:p w:rsidR="004F4035" w:rsidRDefault="007A2733">
      <w:pPr>
        <w:keepLines/>
        <w:widowControl w:val="0"/>
        <w:spacing w:after="120" w:line="312" w:lineRule="auto"/>
        <w:ind w:left="1134"/>
        <w:jc w:val="both"/>
        <w:rPr>
          <w:i/>
        </w:rPr>
      </w:pPr>
      <w:r>
        <w:rPr>
          <w:i/>
        </w:rPr>
        <w:t>*SC: Solicitud de Cambio</w:t>
      </w:r>
    </w:p>
    <w:p w:rsidR="004F4035" w:rsidRDefault="007A2733">
      <w:pPr>
        <w:keepLines/>
        <w:widowControl w:val="0"/>
        <w:spacing w:after="120" w:line="312" w:lineRule="auto"/>
        <w:ind w:left="1134"/>
        <w:jc w:val="both"/>
        <w:rPr>
          <w:i/>
        </w:rPr>
      </w:pPr>
      <w:r>
        <w:rPr>
          <w:i/>
        </w:rPr>
        <w:t>*CVS: Sistema de Control de Versiones.</w:t>
      </w:r>
    </w:p>
    <w:sectPr w:rsidR="004F4035">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C0555"/>
    <w:multiLevelType w:val="multilevel"/>
    <w:tmpl w:val="891695A8"/>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
    <w:nsid w:val="26D1475F"/>
    <w:multiLevelType w:val="multilevel"/>
    <w:tmpl w:val="B62EA1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1777CB6"/>
    <w:multiLevelType w:val="multilevel"/>
    <w:tmpl w:val="33C8F84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6323080E"/>
    <w:multiLevelType w:val="multilevel"/>
    <w:tmpl w:val="6860B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657C0FEF"/>
    <w:multiLevelType w:val="multilevel"/>
    <w:tmpl w:val="0A6873FC"/>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abstractNum w:abstractNumId="5">
    <w:nsid w:val="73570EA4"/>
    <w:multiLevelType w:val="multilevel"/>
    <w:tmpl w:val="B60C90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7D226660"/>
    <w:multiLevelType w:val="multilevel"/>
    <w:tmpl w:val="58622982"/>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num w:numId="1">
    <w:abstractNumId w:val="2"/>
  </w:num>
  <w:num w:numId="2">
    <w:abstractNumId w:val="6"/>
  </w:num>
  <w:num w:numId="3">
    <w:abstractNumId w:val="4"/>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4"/>
  </w:compat>
  <w:rsids>
    <w:rsidRoot w:val="004F4035"/>
    <w:rsid w:val="001E4466"/>
    <w:rsid w:val="00223DF4"/>
    <w:rsid w:val="00474222"/>
    <w:rsid w:val="004F4035"/>
    <w:rsid w:val="007A2733"/>
    <w:rsid w:val="007D61B1"/>
    <w:rsid w:val="009C7236"/>
    <w:rsid w:val="00AC4E37"/>
    <w:rsid w:val="00C07854"/>
    <w:rsid w:val="00CC2101"/>
    <w:rsid w:val="00E661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A19531-7FE6-4263-B590-A0D1FE2E8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9C7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877</Words>
  <Characters>4829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takeshi</cp:lastModifiedBy>
  <cp:revision>10</cp:revision>
  <dcterms:created xsi:type="dcterms:W3CDTF">2017-09-14T04:26:00Z</dcterms:created>
  <dcterms:modified xsi:type="dcterms:W3CDTF">2017-09-14T06:06:00Z</dcterms:modified>
</cp:coreProperties>
</file>