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SOFTWARE ENTERPRISE SERVICES</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6"/>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Planificación de la Gestión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Identificación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Control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Estado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Auditorías y Revisiones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Gestión de Release.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contextualSpacing w:val="0"/>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DEFINICIONES Y ACRONIMOS</w:t>
      </w:r>
    </w:p>
    <w:p w:rsidR="00000000" w:rsidDel="00000000" w:rsidP="00000000" w:rsidRDefault="00000000" w:rsidRPr="00000000">
      <w:pPr>
        <w:contextualSpacing w:val="0"/>
        <w:jc w:val="both"/>
        <w:rPr/>
      </w:pPr>
      <w:r w:rsidDel="00000000" w:rsidR="00000000" w:rsidRPr="00000000">
        <w:rPr>
          <w:rtl w:val="0"/>
        </w:rPr>
        <w:t xml:space="preserve">A continuación se desarrollaran algunas definiciones y acrónimos utilizados en el presenta plan de gestión de la configuración.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GCS o SCM</w:t>
      </w:r>
    </w:p>
    <w:p w:rsidR="00000000" w:rsidDel="00000000" w:rsidP="00000000" w:rsidRDefault="00000000" w:rsidRPr="00000000">
      <w:pPr>
        <w:ind w:left="360" w:firstLine="0"/>
        <w:contextualSpacing w:val="0"/>
        <w:jc w:val="both"/>
        <w:rPr/>
      </w:pPr>
      <w:r w:rsidDel="00000000" w:rsidR="00000000" w:rsidRPr="00000000">
        <w:rPr>
          <w:rtl w:val="0"/>
        </w:rPr>
        <w:t xml:space="preserve">Son siglas de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ind w:left="36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Comité de control de la configuración (CCC)</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personas que revisan y aprueban los cambios sugeridos a un producto.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Petición de cambio (SC)</w:t>
      </w:r>
    </w:p>
    <w:p w:rsidR="00000000" w:rsidDel="00000000" w:rsidP="00000000" w:rsidRDefault="00000000" w:rsidRPr="00000000">
      <w:pPr>
        <w:ind w:left="360" w:firstLine="0"/>
        <w:contextualSpacing w:val="0"/>
        <w:jc w:val="both"/>
        <w:rPr/>
      </w:pPr>
      <w:r w:rsidDel="00000000" w:rsidR="00000000" w:rsidRPr="00000000">
        <w:rPr>
          <w:rtl w:val="0"/>
        </w:rPr>
        <w:t xml:space="preserve">Solicitud formal que se presenta ante el CCC, la cual describe un problema de software, una mejora solicitada o un cambio en los requerimientos del software.</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Elemento  de configuración (EC)</w:t>
      </w:r>
    </w:p>
    <w:p w:rsidR="00000000" w:rsidDel="00000000" w:rsidP="00000000" w:rsidRDefault="00000000" w:rsidRPr="00000000">
      <w:pPr>
        <w:ind w:left="360" w:firstLine="0"/>
        <w:contextualSpacing w:val="0"/>
        <w:jc w:val="both"/>
        <w:rPr/>
      </w:pPr>
      <w:r w:rsidDel="00000000" w:rsidR="00000000" w:rsidRPr="00000000">
        <w:rPr>
          <w:rtl w:val="0"/>
        </w:rPr>
        <w:t xml:space="preserve">Se entiende como el elemento de configuración aquel producto de trabajo, cuyo cambio pueda resultar crítico para el desarrollo del proyecto.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Control de cambios (CC)</w:t>
      </w:r>
    </w:p>
    <w:p w:rsidR="00000000" w:rsidDel="00000000" w:rsidP="00000000" w:rsidRDefault="00000000" w:rsidRPr="00000000">
      <w:pPr>
        <w:ind w:left="360" w:firstLine="0"/>
        <w:contextualSpacing w:val="0"/>
        <w:jc w:val="both"/>
        <w:rPr/>
      </w:pPr>
      <w:r w:rsidDel="00000000" w:rsidR="00000000" w:rsidRPr="00000000">
        <w:rPr>
          <w:rtl w:val="0"/>
        </w:rPr>
        <w:t xml:space="preserve">Proceso responsable de controlar el ciclo de vida de todos los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ind w:left="36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ind w:left="360" w:firstLine="0"/>
        <w:contextualSpacing w:val="0"/>
        <w:jc w:val="both"/>
        <w:rPr>
          <w:b w:val="1"/>
        </w:rPr>
      </w:pPr>
      <w:bookmarkStart w:colFirst="0" w:colLast="0" w:name="_1fob9te" w:id="2"/>
      <w:bookmarkEnd w:id="2"/>
      <w:r w:rsidDel="00000000" w:rsidR="00000000" w:rsidRPr="00000000">
        <w:rPr>
          <w:b w:val="1"/>
          <w:rtl w:val="0"/>
        </w:rPr>
        <w:t xml:space="preserve">Rational Unified Process (RUP)</w:t>
      </w:r>
    </w:p>
    <w:p w:rsidR="00000000" w:rsidDel="00000000" w:rsidP="00000000" w:rsidRDefault="00000000" w:rsidRPr="00000000">
      <w:pPr>
        <w:ind w:left="360" w:firstLine="0"/>
        <w:contextualSpacing w:val="0"/>
        <w:jc w:val="both"/>
        <w:rPr/>
      </w:pPr>
      <w:r w:rsidDel="00000000" w:rsidR="00000000" w:rsidRPr="00000000">
        <w:rPr>
          <w:rtl w:val="0"/>
        </w:rPr>
        <w:t xml:space="preserve">Es un proceso de ingeniería de software que suministra un enfoque para asignar tareas y responsabilidades dentro de una organización de desarrollo.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desarrollo</w:t>
      </w:r>
    </w:p>
    <w:p w:rsidR="00000000" w:rsidDel="00000000" w:rsidP="00000000" w:rsidRDefault="00000000" w:rsidRPr="00000000">
      <w:pPr>
        <w:ind w:left="360" w:firstLine="0"/>
        <w:contextualSpacing w:val="0"/>
        <w:jc w:val="both"/>
        <w:rPr/>
      </w:pPr>
      <w:r w:rsidDel="00000000" w:rsidR="00000000" w:rsidRPr="00000000">
        <w:rPr>
          <w:rtl w:val="0"/>
        </w:rPr>
        <w:t xml:space="preserve">Versión de un sistema o componente que está sufriendo modificaciones por mejoras o correcciones por lo que aún no está disponible para producción.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producción</w:t>
      </w:r>
    </w:p>
    <w:p w:rsidR="00000000" w:rsidDel="00000000" w:rsidP="00000000" w:rsidRDefault="00000000" w:rsidRPr="00000000">
      <w:pPr>
        <w:ind w:left="360" w:firstLine="0"/>
        <w:contextualSpacing w:val="0"/>
        <w:jc w:val="both"/>
        <w:rPr/>
      </w:pPr>
      <w:r w:rsidDel="00000000" w:rsidR="00000000" w:rsidRPr="00000000">
        <w:rPr>
          <w:rtl w:val="0"/>
        </w:rPr>
        <w:t xml:space="preserve">Es una versión de un sistema o componente que se encuentra disponible para el uso de usuarios finales.</w:t>
      </w:r>
    </w:p>
    <w:p w:rsidR="00000000" w:rsidDel="00000000" w:rsidP="00000000" w:rsidRDefault="00000000" w:rsidRPr="00000000">
      <w:pPr>
        <w:ind w:left="426"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6"/>
        </w:numPr>
        <w:ind w:left="360" w:hanging="360"/>
        <w:contextualSpacing w:val="0"/>
        <w:rPr>
          <w:b w:val="1"/>
          <w:color w:val="000000"/>
        </w:rPr>
      </w:pPr>
      <w:bookmarkStart w:colFirst="0" w:colLast="0" w:name="_3znysh7" w:id="3"/>
      <w:bookmarkEnd w:id="3"/>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2et92p0" w:id="4"/>
      <w:bookmarkEnd w:id="4"/>
      <w:r w:rsidDel="00000000" w:rsidR="00000000" w:rsidRPr="00000000">
        <w:rPr>
          <w:b w:val="1"/>
          <w:color w:val="000000"/>
          <w:rtl w:val="0"/>
        </w:rPr>
        <w:t xml:space="preserve">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before="0" w:line="312"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 Software que estarán relacionadas con las Gestión de la Configuración son las siguientes:</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5"/>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b w:val="1"/>
        </w:rPr>
      </w:pPr>
      <w:r w:rsidDel="00000000" w:rsidR="00000000" w:rsidRPr="00000000">
        <w:rPr>
          <w:b w:val="1"/>
          <w:rtl w:val="0"/>
        </w:rPr>
        <w:t xml:space="preserve"> 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000000" w:rsidDel="00000000" w:rsidP="00000000" w:rsidRDefault="00000000" w:rsidRPr="00000000">
      <w:pPr>
        <w:keepLines w:val="1"/>
        <w:widowControl w:val="0"/>
        <w:numPr>
          <w:ilvl w:val="0"/>
          <w:numId w:val="3"/>
        </w:numPr>
        <w:spacing w:after="120" w:line="312" w:lineRule="auto"/>
        <w:ind w:left="1276" w:hanging="217.00000000000003"/>
        <w:contextualSpacing w:val="0"/>
        <w:jc w:val="both"/>
        <w:rPr>
          <w:b w:val="1"/>
        </w:rPr>
      </w:pPr>
      <w:r w:rsidDel="00000000" w:rsidR="00000000" w:rsidRPr="00000000">
        <w:rPr>
          <w:b w:val="1"/>
          <w:rtl w:val="0"/>
        </w:rPr>
        <w:t xml:space="preserve">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000000" w:rsidDel="00000000" w:rsidP="00000000" w:rsidRDefault="00000000" w:rsidRPr="00000000">
      <w:pPr>
        <w:keepLines w:val="1"/>
        <w:widowControl w:val="0"/>
        <w:numPr>
          <w:ilvl w:val="0"/>
          <w:numId w:val="3"/>
        </w:numPr>
        <w:spacing w:after="120" w:line="312" w:lineRule="auto"/>
        <w:ind w:left="1276" w:hanging="217.00000000000003"/>
        <w:contextualSpacing w:val="0"/>
        <w:jc w:val="both"/>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1"/>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Recursos</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5"/>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“PROCEDIMIENTOS.docx”</w:t>
      </w: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4d34og8" w:id="8"/>
      <w:bookmarkEnd w:id="8"/>
      <w:r w:rsidDel="00000000" w:rsidR="00000000" w:rsidRPr="00000000">
        <w:rPr>
          <w:b w:val="1"/>
          <w:color w:val="000000"/>
          <w:rtl w:val="0"/>
        </w:rPr>
        <w:t xml:space="preserve">Herramientas, Entorno e Infraestructura.</w:t>
      </w:r>
    </w:p>
    <w:p w:rsidR="00000000" w:rsidDel="00000000" w:rsidP="00000000" w:rsidRDefault="00000000" w:rsidRPr="00000000">
      <w:pPr>
        <w:numPr>
          <w:ilvl w:val="0"/>
          <w:numId w:val="8"/>
        </w:numPr>
        <w:spacing w:after="0" w:lineRule="auto"/>
        <w:ind w:left="1440" w:hanging="360"/>
        <w:contextualSpacing w:val="1"/>
        <w:rPr/>
      </w:pPr>
      <w:r w:rsidDel="00000000" w:rsidR="00000000" w:rsidRPr="00000000">
        <w:rPr>
          <w:b w:val="1"/>
          <w:rtl w:val="0"/>
        </w:rPr>
        <w:t xml:space="preserve">Herramientas: </w:t>
      </w:r>
      <w:r w:rsidDel="00000000" w:rsidR="00000000" w:rsidRPr="00000000">
        <w:rPr>
          <w:rtl w:val="0"/>
        </w:rPr>
        <w:t xml:space="preserve">Se usará la herramienta GitHub como sistema de control de versiones debido a las siguientes bondades:</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Se puede trabajar sin conexión.</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Sencillo uso colaborativo.</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Manejo de ramas de proyecto.</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Combinación de ramas.</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Rapidez y flexibilidad.</w:t>
      </w:r>
    </w:p>
    <w:p w:rsidR="00000000" w:rsidDel="00000000" w:rsidP="00000000" w:rsidRDefault="00000000" w:rsidRPr="00000000">
      <w:pPr>
        <w:ind w:left="1440" w:firstLine="0"/>
        <w:contextualSpacing w:val="0"/>
        <w:rPr/>
      </w:pPr>
      <w:r w:rsidDel="00000000" w:rsidR="00000000" w:rsidRPr="00000000">
        <w:rPr>
          <w:rtl w:val="0"/>
        </w:rPr>
        <w:t xml:space="preserve">La información mejor detallada de la herramienta, están en el documento “GIT.docx”</w:t>
      </w:r>
    </w:p>
    <w:p w:rsidR="00000000" w:rsidDel="00000000" w:rsidP="00000000" w:rsidRDefault="00000000" w:rsidRPr="00000000">
      <w:pPr>
        <w:contextualSpacing w:val="0"/>
        <w:rPr/>
      </w:pPr>
      <w:bookmarkStart w:colFirst="0" w:colLast="0" w:name="_2s8eyo1" w:id="9"/>
      <w:bookmarkEnd w:id="9"/>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2">
    <w:lvl w:ilvl="0">
      <w:start w:val="1"/>
      <w:numFmt w:val="bullet"/>
      <w:lvlText w:val="●"/>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abstractNum w:abstractNumId="3">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