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0C4AD2">
      <w:pPr>
        <w:rPr>
          <w:color w:val="2E75B5"/>
          <w:sz w:val="32"/>
          <w:szCs w:val="32"/>
        </w:rPr>
      </w:pPr>
      <w:r w:rsidRPr="00804CB8">
        <w:rPr>
          <w:noProof/>
        </w:rPr>
        <w:drawing>
          <wp:anchor distT="0" distB="0" distL="114300" distR="114300" simplePos="0" relativeHeight="251657728" behindDoc="0" locked="0" layoutInCell="1" allowOverlap="1" wp14:anchorId="6A03F4D9" wp14:editId="34D50F8F">
            <wp:simplePos x="0" y="0"/>
            <wp:positionH relativeFrom="column">
              <wp:posOffset>2194073</wp:posOffset>
            </wp:positionH>
            <wp:positionV relativeFrom="paragraph">
              <wp:posOffset>114935</wp:posOffset>
            </wp:positionV>
            <wp:extent cx="3191635" cy="1181100"/>
            <wp:effectExtent l="0" t="0" r="8890" b="0"/>
            <wp:wrapNone/>
            <wp:docPr id="3" name="Imagen 3"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409" cy="1185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227">
        <w:br w:type="page"/>
      </w:r>
    </w:p>
    <w:p w:rsidR="004D29B8" w:rsidRDefault="00FF4227">
      <w:pPr>
        <w:keepNext/>
        <w:keepLines/>
        <w:spacing w:before="240" w:after="0"/>
        <w:rPr>
          <w:color w:val="2E75B5"/>
          <w:sz w:val="32"/>
          <w:szCs w:val="32"/>
        </w:rPr>
      </w:pPr>
      <w:r>
        <w:rPr>
          <w:color w:val="2E75B5"/>
          <w:sz w:val="32"/>
          <w:szCs w:val="32"/>
        </w:rPr>
        <w:lastRenderedPageBreak/>
        <w:t>Contenido</w:t>
      </w:r>
    </w:p>
    <w:p w:rsidR="00170443" w:rsidRDefault="00170443">
      <w:pPr>
        <w:keepNext/>
        <w:keepLines/>
        <w:spacing w:before="240" w:after="0"/>
        <w:rPr>
          <w:color w:val="2E75B5"/>
          <w:sz w:val="32"/>
          <w:szCs w:val="32"/>
        </w:rPr>
      </w:pP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23168D">
              <w:rPr>
                <w:noProof/>
                <w:webHidden/>
              </w:rPr>
              <w:t>3</w:t>
            </w:r>
            <w:r w:rsidR="005952C6">
              <w:rPr>
                <w:noProof/>
                <w:webHidden/>
              </w:rPr>
              <w:fldChar w:fldCharType="end"/>
            </w:r>
          </w:hyperlink>
        </w:p>
        <w:p w:rsidR="005952C6" w:rsidRDefault="005E7666">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23168D">
              <w:rPr>
                <w:noProof/>
                <w:webHidden/>
              </w:rPr>
              <w:t>4</w:t>
            </w:r>
            <w:r w:rsidR="005952C6">
              <w:rPr>
                <w:noProof/>
                <w:webHidden/>
              </w:rPr>
              <w:fldChar w:fldCharType="end"/>
            </w:r>
          </w:hyperlink>
        </w:p>
        <w:p w:rsidR="005952C6" w:rsidRDefault="005E7666">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23168D">
              <w:rPr>
                <w:noProof/>
                <w:webHidden/>
              </w:rPr>
              <w:t>4</w:t>
            </w:r>
            <w:r w:rsidR="005952C6">
              <w:rPr>
                <w:noProof/>
                <w:webHidden/>
              </w:rPr>
              <w:fldChar w:fldCharType="end"/>
            </w:r>
          </w:hyperlink>
        </w:p>
        <w:p w:rsidR="005952C6" w:rsidRDefault="005E7666">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23168D">
              <w:rPr>
                <w:noProof/>
                <w:webHidden/>
              </w:rPr>
              <w:t>6</w:t>
            </w:r>
            <w:r w:rsidR="005952C6">
              <w:rPr>
                <w:noProof/>
                <w:webHidden/>
              </w:rPr>
              <w:fldChar w:fldCharType="end"/>
            </w:r>
          </w:hyperlink>
        </w:p>
        <w:p w:rsidR="005952C6" w:rsidRDefault="005E7666">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23168D">
              <w:rPr>
                <w:noProof/>
                <w:webHidden/>
              </w:rPr>
              <w:t>8</w:t>
            </w:r>
            <w:r w:rsidR="005952C6">
              <w:rPr>
                <w:noProof/>
                <w:webHidden/>
              </w:rPr>
              <w:fldChar w:fldCharType="end"/>
            </w:r>
          </w:hyperlink>
        </w:p>
        <w:p w:rsidR="005952C6" w:rsidRDefault="005E7666">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23168D">
              <w:rPr>
                <w:noProof/>
                <w:webHidden/>
              </w:rPr>
              <w:t>8</w:t>
            </w:r>
            <w:r w:rsidR="005952C6">
              <w:rPr>
                <w:noProof/>
                <w:webHidden/>
              </w:rPr>
              <w:fldChar w:fldCharType="end"/>
            </w:r>
          </w:hyperlink>
        </w:p>
        <w:p w:rsidR="005952C6" w:rsidRDefault="005E7666">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23168D">
              <w:rPr>
                <w:noProof/>
                <w:webHidden/>
              </w:rPr>
              <w:t>9</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530026"/>
      <w:r>
        <w:rPr>
          <w:b/>
          <w:color w:val="000000"/>
        </w:rPr>
        <w:lastRenderedPageBreak/>
        <w:t>INTRODUCCIÓN</w:t>
      </w:r>
      <w:bookmarkEnd w:id="0"/>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rsidP="000C4AD2">
      <w:pPr>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w:t>
      </w:r>
      <w:r w:rsidR="000C4AD2">
        <w:t xml:space="preserve">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w:t>
      </w:r>
      <w:proofErr w:type="spellStart"/>
      <w:r w:rsidR="000C4AD2">
        <w:t>release</w:t>
      </w:r>
      <w:proofErr w:type="spellEnd"/>
      <w:r w:rsidR="000C4AD2">
        <w:t>.</w:t>
      </w:r>
    </w:p>
    <w:p w:rsidR="0029789C"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EA08C9" w:rsidRDefault="00EA08C9" w:rsidP="00504AEA">
      <w:pPr>
        <w:ind w:left="360"/>
        <w:jc w:val="both"/>
      </w:pPr>
    </w:p>
    <w:p w:rsidR="00EA08C9" w:rsidRDefault="00EA08C9" w:rsidP="00504AEA">
      <w:pPr>
        <w:ind w:left="360"/>
        <w:jc w:val="both"/>
      </w:pPr>
    </w:p>
    <w:p w:rsidR="00EA08C9" w:rsidRPr="00504AEA" w:rsidRDefault="00EA08C9" w:rsidP="00504AEA">
      <w:pPr>
        <w:ind w:left="360"/>
        <w:jc w:val="both"/>
      </w:pPr>
    </w:p>
    <w:p w:rsidR="00FF4227" w:rsidRPr="00FF4227" w:rsidRDefault="0005204A" w:rsidP="001C6B9A">
      <w:pPr>
        <w:ind w:left="284"/>
        <w:rPr>
          <w:b/>
          <w:color w:val="auto"/>
          <w:sz w:val="26"/>
          <w:szCs w:val="26"/>
        </w:rPr>
      </w:pPr>
      <w:bookmarkStart w:id="1" w:name="_Toc493259310"/>
      <w:r>
        <w:rPr>
          <w:b/>
          <w:color w:val="auto"/>
          <w:sz w:val="26"/>
          <w:szCs w:val="26"/>
        </w:rPr>
        <w:lastRenderedPageBreak/>
        <w:t>DEFINICIONES</w:t>
      </w:r>
      <w:bookmarkEnd w:id="1"/>
      <w:r w:rsidR="007B73CC">
        <w:rPr>
          <w:b/>
          <w:color w:val="auto"/>
          <w:sz w:val="26"/>
          <w:szCs w:val="26"/>
        </w:rPr>
        <w:t xml:space="preserve"> Y ACRONIMOS</w:t>
      </w:r>
    </w:p>
    <w:p w:rsidR="00770352" w:rsidRDefault="00770352" w:rsidP="001C6B9A">
      <w:pPr>
        <w:ind w:left="284"/>
        <w:jc w:val="both"/>
      </w:pPr>
      <w:r>
        <w:t xml:space="preserve">A </w:t>
      </w:r>
      <w:proofErr w:type="gramStart"/>
      <w:r>
        <w:t>continuación</w:t>
      </w:r>
      <w:proofErr w:type="gramEnd"/>
      <w:r>
        <w:t xml:space="preserve"> se desarrollaran algunas definici</w:t>
      </w:r>
      <w:r w:rsidR="007A3D3A">
        <w:t>ones utilizados en el presenta Plan de Gestión de la C</w:t>
      </w:r>
      <w:r>
        <w:t>onfiguración.</w:t>
      </w:r>
    </w:p>
    <w:p w:rsidR="00770352" w:rsidRDefault="00770352" w:rsidP="00770352">
      <w:pPr>
        <w:ind w:left="360"/>
        <w:jc w:val="both"/>
        <w:rPr>
          <w:b/>
        </w:rPr>
      </w:pPr>
      <w:r>
        <w:rPr>
          <w:b/>
        </w:rPr>
        <w:t>SCM</w:t>
      </w:r>
    </w:p>
    <w:p w:rsidR="00770352" w:rsidRDefault="00770352" w:rsidP="00770352">
      <w:pPr>
        <w:ind w:left="36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770352" w:rsidRDefault="00770352" w:rsidP="00770352">
      <w:pPr>
        <w:ind w:left="360"/>
        <w:jc w:val="both"/>
        <w:rPr>
          <w:b/>
        </w:rPr>
      </w:pPr>
      <w:r>
        <w:rPr>
          <w:b/>
        </w:rPr>
        <w:t>Repositorio CVS</w:t>
      </w:r>
    </w:p>
    <w:p w:rsidR="00770352" w:rsidRDefault="00770352" w:rsidP="00770352">
      <w:pPr>
        <w:ind w:left="36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770352" w:rsidRDefault="00770352" w:rsidP="00770352">
      <w:pPr>
        <w:ind w:left="360"/>
        <w:jc w:val="both"/>
        <w:rPr>
          <w:b/>
        </w:rPr>
      </w:pPr>
      <w:r>
        <w:rPr>
          <w:b/>
        </w:rPr>
        <w:t>Línea base</w:t>
      </w:r>
    </w:p>
    <w:p w:rsidR="00770352" w:rsidRDefault="00770352" w:rsidP="00770352">
      <w:pPr>
        <w:ind w:left="36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770352" w:rsidRDefault="00770352" w:rsidP="00770352">
      <w:pPr>
        <w:ind w:left="360"/>
        <w:jc w:val="both"/>
        <w:rPr>
          <w:b/>
        </w:rPr>
      </w:pPr>
      <w:r>
        <w:rPr>
          <w:b/>
        </w:rPr>
        <w:t>Versión</w:t>
      </w:r>
    </w:p>
    <w:p w:rsidR="00770352" w:rsidRDefault="00770352" w:rsidP="00770352">
      <w:pPr>
        <w:ind w:left="360"/>
        <w:jc w:val="both"/>
      </w:pPr>
      <w:r>
        <w:t xml:space="preserve">Estado de un conjunto de clases (y de otro tipo de archivos) que forman un sistema o componente. </w:t>
      </w:r>
      <w:proofErr w:type="gramStart"/>
      <w:r>
        <w:t>El conjunto de clases forman</w:t>
      </w:r>
      <w:proofErr w:type="gramEnd"/>
      <w:r>
        <w:t xml:space="preserve"> una versión en un momento dado.</w:t>
      </w:r>
    </w:p>
    <w:p w:rsidR="00770352" w:rsidRDefault="00770352" w:rsidP="00770352">
      <w:pPr>
        <w:ind w:left="360"/>
        <w:jc w:val="both"/>
        <w:rPr>
          <w:b/>
        </w:rPr>
      </w:pPr>
      <w:bookmarkStart w:id="2" w:name="_1fob9te" w:colFirst="0" w:colLast="0"/>
      <w:bookmarkEnd w:id="2"/>
      <w:proofErr w:type="spellStart"/>
      <w:r>
        <w:rPr>
          <w:b/>
        </w:rPr>
        <w:t>Release</w:t>
      </w:r>
      <w:proofErr w:type="spellEnd"/>
    </w:p>
    <w:p w:rsidR="00770352" w:rsidRDefault="00770352" w:rsidP="00770352">
      <w:pPr>
        <w:ind w:left="360"/>
        <w:jc w:val="both"/>
      </w:pPr>
      <w:r w:rsidRPr="00960331">
        <w:t xml:space="preserve">El </w:t>
      </w:r>
      <w:proofErr w:type="spellStart"/>
      <w:r w:rsidRPr="00960331">
        <w:t>release</w:t>
      </w:r>
      <w:proofErr w:type="spellEnd"/>
      <w:r w:rsidRPr="00960331">
        <w:t xml:space="preserve"> de un software es la distribución del mismo, su documentación y materiales de soporte.</w:t>
      </w:r>
      <w:r w:rsidRPr="00442AA2">
        <w:rPr>
          <w:rFonts w:ascii="Tahoma" w:hAnsi="Tahoma" w:cs="Tahoma"/>
          <w:color w:val="333333"/>
          <w:sz w:val="27"/>
          <w:szCs w:val="27"/>
          <w:shd w:val="clear" w:color="auto" w:fill="F4F4F4"/>
        </w:rPr>
        <w:t xml:space="preserve"> </w:t>
      </w:r>
      <w:r w:rsidRPr="00442AA2">
        <w:t xml:space="preserve">La versión </w:t>
      </w:r>
      <w:proofErr w:type="spellStart"/>
      <w:r w:rsidRPr="00442AA2">
        <w:t>release</w:t>
      </w:r>
      <w:proofErr w:type="spellEnd"/>
      <w:r w:rsidRPr="00442AA2">
        <w:t xml:space="preserve"> es una versión de lanzamiento, es decir, que el software se hace público.</w:t>
      </w:r>
    </w:p>
    <w:p w:rsidR="00770352" w:rsidRPr="00442AA2" w:rsidRDefault="00770352" w:rsidP="00770352">
      <w:pPr>
        <w:ind w:left="360"/>
        <w:jc w:val="both"/>
        <w:rPr>
          <w:b/>
        </w:rPr>
      </w:pPr>
      <w:r w:rsidRPr="00442AA2">
        <w:rPr>
          <w:b/>
        </w:rPr>
        <w:t>Auditoria</w:t>
      </w:r>
    </w:p>
    <w:p w:rsidR="00A240B9" w:rsidRDefault="00770352" w:rsidP="00770352">
      <w:pPr>
        <w:ind w:left="360"/>
        <w:jc w:val="both"/>
      </w:pPr>
      <w:r w:rsidRPr="00442AA2">
        <w:t>Se refiere a la investigación y al proceso de entrevistas que determina cómo se adquiere, distribuye y usa el software en la organización.</w:t>
      </w:r>
    </w:p>
    <w:p w:rsidR="00770352" w:rsidRPr="007B73CC" w:rsidRDefault="00770352" w:rsidP="00770352">
      <w:pPr>
        <w:ind w:left="360"/>
        <w:jc w:val="both"/>
      </w:pPr>
    </w:p>
    <w:p w:rsidR="004D29B8" w:rsidRDefault="00FF4227">
      <w:pPr>
        <w:pStyle w:val="Ttulo1"/>
        <w:numPr>
          <w:ilvl w:val="0"/>
          <w:numId w:val="4"/>
        </w:numPr>
        <w:rPr>
          <w:b/>
          <w:color w:val="000000"/>
        </w:rPr>
      </w:pPr>
      <w:bookmarkStart w:id="3" w:name="_Toc493530027"/>
      <w:r>
        <w:rPr>
          <w:b/>
          <w:color w:val="000000"/>
        </w:rPr>
        <w:t>Gestión de la SCM</w:t>
      </w:r>
      <w:bookmarkEnd w:id="3"/>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8"/>
      <w:r>
        <w:rPr>
          <w:b/>
          <w:color w:val="000000"/>
        </w:rPr>
        <w:t>Organización</w:t>
      </w:r>
      <w:bookmarkEnd w:id="4"/>
    </w:p>
    <w:p w:rsidR="004D29B8" w:rsidRDefault="004D29B8">
      <w:pPr>
        <w:keepLines/>
        <w:widowControl w:val="0"/>
        <w:spacing w:after="120" w:line="312" w:lineRule="auto"/>
        <w:ind w:left="720"/>
        <w:jc w:val="both"/>
        <w:rPr>
          <w:rFonts w:ascii="Arial" w:eastAsia="Arial" w:hAnsi="Arial" w:cs="Arial"/>
          <w:sz w:val="20"/>
          <w:szCs w:val="20"/>
        </w:rPr>
      </w:pPr>
    </w:p>
    <w:p w:rsidR="000A4C7E" w:rsidRDefault="000A4C7E" w:rsidP="000A4C7E">
      <w:pPr>
        <w:keepLines/>
        <w:widowControl w:val="0"/>
        <w:spacing w:after="120" w:line="312" w:lineRule="auto"/>
        <w:ind w:left="720"/>
        <w:jc w:val="both"/>
      </w:pPr>
      <w:r>
        <w:lastRenderedPageBreak/>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A4C7E" w:rsidRDefault="000A4C7E" w:rsidP="000A4C7E">
      <w:pPr>
        <w:keepLines/>
        <w:widowControl w:val="0"/>
        <w:spacing w:after="120" w:line="312" w:lineRule="auto"/>
        <w:ind w:left="720"/>
        <w:jc w:val="both"/>
      </w:pPr>
      <w:r>
        <w:t>Para realizar una correcta Gestión de la Configuración de Software, existen 6 procesos que llevaremos a cabo:</w:t>
      </w:r>
    </w:p>
    <w:p w:rsidR="000A4C7E" w:rsidRDefault="000A4C7E" w:rsidP="000A4C7E">
      <w:pPr>
        <w:keepLines/>
        <w:widowControl w:val="0"/>
        <w:numPr>
          <w:ilvl w:val="0"/>
          <w:numId w:val="14"/>
        </w:numPr>
        <w:spacing w:after="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0A4C7E" w:rsidRDefault="000A4C7E" w:rsidP="000A4C7E">
      <w:pPr>
        <w:keepLines/>
        <w:widowControl w:val="0"/>
        <w:numPr>
          <w:ilvl w:val="0"/>
          <w:numId w:val="14"/>
        </w:numPr>
        <w:spacing w:after="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0A4C7E" w:rsidRDefault="000A4C7E" w:rsidP="000A4C7E">
      <w:pPr>
        <w:keepLines/>
        <w:widowControl w:val="0"/>
        <w:numPr>
          <w:ilvl w:val="0"/>
          <w:numId w:val="14"/>
        </w:numPr>
        <w:spacing w:after="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0A4C7E" w:rsidRDefault="000A4C7E" w:rsidP="000A4C7E">
      <w:pPr>
        <w:keepLines/>
        <w:widowControl w:val="0"/>
        <w:numPr>
          <w:ilvl w:val="0"/>
          <w:numId w:val="14"/>
        </w:numPr>
        <w:spacing w:after="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0A4C7E" w:rsidRDefault="000A4C7E" w:rsidP="000A4C7E">
      <w:pPr>
        <w:keepLines/>
        <w:widowControl w:val="0"/>
        <w:numPr>
          <w:ilvl w:val="0"/>
          <w:numId w:val="14"/>
        </w:numPr>
        <w:spacing w:after="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0A4C7E" w:rsidRDefault="000A4C7E" w:rsidP="000A4C7E">
      <w:pPr>
        <w:keepLines/>
        <w:widowControl w:val="0"/>
        <w:numPr>
          <w:ilvl w:val="0"/>
          <w:numId w:val="14"/>
        </w:numPr>
        <w:spacing w:after="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0A4C7E" w:rsidRDefault="000A4C7E" w:rsidP="000A4C7E">
      <w:pPr>
        <w:keepLines/>
        <w:widowControl w:val="0"/>
        <w:spacing w:after="0" w:line="312" w:lineRule="auto"/>
        <w:jc w:val="both"/>
      </w:pPr>
    </w:p>
    <w:p w:rsidR="000A4C7E" w:rsidRDefault="000A4C7E" w:rsidP="000A4C7E">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A4C7E" w:rsidRDefault="000A4C7E" w:rsidP="000A4C7E">
      <w:pPr>
        <w:keepLines/>
        <w:widowControl w:val="0"/>
        <w:spacing w:after="120" w:line="312" w:lineRule="auto"/>
        <w:ind w:left="720"/>
        <w:jc w:val="both"/>
      </w:pPr>
      <w:r>
        <w:t>Las fases que abordaremos en el Ciclo de Desarrollo del Software que estarán relacionadas con las Gestión de la Configuración son las siguientes:</w:t>
      </w:r>
    </w:p>
    <w:p w:rsidR="000A4C7E" w:rsidRDefault="000A4C7E" w:rsidP="000A4C7E">
      <w:pPr>
        <w:keepLines/>
        <w:widowControl w:val="0"/>
        <w:numPr>
          <w:ilvl w:val="0"/>
          <w:numId w:val="13"/>
        </w:numPr>
        <w:spacing w:after="0" w:line="256" w:lineRule="auto"/>
        <w:contextualSpacing/>
        <w:jc w:val="both"/>
      </w:pPr>
      <w:r>
        <w:t xml:space="preserve"> La Gestión del Proyecto.</w:t>
      </w:r>
    </w:p>
    <w:p w:rsidR="000A4C7E" w:rsidRDefault="000A4C7E" w:rsidP="000A4C7E">
      <w:pPr>
        <w:keepLines/>
        <w:widowControl w:val="0"/>
        <w:numPr>
          <w:ilvl w:val="0"/>
          <w:numId w:val="13"/>
        </w:numPr>
        <w:spacing w:after="0" w:line="256" w:lineRule="auto"/>
        <w:contextualSpacing/>
        <w:jc w:val="both"/>
      </w:pPr>
      <w:r>
        <w:t xml:space="preserve"> El Estudio del Negocio.</w:t>
      </w:r>
    </w:p>
    <w:p w:rsidR="000A4C7E" w:rsidRDefault="000A4C7E" w:rsidP="000A4C7E">
      <w:pPr>
        <w:keepLines/>
        <w:widowControl w:val="0"/>
        <w:numPr>
          <w:ilvl w:val="0"/>
          <w:numId w:val="13"/>
        </w:numPr>
        <w:spacing w:after="0" w:line="256" w:lineRule="auto"/>
        <w:contextualSpacing/>
        <w:jc w:val="both"/>
      </w:pPr>
      <w:r>
        <w:t xml:space="preserve"> El Análisis y la Captura de los Requisitos.</w:t>
      </w:r>
    </w:p>
    <w:p w:rsidR="000A4C7E" w:rsidRDefault="000A4C7E" w:rsidP="000A4C7E">
      <w:pPr>
        <w:keepLines/>
        <w:widowControl w:val="0"/>
        <w:numPr>
          <w:ilvl w:val="0"/>
          <w:numId w:val="13"/>
        </w:numPr>
        <w:spacing w:after="0" w:line="256" w:lineRule="auto"/>
        <w:contextualSpacing/>
        <w:jc w:val="both"/>
      </w:pPr>
      <w:r>
        <w:t xml:space="preserve"> El Análisis y Diseño del Software.</w:t>
      </w:r>
    </w:p>
    <w:p w:rsidR="000A4C7E" w:rsidRDefault="000A4C7E" w:rsidP="000A4C7E">
      <w:pPr>
        <w:keepLines/>
        <w:widowControl w:val="0"/>
        <w:numPr>
          <w:ilvl w:val="0"/>
          <w:numId w:val="13"/>
        </w:numPr>
        <w:spacing w:after="0" w:line="256" w:lineRule="auto"/>
        <w:contextualSpacing/>
        <w:jc w:val="both"/>
      </w:pPr>
      <w:r>
        <w:t xml:space="preserve"> La Implementación del Software.</w:t>
      </w:r>
    </w:p>
    <w:p w:rsidR="000A4C7E" w:rsidRDefault="000A4C7E" w:rsidP="000A4C7E">
      <w:pPr>
        <w:keepLines/>
        <w:widowControl w:val="0"/>
        <w:numPr>
          <w:ilvl w:val="0"/>
          <w:numId w:val="13"/>
        </w:numPr>
        <w:spacing w:after="0" w:line="256" w:lineRule="auto"/>
        <w:contextualSpacing/>
        <w:jc w:val="both"/>
      </w:pPr>
      <w:r>
        <w:lastRenderedPageBreak/>
        <w:t xml:space="preserve"> La Ejecución de Pruebas de Software.</w:t>
      </w:r>
    </w:p>
    <w:p w:rsidR="004D29B8" w:rsidRDefault="000A4C7E" w:rsidP="000A4C7E">
      <w:pPr>
        <w:keepLines/>
        <w:widowControl w:val="0"/>
        <w:numPr>
          <w:ilvl w:val="0"/>
          <w:numId w:val="13"/>
        </w:numPr>
        <w:spacing w:after="0" w:line="256" w:lineRule="auto"/>
        <w:contextualSpacing/>
        <w:jc w:val="both"/>
      </w:pPr>
      <w:r>
        <w:t xml:space="preserve"> El Pase a Producción.</w:t>
      </w:r>
    </w:p>
    <w:p w:rsidR="00523D5F" w:rsidRDefault="00523D5F" w:rsidP="00523D5F">
      <w:pPr>
        <w:keepLines/>
        <w:widowControl w:val="0"/>
        <w:spacing w:after="0" w:line="256" w:lineRule="auto"/>
        <w:contextualSpacing/>
        <w:jc w:val="both"/>
      </w:pPr>
    </w:p>
    <w:p w:rsidR="00523D5F" w:rsidRDefault="00523D5F" w:rsidP="00523D5F">
      <w:pPr>
        <w:keepLines/>
        <w:widowControl w:val="0"/>
        <w:spacing w:after="0" w:line="256" w:lineRule="auto"/>
        <w:contextualSpacing/>
        <w:jc w:val="center"/>
      </w:pPr>
      <w:r>
        <w:rPr>
          <w:noProof/>
        </w:rPr>
        <w:drawing>
          <wp:inline distT="0" distB="0" distL="0" distR="0" wp14:anchorId="0703CD2D" wp14:editId="1E582A35">
            <wp:extent cx="3705225" cy="2476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2476500"/>
                    </a:xfrm>
                    <a:prstGeom prst="rect">
                      <a:avLst/>
                    </a:prstGeom>
                  </pic:spPr>
                </pic:pic>
              </a:graphicData>
            </a:graphic>
          </wp:inline>
        </w:drawing>
      </w:r>
    </w:p>
    <w:p w:rsidR="004D29B8" w:rsidRDefault="004D29B8" w:rsidP="00710F4A">
      <w:pPr>
        <w:keepLines/>
        <w:widowControl w:val="0"/>
        <w:spacing w:after="120" w:line="312" w:lineRule="auto"/>
        <w:jc w:val="both"/>
        <w:rPr>
          <w:rFonts w:ascii="Arial" w:eastAsia="Arial" w:hAnsi="Arial" w:cs="Arial"/>
          <w:sz w:val="20"/>
          <w:szCs w:val="20"/>
        </w:rPr>
      </w:pPr>
    </w:p>
    <w:p w:rsidR="004D29B8" w:rsidRDefault="00FF4227">
      <w:pPr>
        <w:pStyle w:val="Ttulo2"/>
        <w:numPr>
          <w:ilvl w:val="1"/>
          <w:numId w:val="4"/>
        </w:numPr>
        <w:rPr>
          <w:b/>
          <w:color w:val="000000"/>
        </w:rPr>
      </w:pPr>
      <w:bookmarkStart w:id="5" w:name="_Toc493530029"/>
      <w:r>
        <w:rPr>
          <w:b/>
          <w:color w:val="000000"/>
        </w:rPr>
        <w:t>Roles y Responsabilidades</w:t>
      </w:r>
      <w:bookmarkEnd w:id="5"/>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lastRenderedPageBreak/>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61710B" w:rsidRDefault="00FF4227" w:rsidP="0061710B">
      <w:pPr>
        <w:keepLines/>
        <w:widowControl w:val="0"/>
        <w:spacing w:after="120" w:line="312" w:lineRule="auto"/>
        <w:ind w:left="1134"/>
        <w:jc w:val="both"/>
        <w:rPr>
          <w:i/>
        </w:rPr>
      </w:pPr>
      <w:r>
        <w:rPr>
          <w:i/>
        </w:rPr>
        <w:t>*CVS: Sistema de Control de Versiones.</w:t>
      </w:r>
    </w:p>
    <w:tbl>
      <w:tblPr>
        <w:tblStyle w:val="a"/>
        <w:tblW w:w="7370" w:type="dxa"/>
        <w:tblInd w:w="12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6"/>
        <w:gridCol w:w="2457"/>
        <w:gridCol w:w="2457"/>
      </w:tblGrid>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Actividad </w:t>
            </w:r>
          </w:p>
        </w:tc>
        <w:tc>
          <w:tcPr>
            <w:tcW w:w="2456" w:type="dxa"/>
            <w:shd w:val="clear" w:color="auto" w:fill="auto"/>
            <w:tcMar>
              <w:top w:w="100" w:type="dxa"/>
              <w:left w:w="100" w:type="dxa"/>
              <w:bottom w:w="100" w:type="dxa"/>
              <w:right w:w="100" w:type="dxa"/>
            </w:tcMar>
          </w:tcPr>
          <w:p w:rsidR="0061710B" w:rsidRDefault="0061710B" w:rsidP="00A94D59">
            <w:pPr>
              <w:widowControl w:val="0"/>
            </w:pPr>
            <w:r>
              <w:t>Rol</w:t>
            </w:r>
          </w:p>
        </w:tc>
        <w:tc>
          <w:tcPr>
            <w:tcW w:w="2456" w:type="dxa"/>
            <w:shd w:val="clear" w:color="auto" w:fill="auto"/>
            <w:tcMar>
              <w:top w:w="100" w:type="dxa"/>
              <w:left w:w="100" w:type="dxa"/>
              <w:bottom w:w="100" w:type="dxa"/>
              <w:right w:w="100" w:type="dxa"/>
            </w:tcMar>
          </w:tcPr>
          <w:p w:rsidR="0061710B" w:rsidRDefault="0061710B" w:rsidP="00A94D59">
            <w:pPr>
              <w:widowControl w:val="0"/>
            </w:pPr>
            <w:r>
              <w:t>Responsabilidad</w:t>
            </w:r>
          </w:p>
        </w:tc>
      </w:tr>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Aprobar los cambios</w:t>
            </w:r>
          </w:p>
        </w:tc>
        <w:tc>
          <w:tcPr>
            <w:tcW w:w="2456" w:type="dxa"/>
            <w:shd w:val="clear" w:color="auto" w:fill="auto"/>
            <w:tcMar>
              <w:top w:w="100" w:type="dxa"/>
              <w:left w:w="100" w:type="dxa"/>
              <w:bottom w:w="100" w:type="dxa"/>
              <w:right w:w="100" w:type="dxa"/>
            </w:tcMar>
          </w:tcPr>
          <w:p w:rsidR="0061710B" w:rsidRDefault="0061710B" w:rsidP="00A94D59">
            <w:pPr>
              <w:widowControl w:val="0"/>
            </w:pPr>
            <w:r>
              <w:t>Gestor de Configuración</w:t>
            </w:r>
          </w:p>
        </w:tc>
        <w:tc>
          <w:tcPr>
            <w:tcW w:w="2456" w:type="dxa"/>
            <w:shd w:val="clear" w:color="auto" w:fill="auto"/>
            <w:tcMar>
              <w:top w:w="100" w:type="dxa"/>
              <w:left w:w="100" w:type="dxa"/>
              <w:bottom w:w="100" w:type="dxa"/>
              <w:right w:w="100" w:type="dxa"/>
            </w:tcMar>
          </w:tcPr>
          <w:p w:rsidR="0061710B" w:rsidRDefault="0061710B" w:rsidP="00A94D59">
            <w:pPr>
              <w:widowControl w:val="0"/>
            </w:pPr>
            <w:r>
              <w:t>Aprobar los cambios estructurales en la CMDB</w:t>
            </w:r>
          </w:p>
        </w:tc>
      </w:tr>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Asegurar el registro de los </w:t>
            </w:r>
            <w:proofErr w:type="spellStart"/>
            <w:r>
              <w:t>CIs</w:t>
            </w:r>
            <w:proofErr w:type="spellEnd"/>
          </w:p>
        </w:tc>
        <w:tc>
          <w:tcPr>
            <w:tcW w:w="2456" w:type="dxa"/>
            <w:shd w:val="clear" w:color="auto" w:fill="auto"/>
            <w:tcMar>
              <w:top w:w="100" w:type="dxa"/>
              <w:left w:w="100" w:type="dxa"/>
              <w:bottom w:w="100" w:type="dxa"/>
              <w:right w:w="100" w:type="dxa"/>
            </w:tcMar>
          </w:tcPr>
          <w:p w:rsidR="0061710B" w:rsidRDefault="0061710B" w:rsidP="00A94D59">
            <w:pPr>
              <w:widowControl w:val="0"/>
            </w:pPr>
            <w:r>
              <w:t>Coordinador de Configuración</w:t>
            </w:r>
          </w:p>
        </w:tc>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Asegurar que todos los </w:t>
            </w:r>
            <w:proofErr w:type="spellStart"/>
            <w:r>
              <w:t>CIs</w:t>
            </w:r>
            <w:proofErr w:type="spellEnd"/>
            <w:r>
              <w:t xml:space="preserve"> están registrados de forma adecuada en la CMDB </w:t>
            </w:r>
          </w:p>
        </w:tc>
      </w:tr>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Evaluar los cambios</w:t>
            </w:r>
          </w:p>
        </w:tc>
        <w:tc>
          <w:tcPr>
            <w:tcW w:w="2456" w:type="dxa"/>
            <w:shd w:val="clear" w:color="auto" w:fill="auto"/>
            <w:tcMar>
              <w:top w:w="100" w:type="dxa"/>
              <w:left w:w="100" w:type="dxa"/>
              <w:bottom w:w="100" w:type="dxa"/>
              <w:right w:w="100" w:type="dxa"/>
            </w:tcMar>
          </w:tcPr>
          <w:p w:rsidR="0061710B" w:rsidRDefault="0061710B" w:rsidP="00A94D59">
            <w:pPr>
              <w:widowControl w:val="0"/>
            </w:pPr>
            <w:r>
              <w:t>Gestor de Cambio</w:t>
            </w:r>
          </w:p>
        </w:tc>
        <w:tc>
          <w:tcPr>
            <w:tcW w:w="2456" w:type="dxa"/>
            <w:shd w:val="clear" w:color="auto" w:fill="auto"/>
            <w:tcMar>
              <w:top w:w="100" w:type="dxa"/>
              <w:left w:w="100" w:type="dxa"/>
              <w:bottom w:w="100" w:type="dxa"/>
              <w:right w:w="100" w:type="dxa"/>
            </w:tcMar>
          </w:tcPr>
          <w:p w:rsidR="0061710B" w:rsidRDefault="0061710B" w:rsidP="00A94D59">
            <w:pPr>
              <w:widowControl w:val="0"/>
            </w:pPr>
            <w:r>
              <w:t>Evaluar el impacto y riesgo de los cambios</w:t>
            </w:r>
          </w:p>
        </w:tc>
      </w:tr>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Verificar el proceso de cambio</w:t>
            </w:r>
          </w:p>
        </w:tc>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Responsable de </w:t>
            </w:r>
            <w:proofErr w:type="spellStart"/>
            <w:r>
              <w:t>CIs</w:t>
            </w:r>
            <w:proofErr w:type="spellEnd"/>
          </w:p>
        </w:tc>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Verificar que los cambios sobre los </w:t>
            </w:r>
            <w:proofErr w:type="spellStart"/>
            <w:r>
              <w:t>CIs</w:t>
            </w:r>
            <w:proofErr w:type="spellEnd"/>
            <w:r>
              <w:t xml:space="preserve"> siguen el proceso de cambios definido</w:t>
            </w:r>
          </w:p>
        </w:tc>
      </w:tr>
      <w:tr w:rsidR="0061710B" w:rsidTr="00A94D59">
        <w:tc>
          <w:tcPr>
            <w:tcW w:w="2456" w:type="dxa"/>
            <w:shd w:val="clear" w:color="auto" w:fill="auto"/>
            <w:tcMar>
              <w:top w:w="100" w:type="dxa"/>
              <w:left w:w="100" w:type="dxa"/>
              <w:bottom w:w="100" w:type="dxa"/>
              <w:right w:w="100" w:type="dxa"/>
            </w:tcMar>
          </w:tcPr>
          <w:p w:rsidR="0061710B" w:rsidRDefault="0061710B" w:rsidP="00A94D59">
            <w:pPr>
              <w:widowControl w:val="0"/>
            </w:pPr>
            <w:r>
              <w:t>Registrar las actividades de la SCM en base de datos</w:t>
            </w:r>
          </w:p>
        </w:tc>
        <w:tc>
          <w:tcPr>
            <w:tcW w:w="2456" w:type="dxa"/>
            <w:shd w:val="clear" w:color="auto" w:fill="auto"/>
            <w:tcMar>
              <w:top w:w="100" w:type="dxa"/>
              <w:left w:w="100" w:type="dxa"/>
              <w:bottom w:w="100" w:type="dxa"/>
              <w:right w:w="100" w:type="dxa"/>
            </w:tcMar>
          </w:tcPr>
          <w:p w:rsidR="0061710B" w:rsidRDefault="0061710B" w:rsidP="00A94D59">
            <w:pPr>
              <w:widowControl w:val="0"/>
            </w:pPr>
            <w:r>
              <w:t>Gestor de Configuración</w:t>
            </w:r>
          </w:p>
        </w:tc>
        <w:tc>
          <w:tcPr>
            <w:tcW w:w="2456" w:type="dxa"/>
            <w:shd w:val="clear" w:color="auto" w:fill="auto"/>
            <w:tcMar>
              <w:top w:w="100" w:type="dxa"/>
              <w:left w:w="100" w:type="dxa"/>
              <w:bottom w:w="100" w:type="dxa"/>
              <w:right w:w="100" w:type="dxa"/>
            </w:tcMar>
          </w:tcPr>
          <w:p w:rsidR="0061710B" w:rsidRDefault="0061710B" w:rsidP="00A94D59">
            <w:pPr>
              <w:widowControl w:val="0"/>
            </w:pPr>
            <w:r>
              <w:t xml:space="preserve">Gestionar la Planificación, Identificación, Control, Seguimiento y Auditoría de todos los elementos de configuración en base de datos de configuración </w:t>
            </w:r>
          </w:p>
        </w:tc>
      </w:tr>
    </w:tbl>
    <w:p w:rsidR="0061710B" w:rsidRDefault="0061710B">
      <w:pPr>
        <w:keepLines/>
        <w:widowControl w:val="0"/>
        <w:spacing w:after="120" w:line="312" w:lineRule="auto"/>
        <w:ind w:left="1134"/>
        <w:jc w:val="both"/>
        <w:rPr>
          <w:i/>
        </w:rPr>
      </w:pPr>
    </w:p>
    <w:p w:rsidR="004D29B8" w:rsidRDefault="00FF4227">
      <w:pPr>
        <w:pStyle w:val="Ttulo2"/>
        <w:numPr>
          <w:ilvl w:val="1"/>
          <w:numId w:val="4"/>
        </w:numPr>
        <w:rPr>
          <w:b/>
          <w:color w:val="000000"/>
        </w:rPr>
      </w:pPr>
      <w:bookmarkStart w:id="6" w:name="_Toc493530030"/>
      <w:r>
        <w:rPr>
          <w:b/>
          <w:color w:val="000000"/>
        </w:rPr>
        <w:t>Calendario</w:t>
      </w:r>
      <w:bookmarkEnd w:id="6"/>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Realizar Inventario de los Elementos de la Gestión de la Configuración de Software.</w:t>
            </w:r>
          </w:p>
        </w:tc>
        <w:tc>
          <w:tcPr>
            <w:tcW w:w="1276" w:type="dxa"/>
          </w:tcPr>
          <w:p w:rsidR="00DE7023" w:rsidRDefault="0079309E" w:rsidP="00DE7023">
            <w:pPr>
              <w:keepLines/>
              <w:widowControl w:val="0"/>
              <w:spacing w:after="120" w:line="312" w:lineRule="auto"/>
              <w:jc w:val="both"/>
            </w:pPr>
            <w:r>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7" w:name="_Toc493530031"/>
      <w:r>
        <w:rPr>
          <w:b/>
          <w:color w:val="000000"/>
        </w:rPr>
        <w:t>Políticas, directrices y procedimientos.</w:t>
      </w:r>
      <w:bookmarkEnd w:id="7"/>
    </w:p>
    <w:p w:rsidR="004D29B8" w:rsidRDefault="004D29B8">
      <w:pPr>
        <w:ind w:left="360"/>
      </w:pPr>
    </w:p>
    <w:p w:rsidR="004D29B8" w:rsidRDefault="00FF4227" w:rsidP="00F83E6F">
      <w:pPr>
        <w:keepLines/>
        <w:widowControl w:val="0"/>
        <w:numPr>
          <w:ilvl w:val="0"/>
          <w:numId w:val="3"/>
        </w:numPr>
        <w:spacing w:after="0" w:line="312" w:lineRule="auto"/>
        <w:contextualSpacing/>
        <w:jc w:val="both"/>
        <w:rPr>
          <w:b/>
        </w:rPr>
      </w:pPr>
      <w:r>
        <w:rPr>
          <w:b/>
        </w:rPr>
        <w:lastRenderedPageBreak/>
        <w:t xml:space="preserve">Políticas y Directrices: </w:t>
      </w:r>
      <w:r>
        <w:t xml:space="preserve">Las políticas y directrices deberán ser captadas por todos los miembros relacionados a la empresa y establecerán las normas, responsabilidades y alineamientos, </w:t>
      </w:r>
      <w:r w:rsidR="000A27A4">
        <w:t>estas están establecidas en el D</w:t>
      </w:r>
      <w:r>
        <w:t>ocumento</w:t>
      </w:r>
      <w:r w:rsidR="00F83E6F">
        <w:t xml:space="preserve"> de Políticas y Directrices para la Gestión de la Configuración (</w:t>
      </w:r>
      <w:r w:rsidR="000A27A4">
        <w:t>D</w:t>
      </w:r>
      <w:r w:rsidR="00F83E6F" w:rsidRPr="00F83E6F">
        <w:t>PDGC</w:t>
      </w:r>
      <w:r w:rsidR="00F83E6F">
        <w:t>.docx)</w:t>
      </w:r>
      <w:r>
        <w:t xml:space="preserve">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w:t>
      </w:r>
      <w:r w:rsidR="000A27A4">
        <w:t>. Estos están detallados en el D</w:t>
      </w:r>
      <w:r>
        <w:t>ocumento</w:t>
      </w:r>
      <w:r w:rsidR="000A27A4">
        <w:t xml:space="preserve"> de Procedimientos para la Gestión de la Configuración (DPGC.docx).</w:t>
      </w:r>
    </w:p>
    <w:p w:rsidR="00770352" w:rsidRDefault="00FF4227" w:rsidP="00770352">
      <w:pPr>
        <w:pStyle w:val="Ttulo2"/>
        <w:numPr>
          <w:ilvl w:val="1"/>
          <w:numId w:val="4"/>
        </w:numPr>
        <w:rPr>
          <w:b/>
          <w:color w:val="000000"/>
        </w:rPr>
      </w:pPr>
      <w:bookmarkStart w:id="8" w:name="_Toc493530032"/>
      <w:r>
        <w:rPr>
          <w:b/>
          <w:color w:val="000000"/>
        </w:rPr>
        <w:t>Herramientas, Entorno e Infraestructura.</w:t>
      </w:r>
      <w:bookmarkEnd w:id="8"/>
    </w:p>
    <w:p w:rsidR="00770352" w:rsidRPr="00770352" w:rsidRDefault="00770352" w:rsidP="00770352"/>
    <w:p w:rsidR="004D29B8" w:rsidRDefault="00FF4227" w:rsidP="00E44E40">
      <w:pPr>
        <w:numPr>
          <w:ilvl w:val="0"/>
          <w:numId w:val="6"/>
        </w:numPr>
        <w:spacing w:after="0"/>
        <w:contextualSpacing/>
        <w:jc w:val="both"/>
      </w:pPr>
      <w:r>
        <w:rPr>
          <w:b/>
        </w:rPr>
        <w:t xml:space="preserve">Herramientas: </w:t>
      </w:r>
      <w:r>
        <w:t xml:space="preserve">Se usará </w:t>
      </w:r>
      <w:r w:rsidR="00710F4A">
        <w:t xml:space="preserve">el software controlador de versiones GIT y </w:t>
      </w:r>
      <w:r>
        <w:t xml:space="preserve">la </w:t>
      </w:r>
      <w:r w:rsidR="00710F4A">
        <w:t>plataforma de desarrollo colaborativo GitHub, teniendo una preferencia por estas gracias a que se puede trabajar sin conexión, un uso sencillo y colaborativo, así como un manejo y co</w:t>
      </w:r>
      <w:r w:rsidR="00E44E40">
        <w:t>mbinación de ramas del proyecto, la opción gratuita que brinda además de las ventajas ofrecidas por las soluciones empresariales de las que provee, así mismo cuenta con una</w:t>
      </w:r>
      <w:r w:rsidR="00710F4A">
        <w:t xml:space="preserve"> curva de aprendizaje rápida. </w:t>
      </w:r>
      <w:r>
        <w:t>La información mejor d</w:t>
      </w:r>
      <w:r w:rsidR="00710F4A">
        <w:t>etallada de la herramienta, la encontramos</w:t>
      </w:r>
      <w:r>
        <w:t xml:space="preserve"> en el documento </w:t>
      </w:r>
      <w:r w:rsidR="00C1031B">
        <w:t>del Sistema de Control de Versiones (SCV.docx)</w:t>
      </w:r>
      <w:r w:rsidR="00EA08C9">
        <w:t>, el diagrama siguiente representa la arquitectura.</w:t>
      </w:r>
    </w:p>
    <w:p w:rsidR="004D29B8" w:rsidRDefault="00EA08C9" w:rsidP="005F6A4F">
      <w:pPr>
        <w:spacing w:after="0"/>
        <w:ind w:left="1440"/>
        <w:contextualSpacing/>
        <w:jc w:val="center"/>
      </w:pPr>
      <w:bookmarkStart w:id="9" w:name="_1t3h5sf" w:colFirst="0" w:colLast="0"/>
      <w:bookmarkEnd w:id="9"/>
      <w:r>
        <w:rPr>
          <w:noProof/>
        </w:rPr>
        <w:drawing>
          <wp:inline distT="0" distB="0" distL="0" distR="0">
            <wp:extent cx="4143375" cy="3102895"/>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4788" cy="3118930"/>
                    </a:xfrm>
                    <a:prstGeom prst="rect">
                      <a:avLst/>
                    </a:prstGeom>
                    <a:noFill/>
                    <a:ln>
                      <a:noFill/>
                    </a:ln>
                  </pic:spPr>
                </pic:pic>
              </a:graphicData>
            </a:graphic>
          </wp:inline>
        </w:drawing>
      </w:r>
    </w:p>
    <w:p w:rsidR="008C3257" w:rsidRDefault="008C3257" w:rsidP="008C3257">
      <w:pPr>
        <w:spacing w:after="0"/>
        <w:contextualSpacing/>
      </w:pPr>
    </w:p>
    <w:p w:rsidR="008C3257" w:rsidRDefault="008C3257" w:rsidP="008C3257">
      <w:pPr>
        <w:pStyle w:val="Ttulo1"/>
        <w:numPr>
          <w:ilvl w:val="0"/>
          <w:numId w:val="4"/>
        </w:numPr>
        <w:rPr>
          <w:b/>
          <w:color w:val="000000"/>
        </w:rPr>
      </w:pPr>
      <w:r>
        <w:rPr>
          <w:b/>
          <w:color w:val="000000"/>
        </w:rPr>
        <w:t>Actividades de la SCM</w:t>
      </w:r>
    </w:p>
    <w:p w:rsidR="008C3257" w:rsidRDefault="008C3257" w:rsidP="008C3257"/>
    <w:p w:rsidR="008C3257" w:rsidRPr="001B1F8E" w:rsidRDefault="008C3257" w:rsidP="008C3257">
      <w:pPr>
        <w:ind w:left="360"/>
        <w:rPr>
          <w:b/>
          <w:sz w:val="24"/>
        </w:rPr>
      </w:pPr>
      <w:r w:rsidRPr="001B1F8E">
        <w:rPr>
          <w:b/>
          <w:sz w:val="24"/>
        </w:rPr>
        <w:t>Identificación de la Configuración</w:t>
      </w:r>
    </w:p>
    <w:tbl>
      <w:tblPr>
        <w:tblStyle w:val="Tablaconcuadrcula"/>
        <w:tblW w:w="0" w:type="auto"/>
        <w:tblInd w:w="360" w:type="dxa"/>
        <w:tblLayout w:type="fixed"/>
        <w:tblLook w:val="04A0" w:firstRow="1" w:lastRow="0" w:firstColumn="1" w:lastColumn="0" w:noHBand="0" w:noVBand="1"/>
      </w:tblPr>
      <w:tblGrid>
        <w:gridCol w:w="1308"/>
        <w:gridCol w:w="1174"/>
        <w:gridCol w:w="1377"/>
        <w:gridCol w:w="1108"/>
        <w:gridCol w:w="1031"/>
        <w:gridCol w:w="2362"/>
      </w:tblGrid>
      <w:tr w:rsidR="008C3257" w:rsidTr="00A94D59">
        <w:tc>
          <w:tcPr>
            <w:tcW w:w="1308"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lastRenderedPageBreak/>
              <w:t>Tipo (</w:t>
            </w:r>
          </w:p>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E = Evolución</w:t>
            </w:r>
          </w:p>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F = Fuente</w:t>
            </w:r>
          </w:p>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S = Soporte</w:t>
            </w:r>
          </w:p>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w:t>
            </w:r>
          </w:p>
        </w:tc>
        <w:tc>
          <w:tcPr>
            <w:tcW w:w="1174"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Nombre del ítem de configuración</w:t>
            </w:r>
          </w:p>
        </w:tc>
        <w:tc>
          <w:tcPr>
            <w:tcW w:w="1377"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Fuente (</w:t>
            </w:r>
          </w:p>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E = Empresa</w:t>
            </w:r>
          </w:p>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P = Proyecto</w:t>
            </w:r>
          </w:p>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C = Cliente</w:t>
            </w:r>
          </w:p>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w:t>
            </w:r>
          </w:p>
        </w:tc>
        <w:tc>
          <w:tcPr>
            <w:tcW w:w="1108"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Extensión del ítem de configuración</w:t>
            </w:r>
          </w:p>
        </w:tc>
        <w:tc>
          <w:tcPr>
            <w:tcW w:w="1031"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Proyecto</w:t>
            </w:r>
          </w:p>
        </w:tc>
        <w:tc>
          <w:tcPr>
            <w:tcW w:w="2362"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Ubicación</w:t>
            </w:r>
          </w:p>
        </w:tc>
      </w:tr>
      <w:tr w:rsidR="008C3257" w:rsidTr="00A94D59">
        <w:tc>
          <w:tcPr>
            <w:tcW w:w="1308"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E</w:t>
            </w:r>
          </w:p>
        </w:tc>
        <w:tc>
          <w:tcPr>
            <w:tcW w:w="1174"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Plan de Gestión de la Configuración</w:t>
            </w:r>
          </w:p>
        </w:tc>
        <w:tc>
          <w:tcPr>
            <w:tcW w:w="1377"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E</w:t>
            </w:r>
          </w:p>
        </w:tc>
        <w:tc>
          <w:tcPr>
            <w:tcW w:w="1108"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proofErr w:type="spellStart"/>
            <w:r w:rsidRPr="00496BB2">
              <w:rPr>
                <w:sz w:val="20"/>
                <w:szCs w:val="20"/>
              </w:rPr>
              <w:t>docx</w:t>
            </w:r>
            <w:proofErr w:type="spellEnd"/>
          </w:p>
        </w:tc>
        <w:tc>
          <w:tcPr>
            <w:tcW w:w="1031"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w:t>
            </w:r>
          </w:p>
        </w:tc>
        <w:tc>
          <w:tcPr>
            <w:tcW w:w="2362"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Documentos</w:t>
            </w:r>
          </w:p>
        </w:tc>
      </w:tr>
      <w:tr w:rsidR="008C3257" w:rsidTr="00A94D59">
        <w:tc>
          <w:tcPr>
            <w:tcW w:w="1308"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E</w:t>
            </w:r>
          </w:p>
        </w:tc>
        <w:tc>
          <w:tcPr>
            <w:tcW w:w="1174" w:type="dxa"/>
          </w:tcPr>
          <w:p w:rsidR="008C3257" w:rsidRPr="00496BB2" w:rsidRDefault="001B1F8E" w:rsidP="00A94D59">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Sistema de Control de Versiones</w:t>
            </w:r>
          </w:p>
        </w:tc>
        <w:tc>
          <w:tcPr>
            <w:tcW w:w="1377"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E</w:t>
            </w:r>
          </w:p>
        </w:tc>
        <w:tc>
          <w:tcPr>
            <w:tcW w:w="1108"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proofErr w:type="spellStart"/>
            <w:r w:rsidRPr="00496BB2">
              <w:rPr>
                <w:sz w:val="20"/>
                <w:szCs w:val="20"/>
              </w:rPr>
              <w:t>docx</w:t>
            </w:r>
            <w:proofErr w:type="spellEnd"/>
          </w:p>
        </w:tc>
        <w:tc>
          <w:tcPr>
            <w:tcW w:w="1031"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w:t>
            </w:r>
          </w:p>
        </w:tc>
        <w:tc>
          <w:tcPr>
            <w:tcW w:w="2362"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Documentos</w:t>
            </w:r>
          </w:p>
        </w:tc>
      </w:tr>
      <w:tr w:rsidR="008C3257" w:rsidTr="00A94D59">
        <w:tc>
          <w:tcPr>
            <w:tcW w:w="1308"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E</w:t>
            </w:r>
          </w:p>
        </w:tc>
        <w:tc>
          <w:tcPr>
            <w:tcW w:w="1174"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Plan de Proyecto</w:t>
            </w:r>
          </w:p>
        </w:tc>
        <w:tc>
          <w:tcPr>
            <w:tcW w:w="1377"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P</w:t>
            </w:r>
          </w:p>
        </w:tc>
        <w:tc>
          <w:tcPr>
            <w:tcW w:w="1108"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proofErr w:type="spellStart"/>
            <w:r w:rsidRPr="00496BB2">
              <w:rPr>
                <w:sz w:val="20"/>
                <w:szCs w:val="20"/>
              </w:rPr>
              <w:t>docx</w:t>
            </w:r>
            <w:proofErr w:type="spellEnd"/>
          </w:p>
        </w:tc>
        <w:tc>
          <w:tcPr>
            <w:tcW w:w="1031"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SWGF</w:t>
            </w:r>
          </w:p>
        </w:tc>
        <w:tc>
          <w:tcPr>
            <w:tcW w:w="2362"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Desarrollo\SWGF\</w:t>
            </w:r>
            <w:proofErr w:type="spellStart"/>
            <w:r w:rsidRPr="00496BB2">
              <w:rPr>
                <w:sz w:val="20"/>
                <w:szCs w:val="20"/>
              </w:rPr>
              <w:t>Gestion</w:t>
            </w:r>
            <w:proofErr w:type="spellEnd"/>
          </w:p>
        </w:tc>
      </w:tr>
      <w:tr w:rsidR="008C3257" w:rsidTr="00A94D59">
        <w:tc>
          <w:tcPr>
            <w:tcW w:w="1308"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E</w:t>
            </w:r>
          </w:p>
        </w:tc>
        <w:tc>
          <w:tcPr>
            <w:tcW w:w="1174"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Documento de Negocio</w:t>
            </w:r>
          </w:p>
        </w:tc>
        <w:tc>
          <w:tcPr>
            <w:tcW w:w="1377"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P</w:t>
            </w:r>
          </w:p>
        </w:tc>
        <w:tc>
          <w:tcPr>
            <w:tcW w:w="1108"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proofErr w:type="spellStart"/>
            <w:r w:rsidRPr="00496BB2">
              <w:rPr>
                <w:sz w:val="20"/>
                <w:szCs w:val="20"/>
              </w:rPr>
              <w:t>docx</w:t>
            </w:r>
            <w:proofErr w:type="spellEnd"/>
          </w:p>
        </w:tc>
        <w:tc>
          <w:tcPr>
            <w:tcW w:w="1031"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SWGF</w:t>
            </w:r>
          </w:p>
        </w:tc>
        <w:tc>
          <w:tcPr>
            <w:tcW w:w="2362" w:type="dxa"/>
          </w:tcPr>
          <w:p w:rsidR="008C3257" w:rsidRPr="00496BB2" w:rsidRDefault="008C3257" w:rsidP="00A94D59">
            <w:pPr>
              <w:pBdr>
                <w:top w:val="none" w:sz="0" w:space="0" w:color="auto"/>
                <w:left w:val="none" w:sz="0" w:space="0" w:color="auto"/>
                <w:bottom w:val="none" w:sz="0" w:space="0" w:color="auto"/>
                <w:right w:val="none" w:sz="0" w:space="0" w:color="auto"/>
                <w:between w:val="none" w:sz="0" w:space="0" w:color="auto"/>
              </w:pBdr>
              <w:rPr>
                <w:sz w:val="20"/>
                <w:szCs w:val="20"/>
              </w:rPr>
            </w:pPr>
            <w:r w:rsidRPr="00496BB2">
              <w:rPr>
                <w:sz w:val="20"/>
                <w:szCs w:val="20"/>
              </w:rPr>
              <w:t>Desarrollo\SWGF\Negocio</w:t>
            </w:r>
          </w:p>
        </w:tc>
      </w:tr>
      <w:tr w:rsidR="008C3257" w:rsidTr="00A94D59">
        <w:tc>
          <w:tcPr>
            <w:tcW w:w="1308" w:type="dxa"/>
          </w:tcPr>
          <w:p w:rsidR="008C3257" w:rsidRDefault="008C3257" w:rsidP="00A94D59">
            <w:pPr>
              <w:pBdr>
                <w:top w:val="none" w:sz="0" w:space="0" w:color="auto"/>
                <w:left w:val="none" w:sz="0" w:space="0" w:color="auto"/>
                <w:bottom w:val="none" w:sz="0" w:space="0" w:color="auto"/>
                <w:right w:val="none" w:sz="0" w:space="0" w:color="auto"/>
                <w:between w:val="none" w:sz="0" w:space="0" w:color="auto"/>
              </w:pBdr>
            </w:pPr>
          </w:p>
        </w:tc>
        <w:tc>
          <w:tcPr>
            <w:tcW w:w="1174" w:type="dxa"/>
          </w:tcPr>
          <w:p w:rsidR="008C3257" w:rsidRDefault="008C3257" w:rsidP="00A94D59">
            <w:pPr>
              <w:pBdr>
                <w:top w:val="none" w:sz="0" w:space="0" w:color="auto"/>
                <w:left w:val="none" w:sz="0" w:space="0" w:color="auto"/>
                <w:bottom w:val="none" w:sz="0" w:space="0" w:color="auto"/>
                <w:right w:val="none" w:sz="0" w:space="0" w:color="auto"/>
                <w:between w:val="none" w:sz="0" w:space="0" w:color="auto"/>
              </w:pBdr>
            </w:pPr>
          </w:p>
        </w:tc>
        <w:tc>
          <w:tcPr>
            <w:tcW w:w="1377" w:type="dxa"/>
          </w:tcPr>
          <w:p w:rsidR="008C3257" w:rsidRDefault="008C3257" w:rsidP="00A94D59">
            <w:pPr>
              <w:pBdr>
                <w:top w:val="none" w:sz="0" w:space="0" w:color="auto"/>
                <w:left w:val="none" w:sz="0" w:space="0" w:color="auto"/>
                <w:bottom w:val="none" w:sz="0" w:space="0" w:color="auto"/>
                <w:right w:val="none" w:sz="0" w:space="0" w:color="auto"/>
                <w:between w:val="none" w:sz="0" w:space="0" w:color="auto"/>
              </w:pBdr>
            </w:pPr>
          </w:p>
        </w:tc>
        <w:tc>
          <w:tcPr>
            <w:tcW w:w="1108" w:type="dxa"/>
          </w:tcPr>
          <w:p w:rsidR="008C3257" w:rsidRDefault="008C3257" w:rsidP="00A94D59">
            <w:pPr>
              <w:pBdr>
                <w:top w:val="none" w:sz="0" w:space="0" w:color="auto"/>
                <w:left w:val="none" w:sz="0" w:space="0" w:color="auto"/>
                <w:bottom w:val="none" w:sz="0" w:space="0" w:color="auto"/>
                <w:right w:val="none" w:sz="0" w:space="0" w:color="auto"/>
                <w:between w:val="none" w:sz="0" w:space="0" w:color="auto"/>
              </w:pBdr>
            </w:pPr>
          </w:p>
        </w:tc>
        <w:tc>
          <w:tcPr>
            <w:tcW w:w="1031" w:type="dxa"/>
          </w:tcPr>
          <w:p w:rsidR="008C3257" w:rsidRDefault="008C3257" w:rsidP="00A94D59">
            <w:pPr>
              <w:pBdr>
                <w:top w:val="none" w:sz="0" w:space="0" w:color="auto"/>
                <w:left w:val="none" w:sz="0" w:space="0" w:color="auto"/>
                <w:bottom w:val="none" w:sz="0" w:space="0" w:color="auto"/>
                <w:right w:val="none" w:sz="0" w:space="0" w:color="auto"/>
                <w:between w:val="none" w:sz="0" w:space="0" w:color="auto"/>
              </w:pBdr>
            </w:pPr>
          </w:p>
        </w:tc>
        <w:tc>
          <w:tcPr>
            <w:tcW w:w="2362" w:type="dxa"/>
          </w:tcPr>
          <w:p w:rsidR="008C3257" w:rsidRDefault="008C3257" w:rsidP="00A94D59">
            <w:pPr>
              <w:pBdr>
                <w:top w:val="none" w:sz="0" w:space="0" w:color="auto"/>
                <w:left w:val="none" w:sz="0" w:space="0" w:color="auto"/>
                <w:bottom w:val="none" w:sz="0" w:space="0" w:color="auto"/>
                <w:right w:val="none" w:sz="0" w:space="0" w:color="auto"/>
                <w:between w:val="none" w:sz="0" w:space="0" w:color="auto"/>
              </w:pBdr>
            </w:pPr>
          </w:p>
        </w:tc>
      </w:tr>
    </w:tbl>
    <w:p w:rsidR="008C3257" w:rsidRDefault="008C3257" w:rsidP="008C3257">
      <w:pPr>
        <w:spacing w:after="0"/>
        <w:contextualSpacing/>
      </w:pPr>
    </w:p>
    <w:p w:rsidR="005C3363" w:rsidRDefault="005C3363" w:rsidP="008C3257">
      <w:pPr>
        <w:spacing w:after="0"/>
        <w:contextualSpacing/>
      </w:pPr>
      <w:bookmarkStart w:id="10" w:name="_GoBack"/>
      <w:bookmarkEnd w:id="10"/>
    </w:p>
    <w:sectPr w:rsidR="005C3363">
      <w:headerReference w:type="default" r:id="rId1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666" w:rsidRDefault="005E7666" w:rsidP="000C4AD2">
      <w:pPr>
        <w:spacing w:after="0" w:line="240" w:lineRule="auto"/>
      </w:pPr>
      <w:r>
        <w:separator/>
      </w:r>
    </w:p>
  </w:endnote>
  <w:endnote w:type="continuationSeparator" w:id="0">
    <w:p w:rsidR="005E7666" w:rsidRDefault="005E7666" w:rsidP="000C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666" w:rsidRDefault="005E7666" w:rsidP="000C4AD2">
      <w:pPr>
        <w:spacing w:after="0" w:line="240" w:lineRule="auto"/>
      </w:pPr>
      <w:r>
        <w:separator/>
      </w:r>
    </w:p>
  </w:footnote>
  <w:footnote w:type="continuationSeparator" w:id="0">
    <w:p w:rsidR="005E7666" w:rsidRDefault="005E7666" w:rsidP="000C4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AD2" w:rsidRDefault="000C4AD2">
    <w:pPr>
      <w:pStyle w:val="Encabezado"/>
    </w:pPr>
    <w:r w:rsidRPr="00804CB8">
      <w:rPr>
        <w:noProof/>
      </w:rPr>
      <w:drawing>
        <wp:anchor distT="0" distB="0" distL="114300" distR="114300" simplePos="0" relativeHeight="251658752" behindDoc="0" locked="0" layoutInCell="1" allowOverlap="1" wp14:anchorId="44691C0A" wp14:editId="0F6575D1">
          <wp:simplePos x="0" y="0"/>
          <wp:positionH relativeFrom="column">
            <wp:posOffset>-556260</wp:posOffset>
          </wp:positionH>
          <wp:positionV relativeFrom="paragraph">
            <wp:posOffset>0</wp:posOffset>
          </wp:positionV>
          <wp:extent cx="1990725" cy="736690"/>
          <wp:effectExtent l="0" t="0" r="0" b="6350"/>
          <wp:wrapNone/>
          <wp:docPr id="2" name="Imagen 2"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0725" cy="7366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72F0"/>
    <w:multiLevelType w:val="multilevel"/>
    <w:tmpl w:val="6AC482B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15:restartNumberingAfterBreak="0">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15:restartNumberingAfterBreak="0">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7" w15:restartNumberingAfterBreak="0">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2671246"/>
    <w:multiLevelType w:val="multilevel"/>
    <w:tmpl w:val="6D329ED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0" w15:restartNumberingAfterBreak="0">
    <w:nsid w:val="64A4357A"/>
    <w:multiLevelType w:val="multilevel"/>
    <w:tmpl w:val="A75E4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1" w15:restartNumberingAfterBreak="0">
    <w:nsid w:val="734D2970"/>
    <w:multiLevelType w:val="multilevel"/>
    <w:tmpl w:val="F2A8D9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2" w15:restartNumberingAfterBreak="0">
    <w:nsid w:val="74CD2B3C"/>
    <w:multiLevelType w:val="multilevel"/>
    <w:tmpl w:val="D236F18A"/>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3" w15:restartNumberingAfterBreak="0">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14" w15:restartNumberingAfterBreak="0">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6"/>
  </w:num>
  <w:num w:numId="2">
    <w:abstractNumId w:val="4"/>
  </w:num>
  <w:num w:numId="3">
    <w:abstractNumId w:val="5"/>
  </w:num>
  <w:num w:numId="4">
    <w:abstractNumId w:val="1"/>
  </w:num>
  <w:num w:numId="5">
    <w:abstractNumId w:val="7"/>
  </w:num>
  <w:num w:numId="6">
    <w:abstractNumId w:val="9"/>
  </w:num>
  <w:num w:numId="7">
    <w:abstractNumId w:val="2"/>
  </w:num>
  <w:num w:numId="8">
    <w:abstractNumId w:val="1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12"/>
  </w:num>
  <w:num w:numId="14">
    <w:abstractNumId w:val="1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29B8"/>
    <w:rsid w:val="0005204A"/>
    <w:rsid w:val="00074B49"/>
    <w:rsid w:val="000A27A4"/>
    <w:rsid w:val="000A4C7E"/>
    <w:rsid w:val="000B6CAD"/>
    <w:rsid w:val="000C1ED1"/>
    <w:rsid w:val="000C4AD2"/>
    <w:rsid w:val="00137D98"/>
    <w:rsid w:val="001653DC"/>
    <w:rsid w:val="00170443"/>
    <w:rsid w:val="001A05B5"/>
    <w:rsid w:val="001A16A4"/>
    <w:rsid w:val="001B1F8E"/>
    <w:rsid w:val="001C6B9A"/>
    <w:rsid w:val="001D2100"/>
    <w:rsid w:val="0023112C"/>
    <w:rsid w:val="0023168D"/>
    <w:rsid w:val="00270250"/>
    <w:rsid w:val="0029789C"/>
    <w:rsid w:val="00431244"/>
    <w:rsid w:val="004D29B8"/>
    <w:rsid w:val="00504AEA"/>
    <w:rsid w:val="00523D5F"/>
    <w:rsid w:val="00524640"/>
    <w:rsid w:val="005952C6"/>
    <w:rsid w:val="005C3363"/>
    <w:rsid w:val="005E7666"/>
    <w:rsid w:val="005F6A4F"/>
    <w:rsid w:val="0061710B"/>
    <w:rsid w:val="00633E6C"/>
    <w:rsid w:val="006B2AF8"/>
    <w:rsid w:val="007047C8"/>
    <w:rsid w:val="00710F4A"/>
    <w:rsid w:val="00716652"/>
    <w:rsid w:val="00723EDF"/>
    <w:rsid w:val="00770352"/>
    <w:rsid w:val="0079309E"/>
    <w:rsid w:val="007A3D3A"/>
    <w:rsid w:val="007B73CC"/>
    <w:rsid w:val="00824F6B"/>
    <w:rsid w:val="00857129"/>
    <w:rsid w:val="0086082B"/>
    <w:rsid w:val="008C3257"/>
    <w:rsid w:val="00945D44"/>
    <w:rsid w:val="009B70EA"/>
    <w:rsid w:val="00A240B9"/>
    <w:rsid w:val="00A62CEA"/>
    <w:rsid w:val="00AF740C"/>
    <w:rsid w:val="00C1031B"/>
    <w:rsid w:val="00C57DFC"/>
    <w:rsid w:val="00CC241B"/>
    <w:rsid w:val="00D475B1"/>
    <w:rsid w:val="00DE036A"/>
    <w:rsid w:val="00DE7023"/>
    <w:rsid w:val="00E00921"/>
    <w:rsid w:val="00E44E40"/>
    <w:rsid w:val="00EA08C9"/>
    <w:rsid w:val="00EB2535"/>
    <w:rsid w:val="00EC7BC7"/>
    <w:rsid w:val="00F83E6F"/>
    <w:rsid w:val="00F955FC"/>
    <w:rsid w:val="00FC5685"/>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4933"/>
  <w15:docId w15:val="{719EBEE0-9EB5-4E5A-BA21-DF7C9621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4A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4AD2"/>
  </w:style>
  <w:style w:type="paragraph" w:styleId="Piedepgina">
    <w:name w:val="footer"/>
    <w:basedOn w:val="Normal"/>
    <w:link w:val="PiedepginaCar"/>
    <w:uiPriority w:val="99"/>
    <w:unhideWhenUsed/>
    <w:rsid w:val="000C4A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2118</Words>
  <Characters>11649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 Santiago Farro Hinoshita</cp:lastModifiedBy>
  <cp:revision>48</cp:revision>
  <dcterms:created xsi:type="dcterms:W3CDTF">2017-09-15T20:57:00Z</dcterms:created>
  <dcterms:modified xsi:type="dcterms:W3CDTF">2017-09-29T21:57:00Z</dcterms:modified>
</cp:coreProperties>
</file>