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BF584E" w:rsidRDefault="00443406">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BF584E" w:rsidRDefault="00917DC7">
          <w:pPr>
            <w:tabs>
              <w:tab w:val="left" w:pos="440"/>
              <w:tab w:val="right" w:pos="8494"/>
            </w:tabs>
            <w:spacing w:after="100"/>
          </w:pPr>
          <w:hyperlink w:anchor="_3znysh7">
            <w:r w:rsidR="00443406">
              <w:rPr>
                <w:b/>
              </w:rPr>
              <w:t>2.</w:t>
            </w:r>
          </w:hyperlink>
          <w:hyperlink w:anchor="_3znysh7">
            <w:r w:rsidR="00443406">
              <w:tab/>
            </w:r>
          </w:hyperlink>
          <w:r w:rsidR="00443406">
            <w:fldChar w:fldCharType="begin"/>
          </w:r>
          <w:r w:rsidR="00443406">
            <w:instrText xml:space="preserve"> PAGEREF _3znysh7 \h </w:instrText>
          </w:r>
          <w:r w:rsidR="00443406">
            <w:fldChar w:fldCharType="separate"/>
          </w:r>
          <w:r w:rsidR="00443406">
            <w:rPr>
              <w:b/>
            </w:rPr>
            <w:t>Gestión de la SCM</w:t>
          </w:r>
          <w:r w:rsidR="00443406">
            <w:fldChar w:fldCharType="end"/>
          </w:r>
        </w:p>
        <w:p w:rsidR="00BF584E" w:rsidRDefault="00443406">
          <w:pPr>
            <w:tabs>
              <w:tab w:val="left" w:pos="440"/>
              <w:tab w:val="right" w:pos="8494"/>
            </w:tabs>
            <w:spacing w:after="100"/>
          </w:pPr>
          <w:r>
            <w:t xml:space="preserve">    </w:t>
          </w:r>
          <w:hyperlink w:anchor="_2et92p0">
            <w:r>
              <w:rPr>
                <w:b/>
              </w:rPr>
              <w:t>2.1.</w:t>
            </w:r>
          </w:hyperlink>
          <w:hyperlink w:anchor="_2et92p0">
            <w:r>
              <w:t xml:space="preserve"> </w:t>
            </w:r>
          </w:hyperlink>
          <w:r>
            <w:rPr>
              <w:b/>
            </w:rPr>
            <w:t xml:space="preserve">     Definiciones y Acrónimos</w:t>
          </w:r>
          <w:r>
            <w:rPr>
              <w:b/>
            </w:rPr>
            <w:tab/>
          </w:r>
          <w:r>
            <w:t>4</w:t>
          </w:r>
        </w:p>
        <w:p w:rsidR="00BF584E" w:rsidRDefault="00917DC7">
          <w:pPr>
            <w:tabs>
              <w:tab w:val="left" w:pos="880"/>
              <w:tab w:val="right" w:pos="8494"/>
            </w:tabs>
            <w:spacing w:after="100"/>
            <w:ind w:left="220"/>
          </w:pPr>
          <w:hyperlink w:anchor="_2et92p0">
            <w:r w:rsidR="00443406">
              <w:rPr>
                <w:b/>
              </w:rPr>
              <w:t>2.</w:t>
            </w:r>
          </w:hyperlink>
          <w:hyperlink w:anchor="_2et92p0">
            <w:r w:rsidR="00443406">
              <w:rPr>
                <w:b/>
              </w:rPr>
              <w:t>2</w:t>
            </w:r>
          </w:hyperlink>
          <w:hyperlink w:anchor="_2et92p0">
            <w:r w:rsidR="00443406">
              <w:rPr>
                <w:b/>
              </w:rPr>
              <w:t>.</w:t>
            </w:r>
          </w:hyperlink>
          <w:hyperlink w:anchor="_2et92p0">
            <w:r w:rsidR="00443406">
              <w:tab/>
            </w:r>
          </w:hyperlink>
          <w:r w:rsidR="00443406">
            <w:fldChar w:fldCharType="begin"/>
          </w:r>
          <w:r w:rsidR="00443406">
            <w:instrText xml:space="preserve"> PAGEREF _2et92p0 \h </w:instrText>
          </w:r>
          <w:r w:rsidR="00443406">
            <w:fldChar w:fldCharType="separate"/>
          </w:r>
          <w:r w:rsidR="00443406">
            <w:rPr>
              <w:b/>
            </w:rPr>
            <w:t>Organización</w:t>
          </w:r>
          <w:r w:rsidR="00443406">
            <w:tab/>
            <w:t>4</w:t>
          </w:r>
          <w:r w:rsidR="00443406">
            <w:fldChar w:fldCharType="end"/>
          </w:r>
        </w:p>
        <w:p w:rsidR="00BF584E" w:rsidRDefault="00917DC7">
          <w:pPr>
            <w:tabs>
              <w:tab w:val="left" w:pos="880"/>
              <w:tab w:val="right" w:pos="8494"/>
            </w:tabs>
            <w:spacing w:after="100"/>
            <w:ind w:left="220"/>
          </w:pPr>
          <w:hyperlink w:anchor="_tyjcwt">
            <w:r w:rsidR="00443406">
              <w:rPr>
                <w:b/>
              </w:rPr>
              <w:t>2.</w:t>
            </w:r>
          </w:hyperlink>
          <w:hyperlink w:anchor="_tyjcwt">
            <w:r w:rsidR="00443406">
              <w:rPr>
                <w:b/>
              </w:rPr>
              <w:t>3</w:t>
            </w:r>
          </w:hyperlink>
          <w:hyperlink w:anchor="_tyjcwt">
            <w:r w:rsidR="00443406">
              <w:rPr>
                <w:b/>
              </w:rPr>
              <w:t>.</w:t>
            </w:r>
          </w:hyperlink>
          <w:hyperlink w:anchor="_tyjcwt">
            <w:r w:rsidR="00443406">
              <w:tab/>
            </w:r>
          </w:hyperlink>
          <w:r w:rsidR="00443406">
            <w:fldChar w:fldCharType="begin"/>
          </w:r>
          <w:r w:rsidR="00443406">
            <w:instrText xml:space="preserve"> PAGEREF _tyjcwt \h </w:instrText>
          </w:r>
          <w:r w:rsidR="00443406">
            <w:fldChar w:fldCharType="separate"/>
          </w:r>
          <w:r w:rsidR="00443406">
            <w:rPr>
              <w:b/>
            </w:rPr>
            <w:t>Roles y Responsabilidades</w:t>
          </w:r>
          <w:r w:rsidR="00443406">
            <w:tab/>
            <w:t>6</w:t>
          </w:r>
          <w:r w:rsidR="00443406">
            <w:fldChar w:fldCharType="end"/>
          </w:r>
        </w:p>
        <w:p w:rsidR="00BF584E" w:rsidRDefault="00917DC7">
          <w:pPr>
            <w:tabs>
              <w:tab w:val="left" w:pos="880"/>
              <w:tab w:val="right" w:pos="8494"/>
            </w:tabs>
            <w:spacing w:after="100"/>
            <w:ind w:left="220"/>
          </w:pPr>
          <w:hyperlink w:anchor="_3dy6vkm">
            <w:r w:rsidR="00443406">
              <w:rPr>
                <w:b/>
              </w:rPr>
              <w:t>2.</w:t>
            </w:r>
          </w:hyperlink>
          <w:hyperlink w:anchor="_3dy6vkm">
            <w:r w:rsidR="00443406">
              <w:rPr>
                <w:b/>
              </w:rPr>
              <w:t>4</w:t>
            </w:r>
          </w:hyperlink>
          <w:hyperlink w:anchor="_3dy6vkm">
            <w:r w:rsidR="00443406">
              <w:rPr>
                <w:b/>
              </w:rPr>
              <w:t>.</w:t>
            </w:r>
          </w:hyperlink>
          <w:hyperlink w:anchor="_3dy6vkm">
            <w:r w:rsidR="00443406">
              <w:tab/>
            </w:r>
          </w:hyperlink>
          <w:r w:rsidR="00443406">
            <w:fldChar w:fldCharType="begin"/>
          </w:r>
          <w:r w:rsidR="00443406">
            <w:instrText xml:space="preserve"> PAGEREF _3dy6vkm \h </w:instrText>
          </w:r>
          <w:r w:rsidR="00443406">
            <w:fldChar w:fldCharType="separate"/>
          </w:r>
          <w:r w:rsidR="00443406">
            <w:rPr>
              <w:b/>
            </w:rPr>
            <w:t>Calendario</w:t>
          </w:r>
          <w:r w:rsidR="00443406">
            <w:tab/>
            <w:t>8</w:t>
          </w:r>
          <w:r w:rsidR="00443406">
            <w:fldChar w:fldCharType="end"/>
          </w:r>
        </w:p>
        <w:p w:rsidR="00BF584E" w:rsidRDefault="00917DC7">
          <w:pPr>
            <w:tabs>
              <w:tab w:val="left" w:pos="880"/>
              <w:tab w:val="right" w:pos="8494"/>
            </w:tabs>
            <w:spacing w:after="100"/>
            <w:ind w:left="220"/>
          </w:pPr>
          <w:hyperlink w:anchor="_1t3h5sf">
            <w:r w:rsidR="00443406">
              <w:rPr>
                <w:b/>
              </w:rPr>
              <w:t>2.</w:t>
            </w:r>
          </w:hyperlink>
          <w:hyperlink w:anchor="_1t3h5sf">
            <w:r w:rsidR="00443406">
              <w:rPr>
                <w:b/>
              </w:rPr>
              <w:t>5</w:t>
            </w:r>
          </w:hyperlink>
          <w:hyperlink w:anchor="_1t3h5sf">
            <w:r w:rsidR="00443406">
              <w:rPr>
                <w:b/>
              </w:rPr>
              <w:t>.</w:t>
            </w:r>
          </w:hyperlink>
          <w:hyperlink w:anchor="_1t3h5sf">
            <w:r w:rsidR="00443406">
              <w:tab/>
            </w:r>
          </w:hyperlink>
          <w:r w:rsidR="00443406">
            <w:fldChar w:fldCharType="begin"/>
          </w:r>
          <w:r w:rsidR="00443406">
            <w:instrText xml:space="preserve"> PAGEREF _1t3h5sf \h </w:instrText>
          </w:r>
          <w:r w:rsidR="00443406">
            <w:fldChar w:fldCharType="separate"/>
          </w:r>
          <w:r w:rsidR="00443406">
            <w:rPr>
              <w:b/>
            </w:rPr>
            <w:t>Políticas, directrices y procedimientos.</w:t>
          </w:r>
          <w:r w:rsidR="00443406">
            <w:tab/>
            <w:t>8</w:t>
          </w:r>
          <w:r w:rsidR="00443406">
            <w:fldChar w:fldCharType="end"/>
          </w:r>
        </w:p>
        <w:p w:rsidR="00BF584E" w:rsidRDefault="00917DC7">
          <w:pPr>
            <w:tabs>
              <w:tab w:val="left" w:pos="880"/>
              <w:tab w:val="right" w:pos="8494"/>
            </w:tabs>
            <w:spacing w:after="100"/>
            <w:ind w:left="220"/>
          </w:pPr>
          <w:hyperlink w:anchor="_4d34og8">
            <w:r w:rsidR="00443406">
              <w:rPr>
                <w:b/>
              </w:rPr>
              <w:t>2.</w:t>
            </w:r>
          </w:hyperlink>
          <w:hyperlink w:anchor="_4d34og8">
            <w:r w:rsidR="00443406">
              <w:rPr>
                <w:b/>
              </w:rPr>
              <w:t>6</w:t>
            </w:r>
          </w:hyperlink>
          <w:hyperlink w:anchor="_4d34og8">
            <w:r w:rsidR="00443406">
              <w:rPr>
                <w:b/>
              </w:rPr>
              <w:t>.</w:t>
            </w:r>
          </w:hyperlink>
          <w:hyperlink w:anchor="_4d34og8">
            <w:r w:rsidR="00443406">
              <w:tab/>
            </w:r>
          </w:hyperlink>
          <w:r w:rsidR="00443406">
            <w:fldChar w:fldCharType="begin"/>
          </w:r>
          <w:r w:rsidR="00443406">
            <w:instrText xml:space="preserve"> PAGEREF _4d34og8 \h </w:instrText>
          </w:r>
          <w:r w:rsidR="00443406">
            <w:fldChar w:fldCharType="separate"/>
          </w:r>
          <w:r w:rsidR="00443406">
            <w:rPr>
              <w:b/>
            </w:rPr>
            <w:t>Herramientas, Entorno e Infraestructura.</w:t>
          </w:r>
          <w:r w:rsidR="00443406">
            <w:tab/>
            <w:t>9</w:t>
          </w:r>
          <w:r w:rsidR="00443406">
            <w:fldChar w:fldCharType="end"/>
          </w:r>
          <w:r w:rsidR="00443406">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gjdgxs" w:colFirst="0" w:colLast="0"/>
      <w:bookmarkEnd w:id="0"/>
      <w:r>
        <w:rPr>
          <w:b/>
          <w:color w:val="000000"/>
        </w:rPr>
        <w:lastRenderedPageBreak/>
        <w:t>INTRODUCCIÓN</w:t>
      </w:r>
    </w:p>
    <w:p w:rsidR="00BF584E" w:rsidRDefault="00BF584E">
      <w:pPr>
        <w:ind w:left="360"/>
        <w:jc w:val="both"/>
      </w:pPr>
    </w:p>
    <w:p w:rsidR="00BF584E" w:rsidRDefault="00443406" w:rsidP="00804A56">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proofErr w:type="spellStart"/>
      <w:r>
        <w:t>release</w:t>
      </w:r>
      <w:proofErr w:type="spellEnd"/>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3znysh7" w:colFirst="0" w:colLast="0"/>
      <w:bookmarkEnd w:id="1"/>
      <w:r>
        <w:rPr>
          <w:b/>
          <w:color w:val="000000"/>
        </w:rPr>
        <w:t>Gestión de la SCM</w:t>
      </w:r>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804A56">
      <w:pPr>
        <w:pStyle w:val="Ttulo2"/>
        <w:numPr>
          <w:ilvl w:val="1"/>
          <w:numId w:val="1"/>
        </w:numPr>
        <w:spacing w:line="360" w:lineRule="auto"/>
        <w:rPr>
          <w:b/>
          <w:color w:val="000000" w:themeColor="text1"/>
          <w:sz w:val="28"/>
          <w:szCs w:val="28"/>
        </w:rPr>
      </w:pPr>
      <w:bookmarkStart w:id="2" w:name="_30j0zll" w:colFirst="0" w:colLast="0"/>
      <w:bookmarkEnd w:id="2"/>
      <w:r w:rsidRPr="00D70EC8">
        <w:rPr>
          <w:b/>
          <w:color w:val="000000" w:themeColor="text1"/>
          <w:sz w:val="28"/>
          <w:szCs w:val="28"/>
        </w:rPr>
        <w:t>Definiciones y Acrónimos</w:t>
      </w:r>
    </w:p>
    <w:p w:rsidR="00BF584E" w:rsidRDefault="00443406" w:rsidP="00804A56">
      <w:pPr>
        <w:spacing w:line="360" w:lineRule="auto"/>
        <w:ind w:left="284" w:firstLine="436"/>
        <w:jc w:val="both"/>
      </w:pPr>
      <w:r>
        <w:t>A continuación se desarrollaran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BF584E" w:rsidRDefault="00443406" w:rsidP="00804A56">
      <w:pPr>
        <w:spacing w:line="360" w:lineRule="auto"/>
        <w:ind w:left="720"/>
        <w:jc w:val="both"/>
        <w:rPr>
          <w:b/>
        </w:rPr>
      </w:pPr>
      <w:r>
        <w:rPr>
          <w:b/>
        </w:rPr>
        <w:t>Versión</w:t>
      </w:r>
    </w:p>
    <w:p w:rsidR="00BF584E" w:rsidRDefault="00443406" w:rsidP="00804A56">
      <w:pPr>
        <w:spacing w:line="360" w:lineRule="auto"/>
        <w:ind w:left="720"/>
        <w:jc w:val="both"/>
      </w:pPr>
      <w:r>
        <w:lastRenderedPageBreak/>
        <w:t>Estado de un conjunto de clases (y de otro tipo de archivos) que forman un sistema o componente. El conjunto de clases forman una versión en un momento dado.</w:t>
      </w:r>
    </w:p>
    <w:p w:rsidR="00BF584E" w:rsidRDefault="00443406" w:rsidP="00804A56">
      <w:pPr>
        <w:spacing w:line="360" w:lineRule="auto"/>
        <w:ind w:left="720"/>
        <w:jc w:val="both"/>
        <w:rPr>
          <w:b/>
        </w:rPr>
      </w:pPr>
      <w:bookmarkStart w:id="3" w:name="_1fob9te" w:colFirst="0" w:colLast="0"/>
      <w:bookmarkEnd w:id="3"/>
      <w:proofErr w:type="spellStart"/>
      <w:r>
        <w:rPr>
          <w:b/>
        </w:rPr>
        <w:t>Release</w:t>
      </w:r>
      <w:proofErr w:type="spellEnd"/>
    </w:p>
    <w:p w:rsidR="00BF584E" w:rsidRDefault="00443406" w:rsidP="00804A56">
      <w:pPr>
        <w:spacing w:line="360" w:lineRule="auto"/>
        <w:ind w:left="720"/>
        <w:jc w:val="both"/>
      </w:pPr>
      <w:r>
        <w:t xml:space="preserve">El </w:t>
      </w:r>
      <w:proofErr w:type="spellStart"/>
      <w:r>
        <w:t>release</w:t>
      </w:r>
      <w:proofErr w:type="spellEnd"/>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proofErr w:type="spellStart"/>
      <w:r>
        <w:t>release</w:t>
      </w:r>
      <w:proofErr w:type="spellEnd"/>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BF584E" w:rsidRDefault="00443406" w:rsidP="00804A56">
      <w:pPr>
        <w:spacing w:line="360" w:lineRule="auto"/>
        <w:ind w:left="720"/>
        <w:jc w:val="both"/>
      </w:pPr>
      <w:r>
        <w:t>Se refiere a la investigación y al proceso de entrevistas que determina cómo se adquiere, distribuye y usa el software en la organización.</w:t>
      </w:r>
    </w:p>
    <w:p w:rsidR="00D943D4" w:rsidRDefault="00D943D4" w:rsidP="00D70EC8">
      <w:pPr>
        <w:ind w:left="720"/>
        <w:jc w:val="both"/>
      </w:pPr>
    </w:p>
    <w:p w:rsidR="00BF584E" w:rsidRDefault="00443406" w:rsidP="00D70EC8">
      <w:pPr>
        <w:pStyle w:val="Ttulo2"/>
        <w:numPr>
          <w:ilvl w:val="1"/>
          <w:numId w:val="1"/>
        </w:numPr>
        <w:rPr>
          <w:b/>
          <w:color w:val="000000"/>
        </w:rPr>
      </w:pPr>
      <w:bookmarkStart w:id="4" w:name="_2et92p0" w:colFirst="0" w:colLast="0"/>
      <w:bookmarkEnd w:id="4"/>
      <w:r>
        <w:rPr>
          <w:b/>
          <w:color w:val="000000"/>
        </w:rPr>
        <w:t>Organización</w:t>
      </w:r>
    </w:p>
    <w:p w:rsidR="00BF584E" w:rsidRDefault="00BF584E" w:rsidP="00D70EC8">
      <w:pPr>
        <w:keepLines/>
        <w:widowControl w:val="0"/>
        <w:spacing w:after="120" w:line="312" w:lineRule="auto"/>
        <w:ind w:left="720"/>
        <w:jc w:val="both"/>
        <w:rPr>
          <w:rFonts w:ascii="Arial" w:eastAsia="Arial" w:hAnsi="Arial" w:cs="Arial"/>
          <w:sz w:val="20"/>
          <w:szCs w:val="20"/>
        </w:rPr>
      </w:pPr>
    </w:p>
    <w:p w:rsidR="00BF584E" w:rsidRDefault="00443406" w:rsidP="008755FC">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lastRenderedPageBreak/>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04BE7A" id="Rectángulo redondeado 7" o:spid="_x0000_s1026" style="position:absolute;margin-left:66.45pt;margin-top:-10.1pt;width:291.75pt;height:28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7216" behindDoc="0" locked="0" layoutInCell="1" allowOverlap="1">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Cuadro de texto 2" o:spid="_x0000_s1026" style="position:absolute;margin-left:65.7pt;margin-top:12.95pt;width:291.75pt;height:26.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Pr="0013065B"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BF584E" w:rsidRDefault="00443406" w:rsidP="001531EB">
      <w:pPr>
        <w:pStyle w:val="Ttulo3"/>
        <w:ind w:firstLine="720"/>
        <w:rPr>
          <w:b w:val="0"/>
        </w:rPr>
      </w:pPr>
      <w:bookmarkStart w:id="5" w:name="_tyjcwt" w:colFirst="0" w:colLast="0"/>
      <w:bookmarkEnd w:id="5"/>
      <w:r>
        <w:t>Roles y Responsabilidades</w:t>
      </w:r>
    </w:p>
    <w:p w:rsidR="00BF584E" w:rsidRDefault="00BF584E" w:rsidP="00D70EC8"/>
    <w:p w:rsidR="00BF584E" w:rsidRDefault="00443406" w:rsidP="00D70EC8">
      <w:pPr>
        <w:keepLines/>
        <w:widowControl w:val="0"/>
        <w:numPr>
          <w:ilvl w:val="0"/>
          <w:numId w:val="7"/>
        </w:numPr>
        <w:spacing w:after="0" w:line="312" w:lineRule="auto"/>
        <w:contextualSpacing/>
        <w:jc w:val="both"/>
        <w:rPr>
          <w:b/>
        </w:rPr>
      </w:pPr>
      <w:r>
        <w:rPr>
          <w:b/>
        </w:rPr>
        <w:t>Comité de Control de Cambios</w:t>
      </w:r>
    </w:p>
    <w:p w:rsidR="00BF584E" w:rsidRDefault="00443406" w:rsidP="001531EB">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BF584E" w:rsidRDefault="00443406" w:rsidP="00D70EC8">
      <w:pPr>
        <w:keepLines/>
        <w:widowControl w:val="0"/>
        <w:numPr>
          <w:ilvl w:val="0"/>
          <w:numId w:val="6"/>
        </w:numPr>
        <w:spacing w:after="0" w:line="312" w:lineRule="auto"/>
        <w:contextualSpacing/>
        <w:jc w:val="both"/>
        <w:rPr>
          <w:b/>
        </w:rPr>
      </w:pPr>
      <w:r>
        <w:rPr>
          <w:b/>
        </w:rPr>
        <w:t>Gestor de la Gestión de la Configuración</w:t>
      </w:r>
    </w:p>
    <w:p w:rsidR="00BF584E" w:rsidRDefault="00443406" w:rsidP="001531EB">
      <w:pPr>
        <w:keepLines/>
        <w:widowControl w:val="0"/>
        <w:spacing w:after="120" w:line="360" w:lineRule="auto"/>
        <w:ind w:left="1440"/>
        <w:jc w:val="both"/>
      </w:pPr>
      <w:r>
        <w:lastRenderedPageBreak/>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D70EC8">
      <w:pPr>
        <w:keepLines/>
        <w:widowControl w:val="0"/>
        <w:numPr>
          <w:ilvl w:val="0"/>
          <w:numId w:val="5"/>
        </w:numPr>
        <w:spacing w:after="120" w:line="312" w:lineRule="auto"/>
        <w:ind w:left="1276" w:hanging="217"/>
        <w:jc w:val="both"/>
        <w:rPr>
          <w:b/>
        </w:rPr>
      </w:pPr>
      <w:r>
        <w:rPr>
          <w:b/>
        </w:rPr>
        <w:t xml:space="preserve">    Bibliotecario</w:t>
      </w:r>
    </w:p>
    <w:p w:rsidR="00BF584E" w:rsidRPr="00E04122" w:rsidRDefault="00443406" w:rsidP="001531E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p>
    <w:p w:rsidR="00BF584E" w:rsidRDefault="00443406" w:rsidP="008868E7">
      <w:pPr>
        <w:pStyle w:val="Ttulo3"/>
        <w:ind w:firstLine="720"/>
      </w:pPr>
      <w:bookmarkStart w:id="6" w:name="_3dy6vkm" w:colFirst="0" w:colLast="0"/>
      <w:bookmarkEnd w:id="6"/>
      <w:r>
        <w:t>Calendario</w:t>
      </w:r>
    </w:p>
    <w:p w:rsidR="009833C5" w:rsidRPr="009833C5" w:rsidRDefault="009833C5" w:rsidP="009833C5"/>
    <w:p w:rsidR="0033487A" w:rsidRDefault="00F85C70" w:rsidP="009833C5">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lastRenderedPageBreak/>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lastRenderedPageBreak/>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DF44F3">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7"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7"/>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99440F">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FD27DF"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28 días</w:t>
            </w:r>
          </w:p>
        </w:tc>
      </w:tr>
    </w:tbl>
    <w:p w:rsidR="00BF584E" w:rsidRDefault="00BF584E" w:rsidP="00D70EC8">
      <w:pPr>
        <w:keepLines/>
        <w:widowControl w:val="0"/>
        <w:spacing w:after="120" w:line="312" w:lineRule="auto"/>
        <w:ind w:left="360"/>
        <w:jc w:val="both"/>
        <w:rPr>
          <w:i/>
        </w:rPr>
      </w:pPr>
    </w:p>
    <w:p w:rsidR="00BF584E" w:rsidRDefault="00443406" w:rsidP="001F32D8">
      <w:pPr>
        <w:pStyle w:val="Ttulo3"/>
        <w:ind w:firstLine="720"/>
      </w:pPr>
      <w:bookmarkStart w:id="8" w:name="_1t3h5sf" w:colFirst="0" w:colLast="0"/>
      <w:bookmarkEnd w:id="8"/>
      <w:r>
        <w:t>Políticas, directrices y procedimientos.</w:t>
      </w:r>
    </w:p>
    <w:p w:rsidR="00850D2E" w:rsidRDefault="001F32D8" w:rsidP="001F32D8">
      <w:pPr>
        <w:ind w:left="709"/>
      </w:pPr>
      <w:r>
        <w:t>Se tomarán en consideración las políticas y directrices mencionadas en la siguiente tabla:</w:t>
      </w:r>
      <w:bookmarkStart w:id="9" w:name="_4d34og8" w:colFirst="0" w:colLast="0"/>
      <w:bookmarkEnd w:id="9"/>
      <w:r w:rsidR="00443406">
        <w:t xml:space="preserve">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1F32D8" w:rsidTr="003B0BC0">
        <w:tc>
          <w:tcPr>
            <w:tcW w:w="5103" w:type="dxa"/>
            <w:vAlign w:val="bottom"/>
          </w:tcPr>
          <w:p w:rsidR="001F32D8" w:rsidRPr="001F32D8"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001F32D8" w:rsidRPr="001F32D8">
              <w:rPr>
                <w:b/>
              </w:rPr>
              <w:t>Descripción</w:t>
            </w:r>
          </w:p>
        </w:tc>
        <w:tc>
          <w:tcPr>
            <w:tcW w:w="2268" w:type="dxa"/>
            <w:vAlign w:val="bottom"/>
          </w:tcPr>
          <w:p w:rsidR="001F32D8" w:rsidRPr="001F32D8" w:rsidRDefault="001F32D8"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1F32D8" w:rsidTr="003B0BC0">
        <w:tc>
          <w:tcPr>
            <w:tcW w:w="5103" w:type="dxa"/>
            <w:vAlign w:val="bottom"/>
          </w:tcPr>
          <w:p w:rsidR="001F32D8"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1F32D8"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 xml:space="preserve">Políticas de </w:t>
            </w:r>
            <w:proofErr w:type="spellStart"/>
            <w:r>
              <w:t>versionamiento</w:t>
            </w:r>
            <w:proofErr w:type="spellEnd"/>
            <w:r>
              <w:t xml:space="preserve"> del código fuente.</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1007-2007</w:t>
            </w:r>
            <w:r w:rsidR="00CD4F55">
              <w:t>.</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r w:rsidR="00CD4F55">
              <w:t>.</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3B0BC0" w:rsidTr="003B0BC0">
        <w:tc>
          <w:tcPr>
            <w:tcW w:w="5103" w:type="dxa"/>
            <w:vAlign w:val="bottom"/>
          </w:tcPr>
          <w:p w:rsidR="003B0BC0" w:rsidRPr="003B0BC0" w:rsidRDefault="003B0BC0"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w:t>
            </w:r>
            <w:r w:rsidR="00CD4F55">
              <w:t xml:space="preserve"> en el proyecto.</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3B0BC0" w:rsidTr="003B0BC0">
        <w:tc>
          <w:tcPr>
            <w:tcW w:w="5103" w:type="dxa"/>
            <w:vAlign w:val="bottom"/>
          </w:tcPr>
          <w:p w:rsidR="003B0BC0" w:rsidRPr="003B0BC0" w:rsidRDefault="00CD4F55" w:rsidP="00CD4F55">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3B0BC0" w:rsidRPr="00CD4F55" w:rsidRDefault="00CD4F55" w:rsidP="003B0BC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1F32D8" w:rsidRDefault="001F32D8" w:rsidP="001F32D8">
      <w:pPr>
        <w:ind w:left="709"/>
      </w:pPr>
    </w:p>
    <w:p w:rsidR="00850D2E" w:rsidRDefault="00850D2E" w:rsidP="001F32D8">
      <w:pPr>
        <w:pStyle w:val="Ttulo3"/>
        <w:ind w:firstLine="709"/>
      </w:pPr>
      <w:bookmarkStart w:id="10" w:name="_Toc493530032"/>
      <w:r>
        <w:lastRenderedPageBreak/>
        <w:t>Herramientas, Entorno e Infraestructura.</w:t>
      </w:r>
      <w:bookmarkEnd w:id="10"/>
    </w:p>
    <w:p w:rsidR="00FB2F88" w:rsidRDefault="00850D2E" w:rsidP="001F32D8">
      <w:pPr>
        <w:keepLines/>
        <w:widowControl w:val="0"/>
        <w:spacing w:after="0" w:line="360" w:lineRule="auto"/>
        <w:ind w:left="709"/>
        <w:contextualSpacing/>
        <w:jc w:val="both"/>
      </w:pPr>
      <w:r>
        <w:rPr>
          <w:b/>
        </w:rPr>
        <w:t xml:space="preserve">Herramientas: </w:t>
      </w:r>
      <w:r>
        <w:t xml:space="preserve">Se </w:t>
      </w:r>
      <w:r w:rsidR="00443406">
        <w:t>usará el software controlador de versiones GIT y la plataforma de desarrollo colaborativo GitHub, teniendo una preferencia por estas gracias a que se puede trabajar sin conexión,</w:t>
      </w:r>
      <w:r w:rsidR="00CD4F55">
        <w:t xml:space="preserve"> </w:t>
      </w:r>
      <w:r w:rsidR="00443406">
        <w:t>uso sencillo y colaborativo, así como un manejo y combinación de ramas del proyecto, la opción gratuita que brinda</w:t>
      </w:r>
      <w:r w:rsidR="00CD4F55">
        <w:t>,</w:t>
      </w:r>
      <w:r w:rsidR="00443406">
        <w:t xml:space="preserve"> además de las ventajas ofrecidas por las soluciones empresariales de las que provee, así mismo cuenta con una curva de aprendizaje rápida. La información mejor detallada de la herramienta, la encontramos en el documento del Sistema de C</w:t>
      </w:r>
      <w:r w:rsidR="00FB2F88">
        <w:t>ontrol de Versiones (SCV.docx).</w:t>
      </w:r>
    </w:p>
    <w:p w:rsidR="00BF584E" w:rsidRDefault="00FB2F88" w:rsidP="001F32D8">
      <w:pPr>
        <w:keepLines/>
        <w:widowControl w:val="0"/>
        <w:spacing w:after="0" w:line="360" w:lineRule="auto"/>
        <w:ind w:left="709"/>
        <w:contextualSpacing/>
        <w:jc w:val="both"/>
      </w:pPr>
      <w:r>
        <w:t>E</w:t>
      </w:r>
      <w:r w:rsidR="00443406">
        <w:t>l diagrama sigui</w:t>
      </w:r>
      <w:r w:rsidR="00CD4F55">
        <w:t>ente (Figura 2.2)</w:t>
      </w:r>
      <w:r>
        <w:t xml:space="preserve"> representa la arquitectura,</w:t>
      </w:r>
      <w:r w:rsidR="00CD4F55">
        <w:t xml:space="preserve"> como se ve</w:t>
      </w:r>
      <w:r>
        <w:t>,</w:t>
      </w:r>
      <w:r w:rsidR="00CD4F55">
        <w:t xml:space="preserve"> se contará con un repositorio </w:t>
      </w:r>
      <w:proofErr w:type="gramStart"/>
      <w:r w:rsidR="00CD4F55">
        <w:t>central</w:t>
      </w:r>
      <w:r>
        <w:t>(</w:t>
      </w:r>
      <w:proofErr w:type="spellStart"/>
      <w:proofErr w:type="gramEnd"/>
      <w:r>
        <w:t>branch</w:t>
      </w:r>
      <w:proofErr w:type="spellEnd"/>
      <w:r>
        <w:t xml:space="preserve"> master) compartido</w:t>
      </w:r>
      <w:r w:rsidR="00CD4F55">
        <w:t xml:space="preserve"> alojado en un servidor </w:t>
      </w:r>
      <w:r>
        <w:t>C</w:t>
      </w:r>
      <w:r w:rsidR="00CD4F55">
        <w:t xml:space="preserve">loud, </w:t>
      </w:r>
      <w:r>
        <w:t xml:space="preserve">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BF584E" w:rsidRDefault="00443406">
      <w:pPr>
        <w:spacing w:after="0"/>
        <w:ind w:left="1440"/>
      </w:pPr>
      <w:bookmarkStart w:id="11" w:name="_2s8eyo1" w:colFirst="0" w:colLast="0"/>
      <w:bookmarkEnd w:id="11"/>
      <w:r>
        <w:rPr>
          <w:noProof/>
        </w:rPr>
        <w:drawing>
          <wp:inline distT="0" distB="0" distL="0" distR="0" wp14:anchorId="1BFE81E8" wp14:editId="0DCA6193">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BF584E" w:rsidRDefault="00B032E7">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Figura 2.2. Flujo del</w:t>
      </w:r>
      <w:r w:rsidR="00E87058">
        <w:rPr>
          <w:rFonts w:asciiTheme="minorHAnsi" w:eastAsia="Arial" w:hAnsiTheme="minorHAnsi" w:cstheme="minorHAnsi"/>
          <w:color w:val="auto"/>
          <w:sz w:val="20"/>
          <w:szCs w:val="20"/>
        </w:rPr>
        <w:t xml:space="preserve"> trabajo del equipo usando </w:t>
      </w:r>
      <w:proofErr w:type="spellStart"/>
      <w:r w:rsidR="00E87058">
        <w:rPr>
          <w:rFonts w:asciiTheme="minorHAnsi" w:eastAsia="Arial" w:hAnsiTheme="minorHAnsi" w:cstheme="minorHAnsi"/>
          <w:color w:val="auto"/>
          <w:sz w:val="20"/>
          <w:szCs w:val="20"/>
        </w:rPr>
        <w:t>Git</w:t>
      </w:r>
      <w:proofErr w:type="spellEnd"/>
      <w:r w:rsidR="00E87058">
        <w:rPr>
          <w:rFonts w:asciiTheme="minorHAnsi" w:eastAsia="Arial" w:hAnsiTheme="minorHAnsi" w:cstheme="minorHAnsi"/>
          <w:color w:val="auto"/>
          <w:sz w:val="20"/>
          <w:szCs w:val="20"/>
        </w:rPr>
        <w:t xml:space="preserve"> </w:t>
      </w:r>
      <w:bookmarkStart w:id="12" w:name="_GoBack"/>
      <w:bookmarkEnd w:id="12"/>
      <w:r>
        <w:rPr>
          <w:rFonts w:asciiTheme="minorHAnsi" w:eastAsia="Arial" w:hAnsiTheme="minorHAnsi" w:cstheme="minorHAnsi"/>
          <w:color w:val="auto"/>
          <w:sz w:val="20"/>
          <w:szCs w:val="20"/>
        </w:rPr>
        <w:t xml:space="preserve">y la  plataforma </w:t>
      </w:r>
      <w:proofErr w:type="spellStart"/>
      <w:r>
        <w:rPr>
          <w:rFonts w:asciiTheme="minorHAnsi" w:eastAsia="Arial" w:hAnsiTheme="minorHAnsi" w:cstheme="minorHAnsi"/>
          <w:color w:val="auto"/>
          <w:sz w:val="20"/>
          <w:szCs w:val="20"/>
        </w:rPr>
        <w:t>Github</w:t>
      </w:r>
      <w:proofErr w:type="spellEnd"/>
      <w:r>
        <w:rPr>
          <w:rFonts w:asciiTheme="minorHAnsi" w:eastAsia="Arial" w:hAnsiTheme="minorHAnsi" w:cstheme="minorHAnsi"/>
          <w:color w:val="auto"/>
          <w:sz w:val="20"/>
          <w:szCs w:val="20"/>
        </w:rPr>
        <w:t>.</w:t>
      </w:r>
    </w:p>
    <w:p w:rsidR="00B032E7" w:rsidRDefault="00B032E7">
      <w:pPr>
        <w:spacing w:after="0"/>
      </w:pPr>
    </w:p>
    <w:p w:rsidR="00BF584E" w:rsidRDefault="00443406">
      <w:pPr>
        <w:pStyle w:val="Ttulo1"/>
        <w:numPr>
          <w:ilvl w:val="0"/>
          <w:numId w:val="1"/>
        </w:numPr>
        <w:rPr>
          <w:b/>
          <w:color w:val="000000"/>
        </w:rPr>
      </w:pPr>
      <w:r>
        <w:rPr>
          <w:b/>
          <w:color w:val="000000"/>
        </w:rPr>
        <w:t>Actividades de la SCM</w:t>
      </w:r>
    </w:p>
    <w:p w:rsidR="00BF584E" w:rsidRDefault="00BF584E"/>
    <w:p w:rsidR="00BF584E" w:rsidRDefault="00443406">
      <w:pPr>
        <w:ind w:left="360"/>
        <w:rPr>
          <w:b/>
          <w:sz w:val="24"/>
          <w:szCs w:val="24"/>
        </w:rPr>
      </w:pPr>
      <w:r>
        <w:rPr>
          <w:b/>
          <w:sz w:val="24"/>
          <w:szCs w:val="24"/>
        </w:rPr>
        <w:t>Identificación de la Configuración</w:t>
      </w:r>
    </w:p>
    <w:tbl>
      <w:tblPr>
        <w:tblStyle w:val="a0"/>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8"/>
        <w:gridCol w:w="1174"/>
        <w:gridCol w:w="1377"/>
        <w:gridCol w:w="1108"/>
        <w:gridCol w:w="1031"/>
        <w:gridCol w:w="2362"/>
      </w:tblGrid>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Tipo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Evolución</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 = Fuente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 = Soporte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Nombre del ítem de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Fuente (</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 = Empresa</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 = Proyecto</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C = Cliente</w:t>
            </w:r>
          </w:p>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Extensión del ítem de configurac</w:t>
            </w:r>
            <w:r>
              <w:rPr>
                <w:sz w:val="20"/>
                <w:szCs w:val="20"/>
              </w:rPr>
              <w:lastRenderedPageBreak/>
              <w:t>ión</w:t>
            </w:r>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Proyecto</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Ubicación</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lastRenderedPageBreak/>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Gestión de la Configuración</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Sistema de Control de Versiones</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Documentos</w:t>
            </w:r>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Plan de Proyecto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w:t>
            </w:r>
            <w:proofErr w:type="spellStart"/>
            <w:r>
              <w:rPr>
                <w:sz w:val="20"/>
                <w:szCs w:val="20"/>
              </w:rPr>
              <w:t>Gestion</w:t>
            </w:r>
            <w:proofErr w:type="spellEnd"/>
          </w:p>
        </w:tc>
      </w:tr>
      <w:tr w:rsidR="00BF584E">
        <w:tc>
          <w:tcPr>
            <w:tcW w:w="13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E</w:t>
            </w:r>
          </w:p>
        </w:tc>
        <w:tc>
          <w:tcPr>
            <w:tcW w:w="1174"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Documento de Negocio</w:t>
            </w:r>
          </w:p>
        </w:tc>
        <w:tc>
          <w:tcPr>
            <w:tcW w:w="1377"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P</w:t>
            </w:r>
          </w:p>
        </w:tc>
        <w:tc>
          <w:tcPr>
            <w:tcW w:w="1108"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proofErr w:type="spellStart"/>
            <w:r>
              <w:rPr>
                <w:sz w:val="20"/>
                <w:szCs w:val="20"/>
              </w:rPr>
              <w:t>docx</w:t>
            </w:r>
            <w:proofErr w:type="spellEnd"/>
          </w:p>
        </w:tc>
        <w:tc>
          <w:tcPr>
            <w:tcW w:w="1031"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SWGF</w:t>
            </w:r>
          </w:p>
        </w:tc>
        <w:tc>
          <w:tcPr>
            <w:tcW w:w="2362" w:type="dxa"/>
          </w:tcPr>
          <w:p w:rsidR="00BF584E" w:rsidRDefault="00443406">
            <w:pPr>
              <w:pBdr>
                <w:top w:val="none" w:sz="0" w:space="0" w:color="000000"/>
                <w:left w:val="none" w:sz="0" w:space="0" w:color="000000"/>
                <w:bottom w:val="none" w:sz="0" w:space="0" w:color="000000"/>
                <w:right w:val="none" w:sz="0" w:space="0" w:color="000000"/>
                <w:between w:val="none" w:sz="0" w:space="0" w:color="000000"/>
              </w:pBdr>
              <w:rPr>
                <w:sz w:val="20"/>
                <w:szCs w:val="20"/>
              </w:rPr>
            </w:pPr>
            <w:r>
              <w:rPr>
                <w:sz w:val="20"/>
                <w:szCs w:val="20"/>
              </w:rPr>
              <w:t>Desarrollo\SWGF\Negocio</w:t>
            </w:r>
          </w:p>
        </w:tc>
      </w:tr>
      <w:tr w:rsidR="00BF584E">
        <w:tc>
          <w:tcPr>
            <w:tcW w:w="13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74"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377"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108"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1031"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c>
          <w:tcPr>
            <w:tcW w:w="2362" w:type="dxa"/>
          </w:tcPr>
          <w:p w:rsidR="00BF584E" w:rsidRDefault="00BF584E">
            <w:pPr>
              <w:pBdr>
                <w:top w:val="none" w:sz="0" w:space="0" w:color="000000"/>
                <w:left w:val="none" w:sz="0" w:space="0" w:color="000000"/>
                <w:bottom w:val="none" w:sz="0" w:space="0" w:color="000000"/>
                <w:right w:val="none" w:sz="0" w:space="0" w:color="000000"/>
                <w:between w:val="none" w:sz="0" w:space="0" w:color="000000"/>
              </w:pBdr>
            </w:pPr>
          </w:p>
        </w:tc>
      </w:tr>
    </w:tbl>
    <w:p w:rsidR="00BF584E" w:rsidRDefault="00BF584E">
      <w:pPr>
        <w:spacing w:after="0"/>
      </w:pPr>
    </w:p>
    <w:p w:rsidR="00BF584E" w:rsidRDefault="00BF584E">
      <w:pPr>
        <w:spacing w:after="0"/>
      </w:pPr>
      <w:bookmarkStart w:id="13" w:name="_17dp8vu" w:colFirst="0" w:colLast="0"/>
      <w:bookmarkEnd w:id="13"/>
    </w:p>
    <w:sectPr w:rsidR="00BF584E">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DC7" w:rsidRDefault="00917DC7">
      <w:pPr>
        <w:spacing w:after="0" w:line="240" w:lineRule="auto"/>
      </w:pPr>
      <w:r>
        <w:separator/>
      </w:r>
    </w:p>
  </w:endnote>
  <w:endnote w:type="continuationSeparator" w:id="0">
    <w:p w:rsidR="00917DC7" w:rsidRDefault="00917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DC7" w:rsidRDefault="00917DC7">
      <w:pPr>
        <w:spacing w:after="0" w:line="240" w:lineRule="auto"/>
      </w:pPr>
      <w:r>
        <w:separator/>
      </w:r>
    </w:p>
  </w:footnote>
  <w:footnote w:type="continuationSeparator" w:id="0">
    <w:p w:rsidR="00917DC7" w:rsidRDefault="00917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84E" w:rsidRDefault="0044340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3" w15:restartNumberingAfterBreak="0">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 w15:restartNumberingAfterBreak="0">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 w15:restartNumberingAfterBreak="0">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15:restartNumberingAfterBreak="0">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9" w15:restartNumberingAfterBreak="0">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6"/>
  </w:num>
  <w:num w:numId="2">
    <w:abstractNumId w:val="3"/>
  </w:num>
  <w:num w:numId="3">
    <w:abstractNumId w:val="8"/>
  </w:num>
  <w:num w:numId="4">
    <w:abstractNumId w:val="0"/>
  </w:num>
  <w:num w:numId="5">
    <w:abstractNumId w:val="5"/>
  </w:num>
  <w:num w:numId="6">
    <w:abstractNumId w:val="9"/>
  </w:num>
  <w:num w:numId="7">
    <w:abstractNumId w:val="2"/>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127526"/>
    <w:rsid w:val="0013065B"/>
    <w:rsid w:val="001531EB"/>
    <w:rsid w:val="001930B1"/>
    <w:rsid w:val="001A1B88"/>
    <w:rsid w:val="001C349C"/>
    <w:rsid w:val="001D06A2"/>
    <w:rsid w:val="001F32D8"/>
    <w:rsid w:val="00214DBF"/>
    <w:rsid w:val="002B3406"/>
    <w:rsid w:val="002D7AE8"/>
    <w:rsid w:val="0033487A"/>
    <w:rsid w:val="003B0BC0"/>
    <w:rsid w:val="00400EDA"/>
    <w:rsid w:val="00443406"/>
    <w:rsid w:val="00484D78"/>
    <w:rsid w:val="004C7214"/>
    <w:rsid w:val="0068454F"/>
    <w:rsid w:val="006F76B9"/>
    <w:rsid w:val="00704977"/>
    <w:rsid w:val="0071128E"/>
    <w:rsid w:val="007208DE"/>
    <w:rsid w:val="007F0D57"/>
    <w:rsid w:val="007F52DB"/>
    <w:rsid w:val="00804A56"/>
    <w:rsid w:val="00850D2E"/>
    <w:rsid w:val="008755FC"/>
    <w:rsid w:val="008868E7"/>
    <w:rsid w:val="00917DC7"/>
    <w:rsid w:val="009833C5"/>
    <w:rsid w:val="00B032E7"/>
    <w:rsid w:val="00BF584E"/>
    <w:rsid w:val="00C00BB5"/>
    <w:rsid w:val="00C0444E"/>
    <w:rsid w:val="00C23A95"/>
    <w:rsid w:val="00CD4F55"/>
    <w:rsid w:val="00D24B89"/>
    <w:rsid w:val="00D70EC8"/>
    <w:rsid w:val="00D943D4"/>
    <w:rsid w:val="00DE404D"/>
    <w:rsid w:val="00E04122"/>
    <w:rsid w:val="00E87058"/>
    <w:rsid w:val="00F11C92"/>
    <w:rsid w:val="00F527F7"/>
    <w:rsid w:val="00F85C70"/>
    <w:rsid w:val="00FA28F6"/>
    <w:rsid w:val="00FB0979"/>
    <w:rsid w:val="00FB2F88"/>
    <w:rsid w:val="00FC358D"/>
    <w:rsid w:val="00FD27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8FA3"/>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32D8"/>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0BB14AC1-DDF7-4D74-A293-51AEFBEF174E}" type="presOf" srcId="{6BC4DBFF-7F67-4F87-AB87-0156377A260E}" destId="{A8EAF0EC-6DE5-49C5-9A6D-87BE8C5BBFB2}" srcOrd="0" destOrd="0" presId="urn:microsoft.com/office/officeart/2005/8/layout/cycle6"/>
    <dgm:cxn modelId="{D5060B95-D77E-409F-BC76-572082ABC9FE}" type="presOf" srcId="{22D1A62B-7246-4033-BBF4-0D21B2C56219}" destId="{4859BBBA-DD93-42AD-B769-AA41180BEAE3}"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B49FD55C-3BF9-4498-9CCE-B0C897CAD26E}" type="presOf" srcId="{D7A5E389-5642-4E22-A056-386859FBA6FA}" destId="{A2CB7B83-17F2-4776-9171-A8DCFD8C6FA7}"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70AB141F-6D21-4933-8F2F-B633E3C8839A}" type="presOf" srcId="{E4C52E9C-6058-4073-8613-993D42215219}" destId="{E5147628-1E72-41EA-BFB1-9D33A8EC2296}"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56B95800-577C-4738-B37E-D6F129153A41}" type="presOf" srcId="{2FF4CA0C-DEE7-4396-890B-871109093FF5}" destId="{E18BC60C-759F-45DC-9B52-FCB2A7D5E40F}"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0AA53D16-64AC-4037-A9BE-307C5D0CF0D5}" type="presOf" srcId="{655B0831-5394-443B-A2F0-215FED9715B9}" destId="{7B3A2D7B-7915-4ABD-A560-14421BDDDD07}" srcOrd="0" destOrd="0" presId="urn:microsoft.com/office/officeart/2005/8/layout/cycle6"/>
    <dgm:cxn modelId="{B48C1036-53B4-4DA8-848E-651D7ABE312D}" type="presOf" srcId="{4D073C2A-DB86-40A7-AAB8-B9FB6DEA626C}" destId="{07C06211-4D09-4E58-B9DE-75B6B9E60B83}"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9D055E4E-A5AA-405C-A836-AE4E66F1FC1A}" type="presOf" srcId="{34F3150B-986B-44F0-9FE6-5F8E9A960569}" destId="{7FBB3373-8647-4046-B647-BF607252A9C9}" srcOrd="0" destOrd="0" presId="urn:microsoft.com/office/officeart/2005/8/layout/cycle6"/>
    <dgm:cxn modelId="{C66FD1B3-CE1D-4A20-AD0E-CBA37545343C}" type="presOf" srcId="{19283D3A-D6F6-4EEC-9E55-65E4D3880DAC}" destId="{3DE529F3-0185-4A58-881D-BBD240F0AF6F}" srcOrd="0" destOrd="0" presId="urn:microsoft.com/office/officeart/2005/8/layout/cycle6"/>
    <dgm:cxn modelId="{EFBC4EE3-DF7A-419E-A21D-4CFCB0DCE27F}" type="presOf" srcId="{821ACE20-9015-4942-A6CB-C8F9D3A8FCDE}" destId="{10A10C27-1E1A-4595-8759-ACCB7668FBF0}" srcOrd="0" destOrd="0" presId="urn:microsoft.com/office/officeart/2005/8/layout/cycle6"/>
    <dgm:cxn modelId="{091912A4-CB0B-402A-9FD2-B3296A135F6B}" type="presOf" srcId="{AF57AB0F-620C-4A84-B8F5-33AC8CE5DB67}" destId="{03EBF460-F6A9-46CE-901F-784473E9E363}" srcOrd="0" destOrd="0" presId="urn:microsoft.com/office/officeart/2005/8/layout/cycle6"/>
    <dgm:cxn modelId="{105180C6-7A27-4605-8549-7ACAD87CD467}" type="presOf" srcId="{95589FE9-8095-46B0-87A3-07EE1B867E68}" destId="{B768D061-5E1C-4191-8C48-989525927E27}" srcOrd="0" destOrd="0" presId="urn:microsoft.com/office/officeart/2005/8/layout/cycle6"/>
    <dgm:cxn modelId="{C41F853C-316C-40A4-B2CA-740B76F23945}" type="presOf" srcId="{EC660084-CCA8-4E7D-8794-2C76BD94CC1F}" destId="{0B30A663-8AED-4E5D-B54E-2D24D94F77F1}" srcOrd="0" destOrd="0" presId="urn:microsoft.com/office/officeart/2005/8/layout/cycle6"/>
    <dgm:cxn modelId="{CABD5826-F856-4863-A183-6FBBAAD19DB9}" type="presOf" srcId="{C899A806-74E6-4789-9C54-BDFFDCE30E7D}" destId="{CA412084-EC76-48BE-BA16-F861FE456202}" srcOrd="0" destOrd="0" presId="urn:microsoft.com/office/officeart/2005/8/layout/cycle6"/>
    <dgm:cxn modelId="{02AC3085-BF91-4168-9099-32FA03E447CC}" type="presOf" srcId="{0A49F21C-1F30-4A6C-BD71-412E3B458C9B}" destId="{BFAD0C6B-D914-4A97-9654-7CA25868941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99D6FEA1-158A-4A13-84AA-D0FF8216A7A3}" type="presParOf" srcId="{3DE529F3-0185-4A58-881D-BBD240F0AF6F}" destId="{07C06211-4D09-4E58-B9DE-75B6B9E60B83}" srcOrd="0" destOrd="0" presId="urn:microsoft.com/office/officeart/2005/8/layout/cycle6"/>
    <dgm:cxn modelId="{3D2D75D7-33A5-4176-B540-E5A9F73D41C0}" type="presParOf" srcId="{3DE529F3-0185-4A58-881D-BBD240F0AF6F}" destId="{8F792B99-AECC-4585-8D54-9F141DD2BE4F}" srcOrd="1" destOrd="0" presId="urn:microsoft.com/office/officeart/2005/8/layout/cycle6"/>
    <dgm:cxn modelId="{88DB8C06-F459-4A0F-AC06-2BA71338B957}" type="presParOf" srcId="{3DE529F3-0185-4A58-881D-BBD240F0AF6F}" destId="{A8EAF0EC-6DE5-49C5-9A6D-87BE8C5BBFB2}" srcOrd="2" destOrd="0" presId="urn:microsoft.com/office/officeart/2005/8/layout/cycle6"/>
    <dgm:cxn modelId="{8C953878-D2E2-4934-BDBD-C3B8FC1548C0}" type="presParOf" srcId="{3DE529F3-0185-4A58-881D-BBD240F0AF6F}" destId="{B768D061-5E1C-4191-8C48-989525927E27}" srcOrd="3" destOrd="0" presId="urn:microsoft.com/office/officeart/2005/8/layout/cycle6"/>
    <dgm:cxn modelId="{0C9BAECF-4DA0-4B5C-AE2F-8BF992BFA49C}" type="presParOf" srcId="{3DE529F3-0185-4A58-881D-BBD240F0AF6F}" destId="{19CBBF49-A264-4128-811A-F0C147A5BDD2}" srcOrd="4" destOrd="0" presId="urn:microsoft.com/office/officeart/2005/8/layout/cycle6"/>
    <dgm:cxn modelId="{9A62BCF4-D991-43CA-AF89-EA7D7DF2EB5B}" type="presParOf" srcId="{3DE529F3-0185-4A58-881D-BBD240F0AF6F}" destId="{E18BC60C-759F-45DC-9B52-FCB2A7D5E40F}" srcOrd="5" destOrd="0" presId="urn:microsoft.com/office/officeart/2005/8/layout/cycle6"/>
    <dgm:cxn modelId="{72D0FE04-3D31-48C7-A40F-7B34B3A05AE3}" type="presParOf" srcId="{3DE529F3-0185-4A58-881D-BBD240F0AF6F}" destId="{4859BBBA-DD93-42AD-B769-AA41180BEAE3}" srcOrd="6" destOrd="0" presId="urn:microsoft.com/office/officeart/2005/8/layout/cycle6"/>
    <dgm:cxn modelId="{94A28237-8A30-473F-A7BB-2505DA3759D3}" type="presParOf" srcId="{3DE529F3-0185-4A58-881D-BBD240F0AF6F}" destId="{D7496651-58CA-4E82-A6C2-B71ED44675FC}" srcOrd="7" destOrd="0" presId="urn:microsoft.com/office/officeart/2005/8/layout/cycle6"/>
    <dgm:cxn modelId="{715D474A-CF89-4435-84D1-A8A4DBF3EDD6}" type="presParOf" srcId="{3DE529F3-0185-4A58-881D-BBD240F0AF6F}" destId="{03EBF460-F6A9-46CE-901F-784473E9E363}" srcOrd="8" destOrd="0" presId="urn:microsoft.com/office/officeart/2005/8/layout/cycle6"/>
    <dgm:cxn modelId="{98970D38-FB0B-467A-8CF9-22329D5D476F}" type="presParOf" srcId="{3DE529F3-0185-4A58-881D-BBD240F0AF6F}" destId="{0B30A663-8AED-4E5D-B54E-2D24D94F77F1}" srcOrd="9" destOrd="0" presId="urn:microsoft.com/office/officeart/2005/8/layout/cycle6"/>
    <dgm:cxn modelId="{C67C0676-88D2-4356-90C1-8843F59F0BBE}" type="presParOf" srcId="{3DE529F3-0185-4A58-881D-BBD240F0AF6F}" destId="{9F324F02-CE89-4563-A3B4-C1EEEBCC2300}" srcOrd="10" destOrd="0" presId="urn:microsoft.com/office/officeart/2005/8/layout/cycle6"/>
    <dgm:cxn modelId="{46DB6F5D-2A2E-4DAC-ABB6-596C5C0E4F3F}" type="presParOf" srcId="{3DE529F3-0185-4A58-881D-BBD240F0AF6F}" destId="{E5147628-1E72-41EA-BFB1-9D33A8EC2296}" srcOrd="11" destOrd="0" presId="urn:microsoft.com/office/officeart/2005/8/layout/cycle6"/>
    <dgm:cxn modelId="{25BDE3B3-142B-4D35-89DB-574BF6AF4403}" type="presParOf" srcId="{3DE529F3-0185-4A58-881D-BBD240F0AF6F}" destId="{CA412084-EC76-48BE-BA16-F861FE456202}" srcOrd="12" destOrd="0" presId="urn:microsoft.com/office/officeart/2005/8/layout/cycle6"/>
    <dgm:cxn modelId="{24BEF3D7-57B5-49F5-A828-03B35896D762}" type="presParOf" srcId="{3DE529F3-0185-4A58-881D-BBD240F0AF6F}" destId="{2FA70DB7-450D-4E2A-91C3-8D1DD4086BCE}" srcOrd="13" destOrd="0" presId="urn:microsoft.com/office/officeart/2005/8/layout/cycle6"/>
    <dgm:cxn modelId="{8840A53E-10C3-48DB-989E-3083907C7034}" type="presParOf" srcId="{3DE529F3-0185-4A58-881D-BBD240F0AF6F}" destId="{10A10C27-1E1A-4595-8759-ACCB7668FBF0}" srcOrd="14" destOrd="0" presId="urn:microsoft.com/office/officeart/2005/8/layout/cycle6"/>
    <dgm:cxn modelId="{8C59F5C5-5512-4A2E-87E0-AED4EB484BC5}" type="presParOf" srcId="{3DE529F3-0185-4A58-881D-BBD240F0AF6F}" destId="{7FBB3373-8647-4046-B647-BF607252A9C9}" srcOrd="15" destOrd="0" presId="urn:microsoft.com/office/officeart/2005/8/layout/cycle6"/>
    <dgm:cxn modelId="{694614D0-F52B-4105-BF6B-2D6D40FB2CF7}" type="presParOf" srcId="{3DE529F3-0185-4A58-881D-BBD240F0AF6F}" destId="{321B77DB-719A-4679-91F6-7BBEA58CA941}" srcOrd="16" destOrd="0" presId="urn:microsoft.com/office/officeart/2005/8/layout/cycle6"/>
    <dgm:cxn modelId="{E47AA0AA-357A-49E3-92A8-0D8DD009334A}" type="presParOf" srcId="{3DE529F3-0185-4A58-881D-BBD240F0AF6F}" destId="{A2CB7B83-17F2-4776-9171-A8DCFD8C6FA7}" srcOrd="17" destOrd="0" presId="urn:microsoft.com/office/officeart/2005/8/layout/cycle6"/>
    <dgm:cxn modelId="{CAF27CB6-3C65-42B7-BDFE-0F8FF3BE1190}" type="presParOf" srcId="{3DE529F3-0185-4A58-881D-BBD240F0AF6F}" destId="{7B3A2D7B-7915-4ABD-A560-14421BDDDD07}" srcOrd="18" destOrd="0" presId="urn:microsoft.com/office/officeart/2005/8/layout/cycle6"/>
    <dgm:cxn modelId="{92968406-0099-462F-8263-0EFFDCBC617B}" type="presParOf" srcId="{3DE529F3-0185-4A58-881D-BBD240F0AF6F}" destId="{A932BD97-221B-4836-93D6-47296F49965A}" srcOrd="19" destOrd="0" presId="urn:microsoft.com/office/officeart/2005/8/layout/cycle6"/>
    <dgm:cxn modelId="{FE97CEDA-3D0F-42C7-87E1-12EBA733E783}"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2146</Words>
  <Characters>11803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34</cp:revision>
  <dcterms:created xsi:type="dcterms:W3CDTF">2017-10-01T04:36:00Z</dcterms:created>
  <dcterms:modified xsi:type="dcterms:W3CDTF">2017-10-06T04:46:00Z</dcterms:modified>
</cp:coreProperties>
</file>