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fob9te">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znysh7">
            <w:r w:rsidDel="00000000" w:rsidR="00000000" w:rsidRPr="00000000">
              <w:rPr>
                <w:rtl w:val="0"/>
              </w:rPr>
              <w:t xml:space="preserve">Aplicabilidad</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60" w:line="240" w:lineRule="auto"/>
            <w:ind w:left="360" w:firstLine="0"/>
            <w:contextualSpacing w:val="0"/>
            <w:rPr/>
          </w:pPr>
          <w:hyperlink w:anchor="_2et92p0">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ind w:left="360" w:hanging="360"/>
        <w:contextualSpacing w:val="0"/>
        <w:rPr>
          <w:b w:val="1"/>
          <w:color w:val="000000"/>
        </w:rPr>
      </w:pPr>
      <w:bookmarkStart w:colFirst="0" w:colLast="0" w:name="_30j0zll"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Estos cambios también generan costos para la Organización, de modo que es necesario poder estimarlos y controlarlos.</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0"/>
        <w:rPr>
          <w:b w:val="1"/>
          <w:color w:val="000000"/>
        </w:rPr>
      </w:pPr>
      <w:bookmarkStart w:colFirst="0" w:colLast="0" w:name="_1fob9te" w:id="1"/>
      <w:bookmarkEnd w:id="1"/>
      <w:r w:rsidDel="00000000" w:rsidR="00000000" w:rsidRPr="00000000">
        <w:rPr>
          <w:b w:val="1"/>
          <w:color w:val="000000"/>
          <w:rtl w:val="0"/>
        </w:rPr>
        <w:t xml:space="preserve">Propósito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8"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 la Gestión de la Configuración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la Configuración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la Configuración.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 de la Configuración.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Auditorías y Revisiones de la Configuración.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8"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Release.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0"/>
        <w:rPr>
          <w:b w:val="1"/>
          <w:color w:val="000000"/>
        </w:rPr>
      </w:pPr>
      <w:bookmarkStart w:colFirst="0" w:colLast="0" w:name="_3znysh7" w:id="2"/>
      <w:bookmarkEnd w:id="2"/>
      <w:r w:rsidDel="00000000" w:rsidR="00000000" w:rsidRPr="00000000">
        <w:rPr>
          <w:b w:val="1"/>
          <w:color w:val="000000"/>
          <w:rtl w:val="0"/>
        </w:rPr>
        <w:t xml:space="preserve">Aplicabilidad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El presente Plan de Gestión de la Configuración aplica para todos aquellos proyectos de Desarrollo de Software que son aprobados por la Gerencia con la finalidad de garantizar el control sobre los cambios que puedan existir en ellos.</w:t>
      </w:r>
    </w:p>
    <w:p w:rsidR="00000000" w:rsidDel="00000000" w:rsidP="00000000" w:rsidRDefault="00000000" w:rsidRPr="00000000">
      <w:pPr>
        <w:pStyle w:val="Heading2"/>
        <w:numPr>
          <w:ilvl w:val="1"/>
          <w:numId w:val="7"/>
        </w:numPr>
        <w:ind w:left="792" w:hanging="432"/>
        <w:contextualSpacing w:val="0"/>
        <w:rPr>
          <w:b w:val="1"/>
          <w:color w:val="000000"/>
        </w:rPr>
      </w:pPr>
      <w:bookmarkStart w:colFirst="0" w:colLast="0" w:name="_2et92p0" w:id="3"/>
      <w:bookmarkEnd w:id="3"/>
      <w:r w:rsidDel="00000000" w:rsidR="00000000" w:rsidRPr="00000000">
        <w:rPr>
          <w:b w:val="1"/>
          <w:color w:val="000000"/>
          <w:rtl w:val="0"/>
        </w:rPr>
        <w:t xml:space="preserve">Alcance</w:t>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elección de los elementos de configuración se realizará en base a cada entregable por proyecto, siendo ésta responsabilidad del jefe del proyecto asignado, así como del resto de los integrantes del equipo de cada proyecto.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deben incluir en el control de configuración la mayor cantidad de productos posibles por proyecto, tomando en cuenta siempre las restricciones dadas por la duración de cada uno y por la capacidad organizativa del equipo que lo constituye.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Rápida respuesta a los cambios por parte del equipo responsable, tratando que este procedimiento sea lo menos burocrático posible.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b w:val="1"/>
          <w:sz w:val="20"/>
          <w:szCs w:val="20"/>
        </w:rPr>
      </w:pPr>
      <w:r w:rsidDel="00000000" w:rsidR="00000000" w:rsidRPr="00000000">
        <w:rPr>
          <w:b w:val="1"/>
          <w:sz w:val="26"/>
          <w:szCs w:val="26"/>
          <w:rtl w:val="0"/>
        </w:rPr>
        <w:t xml:space="preserve">2. Gestión de la SCM</w:t>
      </w: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t xml:space="preserve">A continuación se describen las responsabilidades y los responsables para la realización de las actividades de gestión de configuración dentro del proyecto.</w:t>
      </w:r>
      <w:r w:rsidDel="00000000" w:rsidR="00000000" w:rsidRPr="00000000">
        <w:rPr>
          <w:rtl w:val="0"/>
        </w:rPr>
      </w:r>
    </w:p>
    <w:p w:rsidR="00000000" w:rsidDel="00000000" w:rsidP="00000000" w:rsidRDefault="00000000" w:rsidRPr="00000000">
      <w:pPr>
        <w:keepLines w:val="1"/>
        <w:widowControl w:val="0"/>
        <w:numPr>
          <w:ilvl w:val="1"/>
          <w:numId w:val="1"/>
        </w:numPr>
        <w:spacing w:after="120" w:line="312" w:lineRule="auto"/>
        <w:ind w:left="851" w:hanging="360"/>
        <w:jc w:val="both"/>
        <w:rPr>
          <w:rFonts w:ascii="Arial" w:cs="Arial" w:eastAsia="Arial" w:hAnsi="Arial"/>
          <w:b w:val="1"/>
          <w:sz w:val="20"/>
          <w:szCs w:val="20"/>
        </w:rPr>
      </w:pPr>
      <w:r w:rsidDel="00000000" w:rsidR="00000000" w:rsidRPr="00000000">
        <w:rPr>
          <w:b w:val="1"/>
          <w:sz w:val="26"/>
          <w:szCs w:val="26"/>
          <w:rtl w:val="0"/>
        </w:rPr>
        <w:t xml:space="preserve">Organización</w:t>
      </w: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numPr>
          <w:ilvl w:val="1"/>
          <w:numId w:val="1"/>
        </w:numPr>
        <w:spacing w:after="120" w:line="312" w:lineRule="auto"/>
        <w:ind w:left="851"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y Responsabilidades</w:t>
      </w:r>
    </w:p>
    <w:p w:rsidR="00000000" w:rsidDel="00000000" w:rsidP="00000000" w:rsidRDefault="00000000" w:rsidRPr="00000000">
      <w:pPr>
        <w:keepLines w:val="1"/>
        <w:widowControl w:val="0"/>
        <w:numPr>
          <w:ilvl w:val="0"/>
          <w:numId w:val="6"/>
        </w:numPr>
        <w:spacing w:after="12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5"/>
        </w:numPr>
        <w:spacing w:after="120" w:line="312" w:lineRule="auto"/>
        <w:ind w:left="1440" w:hanging="360"/>
        <w:contextualSpacing w:val="1"/>
        <w:jc w:val="both"/>
        <w:rPr>
          <w:b w:val="1"/>
          <w:u w:val="none"/>
        </w:rPr>
      </w:pPr>
      <w:r w:rsidDel="00000000" w:rsidR="00000000" w:rsidRPr="00000000">
        <w:rPr>
          <w:b w:val="1"/>
          <w:rtl w:val="0"/>
        </w:rPr>
        <w:t xml:space="preserve"> </w:t>
      </w:r>
      <w:r w:rsidDel="00000000" w:rsidR="00000000" w:rsidRPr="00000000">
        <w:rPr>
          <w:b w:val="1"/>
          <w:rtl w:val="0"/>
        </w:rPr>
        <w:t xml:space="preserve">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4"/>
        </w:numPr>
        <w:spacing w:after="120" w:line="312" w:lineRule="auto"/>
        <w:ind w:left="1276" w:hanging="217.99999999999997"/>
        <w:jc w:val="both"/>
        <w:rPr>
          <w:rFonts w:ascii="Calibri" w:cs="Calibri" w:eastAsia="Calibri" w:hAnsi="Calibri"/>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r w:rsidDel="00000000" w:rsidR="00000000" w:rsidRPr="00000000">
        <w:rPr>
          <w:rtl w:val="0"/>
        </w:rPr>
      </w:r>
    </w:p>
    <w:p w:rsidR="00000000" w:rsidDel="00000000" w:rsidP="00000000" w:rsidRDefault="00000000" w:rsidRPr="00000000">
      <w:pPr>
        <w:keepLines w:val="1"/>
        <w:widowControl w:val="0"/>
        <w:numPr>
          <w:ilvl w:val="0"/>
          <w:numId w:val="4"/>
        </w:numPr>
        <w:spacing w:after="120" w:line="312" w:lineRule="auto"/>
        <w:ind w:left="1276" w:hanging="217.99999999999997"/>
        <w:jc w:val="both"/>
        <w:rPr>
          <w:rFonts w:ascii="Calibri" w:cs="Calibri" w:eastAsia="Calibri" w:hAnsi="Calibri"/>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4">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