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FC" w:rsidRDefault="001F34FC" w:rsidP="001F34FC"/>
    <w:p w:rsidR="001F34FC" w:rsidRDefault="001F34FC" w:rsidP="001F34FC"/>
    <w:p w:rsidR="001F34FC" w:rsidRDefault="001F34FC" w:rsidP="001F34FC"/>
    <w:p w:rsidR="001F34FC" w:rsidRDefault="001F34FC" w:rsidP="001F34FC"/>
    <w:p w:rsidR="001F34FC" w:rsidRDefault="001F34FC" w:rsidP="001F34FC"/>
    <w:p w:rsidR="001F34FC" w:rsidRDefault="001F34FC" w:rsidP="001F34FC"/>
    <w:p w:rsidR="001F34FC" w:rsidRDefault="001F34FC" w:rsidP="001F34FC"/>
    <w:p w:rsidR="001F34FC" w:rsidRDefault="001F34FC" w:rsidP="001F34FC"/>
    <w:p w:rsidR="001F34FC" w:rsidRDefault="001F34FC" w:rsidP="001F34FC"/>
    <w:p w:rsidR="001F34FC" w:rsidRDefault="001F34FC" w:rsidP="001F34FC"/>
    <w:p w:rsidR="001F34FC" w:rsidRDefault="001F34FC" w:rsidP="001F34FC"/>
    <w:p w:rsidR="001F34FC" w:rsidRPr="001F34FC" w:rsidRDefault="001F34FC" w:rsidP="001F34FC">
      <w:pPr>
        <w:rPr>
          <w:sz w:val="40"/>
          <w:szCs w:val="40"/>
        </w:rPr>
      </w:pPr>
    </w:p>
    <w:p w:rsidR="001F34FC" w:rsidRPr="001F34FC" w:rsidRDefault="001F34FC" w:rsidP="001F34FC">
      <w:pPr>
        <w:jc w:val="right"/>
        <w:rPr>
          <w:sz w:val="40"/>
          <w:szCs w:val="40"/>
        </w:rPr>
      </w:pPr>
      <w:r w:rsidRPr="001F34FC">
        <w:rPr>
          <w:sz w:val="40"/>
          <w:szCs w:val="40"/>
        </w:rPr>
        <w:t>PLAN DE GESTIÓN DE LA CONFIGURACIÓN</w:t>
      </w:r>
    </w:p>
    <w:p w:rsidR="001F34FC" w:rsidRDefault="001F34FC" w:rsidP="001F34FC">
      <w:pPr>
        <w:jc w:val="right"/>
        <w:rPr>
          <w:sz w:val="40"/>
          <w:szCs w:val="40"/>
        </w:rPr>
      </w:pPr>
      <w:r w:rsidRPr="001F34FC">
        <w:rPr>
          <w:sz w:val="40"/>
          <w:szCs w:val="40"/>
        </w:rPr>
        <w:t>SOFTWARE ENTERPRISE SERVICES</w:t>
      </w:r>
    </w:p>
    <w:p w:rsidR="001F34FC" w:rsidRDefault="001F34F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PE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29085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34FC" w:rsidRDefault="001F34FC">
          <w:pPr>
            <w:pStyle w:val="TtuloTDC"/>
          </w:pPr>
          <w:r>
            <w:rPr>
              <w:lang w:val="es-ES"/>
            </w:rPr>
            <w:t>Contenido</w:t>
          </w:r>
        </w:p>
        <w:p w:rsidR="00F26499" w:rsidRDefault="001F34F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26499" w:rsidRPr="00333A8D">
            <w:rPr>
              <w:rStyle w:val="Hipervnculo"/>
              <w:noProof/>
            </w:rPr>
            <w:fldChar w:fldCharType="begin"/>
          </w:r>
          <w:r w:rsidR="00F26499" w:rsidRPr="00333A8D">
            <w:rPr>
              <w:rStyle w:val="Hipervnculo"/>
              <w:noProof/>
            </w:rPr>
            <w:instrText xml:space="preserve"> </w:instrText>
          </w:r>
          <w:r w:rsidR="00F26499">
            <w:rPr>
              <w:noProof/>
            </w:rPr>
            <w:instrText>HYPERLINK \l "_Toc492650838"</w:instrText>
          </w:r>
          <w:r w:rsidR="00F26499" w:rsidRPr="00333A8D">
            <w:rPr>
              <w:rStyle w:val="Hipervnculo"/>
              <w:noProof/>
            </w:rPr>
            <w:instrText xml:space="preserve"> </w:instrText>
          </w:r>
          <w:r w:rsidR="00F26499" w:rsidRPr="00333A8D">
            <w:rPr>
              <w:rStyle w:val="Hipervnculo"/>
              <w:noProof/>
            </w:rPr>
          </w:r>
          <w:r w:rsidR="00F26499" w:rsidRPr="00333A8D">
            <w:rPr>
              <w:rStyle w:val="Hipervnculo"/>
              <w:noProof/>
            </w:rPr>
            <w:fldChar w:fldCharType="separate"/>
          </w:r>
          <w:r w:rsidR="00F26499" w:rsidRPr="00333A8D">
            <w:rPr>
              <w:rStyle w:val="Hipervnculo"/>
              <w:b/>
              <w:noProof/>
            </w:rPr>
            <w:t>1.</w:t>
          </w:r>
          <w:r w:rsidR="00F26499">
            <w:rPr>
              <w:rFonts w:eastAsiaTheme="minorEastAsia"/>
              <w:noProof/>
              <w:lang w:eastAsia="es-PE"/>
            </w:rPr>
            <w:tab/>
          </w:r>
          <w:r w:rsidR="00F26499" w:rsidRPr="00333A8D">
            <w:rPr>
              <w:rStyle w:val="Hipervnculo"/>
              <w:b/>
              <w:noProof/>
            </w:rPr>
            <w:t>INTRODUCCIÓN</w:t>
          </w:r>
          <w:r w:rsidR="00F26499">
            <w:rPr>
              <w:noProof/>
              <w:webHidden/>
            </w:rPr>
            <w:tab/>
          </w:r>
          <w:r w:rsidR="00F26499">
            <w:rPr>
              <w:noProof/>
              <w:webHidden/>
            </w:rPr>
            <w:fldChar w:fldCharType="begin"/>
          </w:r>
          <w:r w:rsidR="00F26499">
            <w:rPr>
              <w:noProof/>
              <w:webHidden/>
            </w:rPr>
            <w:instrText xml:space="preserve"> PAGEREF _Toc492650838 \h </w:instrText>
          </w:r>
          <w:r w:rsidR="00F26499">
            <w:rPr>
              <w:noProof/>
              <w:webHidden/>
            </w:rPr>
          </w:r>
          <w:r w:rsidR="00F26499">
            <w:rPr>
              <w:noProof/>
              <w:webHidden/>
            </w:rPr>
            <w:fldChar w:fldCharType="separate"/>
          </w:r>
          <w:r w:rsidR="00F26499">
            <w:rPr>
              <w:noProof/>
              <w:webHidden/>
            </w:rPr>
            <w:t>3</w:t>
          </w:r>
          <w:r w:rsidR="00F26499">
            <w:rPr>
              <w:noProof/>
              <w:webHidden/>
            </w:rPr>
            <w:fldChar w:fldCharType="end"/>
          </w:r>
          <w:r w:rsidR="00F26499" w:rsidRPr="00333A8D">
            <w:rPr>
              <w:rStyle w:val="Hipervnculo"/>
              <w:noProof/>
            </w:rPr>
            <w:fldChar w:fldCharType="end"/>
          </w:r>
        </w:p>
        <w:p w:rsidR="00F26499" w:rsidRDefault="00F264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2650839" w:history="1">
            <w:r w:rsidRPr="00333A8D">
              <w:rPr>
                <w:rStyle w:val="Hipervnculo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333A8D">
              <w:rPr>
                <w:rStyle w:val="Hipervnculo"/>
                <w:b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499" w:rsidRDefault="00F264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2650840" w:history="1">
            <w:r w:rsidRPr="00333A8D">
              <w:rPr>
                <w:rStyle w:val="Hipervnculo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333A8D">
              <w:rPr>
                <w:rStyle w:val="Hipervnculo"/>
                <w:b/>
                <w:noProof/>
              </w:rPr>
              <w:t>Aplicabilidad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499" w:rsidRDefault="00F2649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2650841" w:history="1">
            <w:r w:rsidRPr="00333A8D">
              <w:rPr>
                <w:rStyle w:val="Hipervnculo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333A8D">
              <w:rPr>
                <w:rStyle w:val="Hipervnculo"/>
                <w:b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FC" w:rsidRDefault="001F34FC">
          <w:r>
            <w:rPr>
              <w:b/>
              <w:bCs/>
              <w:lang w:val="es-ES"/>
            </w:rPr>
            <w:fldChar w:fldCharType="end"/>
          </w:r>
        </w:p>
      </w:sdtContent>
    </w:sdt>
    <w:p w:rsidR="001F34FC" w:rsidRDefault="001F34FC" w:rsidP="001F34FC"/>
    <w:p w:rsidR="001F34FC" w:rsidRDefault="001F34FC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880840" w:rsidRDefault="005A146E" w:rsidP="00EB2A0E">
      <w:pPr>
        <w:pStyle w:val="Ttulo1"/>
        <w:numPr>
          <w:ilvl w:val="0"/>
          <w:numId w:val="2"/>
        </w:numPr>
        <w:rPr>
          <w:b/>
          <w:color w:val="auto"/>
        </w:rPr>
      </w:pPr>
      <w:bookmarkStart w:id="1" w:name="_Toc492650838"/>
      <w:r w:rsidRPr="00EB2A0E">
        <w:rPr>
          <w:b/>
          <w:color w:val="auto"/>
        </w:rPr>
        <w:lastRenderedPageBreak/>
        <w:t>INTRODUCCIÓN</w:t>
      </w:r>
      <w:bookmarkEnd w:id="1"/>
    </w:p>
    <w:p w:rsidR="00EB2A0E" w:rsidRDefault="00EB2A0E" w:rsidP="00EB2A0E">
      <w:pPr>
        <w:ind w:left="360"/>
        <w:jc w:val="both"/>
      </w:pPr>
    </w:p>
    <w:p w:rsidR="009E6163" w:rsidRDefault="0003625F" w:rsidP="00EB2A0E">
      <w:pPr>
        <w:ind w:left="360"/>
        <w:jc w:val="both"/>
      </w:pPr>
      <w:r>
        <w:t xml:space="preserve">En Software Enterprise </w:t>
      </w:r>
      <w:proofErr w:type="spellStart"/>
      <w:r>
        <w:t>Service</w:t>
      </w:r>
      <w:proofErr w:type="spellEnd"/>
      <w:r>
        <w:t xml:space="preserve"> la necesidad de cambio es algo constante </w:t>
      </w:r>
      <w:r w:rsidR="009E6163">
        <w:t xml:space="preserve">para </w:t>
      </w:r>
      <w:r>
        <w:t>nuestra Organización, para sus Clientes y sus Proveedores también. Est</w:t>
      </w:r>
      <w:r w:rsidR="009E6163">
        <w:t>o se debe a que nuestros planes, actividades y objetivos sufren cambios producto de una influencia interna o externa.</w:t>
      </w:r>
    </w:p>
    <w:p w:rsidR="002D372A" w:rsidRDefault="009E6163" w:rsidP="00EB2A0E">
      <w:pPr>
        <w:ind w:left="360"/>
        <w:jc w:val="both"/>
      </w:pPr>
      <w:r>
        <w:t xml:space="preserve">Siendo Software Enterprise </w:t>
      </w:r>
      <w:proofErr w:type="spellStart"/>
      <w:r>
        <w:t>Service</w:t>
      </w:r>
      <w:proofErr w:type="spellEnd"/>
      <w:r>
        <w:t xml:space="preserve"> una empresa que busca ser líder en el mercado del desarrollo de soluciones informáticas, los cambios antes mencionados pueden impactar en las diferentes fases del ciclo de vida del Sof</w:t>
      </w:r>
      <w:r w:rsidR="002D372A">
        <w:t>t</w:t>
      </w:r>
      <w:r>
        <w:t>ware</w:t>
      </w:r>
      <w:r w:rsidR="002D372A">
        <w:t>. Los cambios nunca deben ser ignorados ya que estos permiten que el Software se adecue a nuevos ambientes, obtenga nuevos módulos o mejoras en los ya existentes y modificaciones producto de cambios en el negocio o en los procesos.</w:t>
      </w:r>
    </w:p>
    <w:p w:rsidR="002D372A" w:rsidRDefault="002D372A" w:rsidP="00EB2A0E">
      <w:pPr>
        <w:ind w:left="360"/>
        <w:jc w:val="both"/>
      </w:pPr>
      <w:r>
        <w:t>Estos cambios también generan costos para la Organización, de modo que es necesario poder estimarlos y controlarlos.</w:t>
      </w:r>
    </w:p>
    <w:p w:rsidR="003811EB" w:rsidRDefault="002D372A" w:rsidP="003811EB">
      <w:pPr>
        <w:ind w:left="360"/>
        <w:jc w:val="both"/>
      </w:pPr>
      <w:r>
        <w:t>Por tal motivo, Sof</w:t>
      </w:r>
      <w:r w:rsidR="00901012">
        <w:t>t</w:t>
      </w:r>
      <w:r>
        <w:t xml:space="preserve">ware Enterprise </w:t>
      </w:r>
      <w:proofErr w:type="spellStart"/>
      <w:r>
        <w:t>Service</w:t>
      </w:r>
      <w:proofErr w:type="spellEnd"/>
      <w:r>
        <w:t xml:space="preserve"> ha optado por aplicar la Gestión de la Configuración de Software (GCS o SCM por sus siglas en inglés)</w:t>
      </w:r>
      <w:r w:rsidR="00901012">
        <w:t xml:space="preserve"> con el objetivo de mantener la integridad de los artefactos generados por los diversos proyectos que la organización posee, garantizar que no se realicen cambios sin control y asegurar que los integrantes de los proyectos dispongan de versiones actualizadas y aprobadas. Los artefactos no solo abarcan ejecutables finales, sino a todos los productos generados por los Proyectos.</w:t>
      </w:r>
    </w:p>
    <w:p w:rsidR="003811EB" w:rsidRDefault="003811EB" w:rsidP="003811EB">
      <w:pPr>
        <w:jc w:val="both"/>
      </w:pPr>
    </w:p>
    <w:p w:rsidR="00EB2A0E" w:rsidRDefault="00EB2A0E" w:rsidP="00EB2A0E">
      <w:pPr>
        <w:pStyle w:val="Ttulo2"/>
        <w:numPr>
          <w:ilvl w:val="1"/>
          <w:numId w:val="2"/>
        </w:numPr>
        <w:rPr>
          <w:b/>
          <w:color w:val="auto"/>
        </w:rPr>
      </w:pPr>
      <w:bookmarkStart w:id="2" w:name="_Toc492650839"/>
      <w:r w:rsidRPr="00EB2A0E">
        <w:rPr>
          <w:b/>
          <w:color w:val="auto"/>
        </w:rPr>
        <w:t>Propósito</w:t>
      </w:r>
      <w:bookmarkEnd w:id="2"/>
    </w:p>
    <w:p w:rsidR="00EB2A0E" w:rsidRPr="00EB2A0E" w:rsidRDefault="00EB2A0E" w:rsidP="00EB2A0E"/>
    <w:p w:rsidR="00EB2A0E" w:rsidRDefault="00EB2A0E" w:rsidP="00EB2A0E">
      <w:pPr>
        <w:ind w:left="708"/>
        <w:jc w:val="both"/>
      </w:pPr>
      <w:r>
        <w:t>El Plan de Gestión de la Configuración busca definir qué se va a configurar, cómo se va a configurar, quién lo va a configurar y cómo se manejarán los cambios que se realizarán. Para eso, el documento de</w:t>
      </w:r>
      <w:r w:rsidR="003811EB">
        <w:t>scribirá las actividades de la Gestión de Configuración del S</w:t>
      </w:r>
      <w:r>
        <w:t xml:space="preserve">oftware que deben ser llevadas a cabo durante el proceso de desarrollo </w:t>
      </w:r>
      <w:r w:rsidR="003811EB">
        <w:t>de los Proyectos de Software de la Organización</w:t>
      </w:r>
      <w:r>
        <w:t xml:space="preserve">. </w:t>
      </w:r>
      <w:r w:rsidR="003811EB">
        <w:t xml:space="preserve">Las actividades de la </w:t>
      </w:r>
      <w:r>
        <w:t xml:space="preserve">Gestión de la Configuración del Software </w:t>
      </w:r>
      <w:r w:rsidR="003811EB">
        <w:t>que se llevarán a cabo y que garantizan la calidad de esta</w:t>
      </w:r>
      <w:r>
        <w:t>, son las siguientes:</w:t>
      </w:r>
    </w:p>
    <w:p w:rsidR="00EB2A0E" w:rsidRDefault="00EB2A0E" w:rsidP="003811EB">
      <w:pPr>
        <w:pStyle w:val="Prrafodelista"/>
        <w:numPr>
          <w:ilvl w:val="0"/>
          <w:numId w:val="6"/>
        </w:numPr>
        <w:jc w:val="both"/>
      </w:pPr>
      <w:r>
        <w:t>Planificación de la Gestión de la Configuración</w:t>
      </w:r>
    </w:p>
    <w:p w:rsidR="00EB2A0E" w:rsidRDefault="00EB2A0E" w:rsidP="003811EB">
      <w:pPr>
        <w:pStyle w:val="Prrafodelista"/>
        <w:numPr>
          <w:ilvl w:val="0"/>
          <w:numId w:val="6"/>
        </w:numPr>
        <w:jc w:val="both"/>
      </w:pPr>
      <w:r>
        <w:t>Identificación de la Configuración</w:t>
      </w:r>
    </w:p>
    <w:p w:rsidR="00EB2A0E" w:rsidRDefault="00EB2A0E" w:rsidP="003811EB">
      <w:pPr>
        <w:pStyle w:val="Prrafodelista"/>
        <w:numPr>
          <w:ilvl w:val="0"/>
          <w:numId w:val="6"/>
        </w:numPr>
        <w:jc w:val="both"/>
      </w:pPr>
      <w:r>
        <w:t>Control de la Configuración.</w:t>
      </w:r>
    </w:p>
    <w:p w:rsidR="00EB2A0E" w:rsidRDefault="00EB2A0E" w:rsidP="003811EB">
      <w:pPr>
        <w:pStyle w:val="Prrafodelista"/>
        <w:numPr>
          <w:ilvl w:val="0"/>
          <w:numId w:val="6"/>
        </w:numPr>
        <w:jc w:val="both"/>
      </w:pPr>
      <w:r>
        <w:t>Estado de la Configuración.</w:t>
      </w:r>
    </w:p>
    <w:p w:rsidR="00EB2A0E" w:rsidRDefault="00EB2A0E" w:rsidP="003811EB">
      <w:pPr>
        <w:pStyle w:val="Prrafodelista"/>
        <w:numPr>
          <w:ilvl w:val="0"/>
          <w:numId w:val="6"/>
        </w:numPr>
        <w:jc w:val="both"/>
      </w:pPr>
      <w:r>
        <w:t>Auditorías y Revisiones de la Configuración.</w:t>
      </w:r>
    </w:p>
    <w:p w:rsidR="00EB2A0E" w:rsidRDefault="00EB2A0E" w:rsidP="003811EB">
      <w:pPr>
        <w:pStyle w:val="Prrafodelista"/>
        <w:numPr>
          <w:ilvl w:val="0"/>
          <w:numId w:val="6"/>
        </w:numPr>
        <w:jc w:val="both"/>
      </w:pPr>
      <w:r>
        <w:t xml:space="preserve">Gestión de </w:t>
      </w:r>
      <w:proofErr w:type="spellStart"/>
      <w:r>
        <w:t>Release</w:t>
      </w:r>
      <w:proofErr w:type="spellEnd"/>
      <w:r>
        <w:t>.</w:t>
      </w:r>
    </w:p>
    <w:p w:rsidR="003811EB" w:rsidRDefault="003811EB" w:rsidP="003811EB">
      <w:pPr>
        <w:jc w:val="both"/>
      </w:pPr>
    </w:p>
    <w:p w:rsidR="001F34FC" w:rsidRPr="00EB2A0E" w:rsidRDefault="005A146E" w:rsidP="001F34FC">
      <w:pPr>
        <w:pStyle w:val="Ttulo2"/>
        <w:numPr>
          <w:ilvl w:val="1"/>
          <w:numId w:val="2"/>
        </w:numPr>
        <w:rPr>
          <w:b/>
          <w:color w:val="auto"/>
        </w:rPr>
      </w:pPr>
      <w:bookmarkStart w:id="3" w:name="_Toc492650840"/>
      <w:r w:rsidRPr="00EB2A0E">
        <w:rPr>
          <w:b/>
          <w:color w:val="auto"/>
        </w:rPr>
        <w:t>Aplicabilidad</w:t>
      </w:r>
      <w:bookmarkEnd w:id="3"/>
    </w:p>
    <w:p w:rsidR="005A146E" w:rsidRDefault="005A146E" w:rsidP="00EB2A0E">
      <w:pPr>
        <w:ind w:left="360"/>
      </w:pPr>
    </w:p>
    <w:p w:rsidR="00EB2A0E" w:rsidRDefault="00EB2A0E" w:rsidP="00EB2A0E">
      <w:pPr>
        <w:ind w:left="360"/>
      </w:pPr>
      <w:r>
        <w:t>El presente Plan de Gestión de la Configuración aplica para todos aquellos proyectos de Desarrollo de Software que son aprobados por la Gerencia</w:t>
      </w:r>
      <w:r w:rsidR="003811EB">
        <w:t xml:space="preserve"> con la finalidad de garantizar el control sobre los cambios que puedan existir en ellos</w:t>
      </w:r>
      <w:r>
        <w:t>.</w:t>
      </w:r>
    </w:p>
    <w:p w:rsidR="001F34FC" w:rsidRPr="00EB2A0E" w:rsidRDefault="005A146E" w:rsidP="001F34FC">
      <w:pPr>
        <w:pStyle w:val="Ttulo2"/>
        <w:numPr>
          <w:ilvl w:val="1"/>
          <w:numId w:val="2"/>
        </w:numPr>
        <w:rPr>
          <w:b/>
          <w:color w:val="auto"/>
        </w:rPr>
      </w:pPr>
      <w:bookmarkStart w:id="4" w:name="_Toc492650841"/>
      <w:r w:rsidRPr="00EB2A0E">
        <w:rPr>
          <w:b/>
          <w:color w:val="auto"/>
        </w:rPr>
        <w:lastRenderedPageBreak/>
        <w:t>Alcance</w:t>
      </w:r>
      <w:bookmarkEnd w:id="4"/>
    </w:p>
    <w:p w:rsidR="00EB2A0E" w:rsidRDefault="00EB2A0E" w:rsidP="00EB2A0E">
      <w:pPr>
        <w:ind w:left="708"/>
      </w:pPr>
    </w:p>
    <w:p w:rsidR="00EB2A0E" w:rsidRDefault="00EB2A0E" w:rsidP="00EB2A0E">
      <w:pPr>
        <w:pStyle w:val="Prrafodelista"/>
        <w:numPr>
          <w:ilvl w:val="0"/>
          <w:numId w:val="5"/>
        </w:numPr>
        <w:jc w:val="both"/>
      </w:pPr>
      <w:r w:rsidRPr="00EB2A0E">
        <w:t>La elección de los elementos de configuración se realizará en base a cada entregable por proyecto, siendo ésta responsabilidad del jefe del proyecto asignado, así como del resto de los integrantes del equipo de cada proyecto.</w:t>
      </w:r>
    </w:p>
    <w:p w:rsidR="00EB2A0E" w:rsidRPr="00EB2A0E" w:rsidRDefault="00EB2A0E" w:rsidP="00EB2A0E">
      <w:pPr>
        <w:pStyle w:val="Prrafodelista"/>
        <w:ind w:left="1080"/>
        <w:jc w:val="both"/>
      </w:pPr>
    </w:p>
    <w:p w:rsidR="00EB2A0E" w:rsidRDefault="00EB2A0E" w:rsidP="003811EB">
      <w:pPr>
        <w:pStyle w:val="Prrafodelista"/>
        <w:numPr>
          <w:ilvl w:val="0"/>
          <w:numId w:val="5"/>
        </w:numPr>
        <w:jc w:val="both"/>
      </w:pPr>
      <w:r w:rsidRPr="00EB2A0E">
        <w:t>Se deben incluir en el control de configuración la mayor cantidad de productos posibles por proyecto, tomando en cuenta siempre las restricciones dadas por la duración de cada uno y por la capacidad organizativa del equipo que lo constituye.</w:t>
      </w:r>
    </w:p>
    <w:p w:rsidR="00EB2A0E" w:rsidRPr="00EB2A0E" w:rsidRDefault="00EB2A0E" w:rsidP="00EB2A0E">
      <w:pPr>
        <w:pStyle w:val="Prrafodelista"/>
        <w:ind w:left="1080"/>
        <w:jc w:val="both"/>
      </w:pPr>
    </w:p>
    <w:p w:rsidR="007334D7" w:rsidRPr="0014082D" w:rsidRDefault="00EB2A0E" w:rsidP="0014082D">
      <w:pPr>
        <w:pStyle w:val="Prrafodelista"/>
        <w:numPr>
          <w:ilvl w:val="0"/>
          <w:numId w:val="5"/>
        </w:numPr>
        <w:jc w:val="both"/>
      </w:pPr>
      <w:r w:rsidRPr="00EB2A0E">
        <w:t>Rápida respuesta a los cambios por parte del equipo responsable, tratando que este procedimiento sea lo menos burocrático posible.</w:t>
      </w:r>
      <w:r>
        <w:t xml:space="preserve"> </w:t>
      </w:r>
    </w:p>
    <w:sectPr w:rsidR="007334D7" w:rsidRPr="00140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09BA"/>
    <w:multiLevelType w:val="hybridMultilevel"/>
    <w:tmpl w:val="9F1EEE8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2A1DB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40567"/>
    <w:multiLevelType w:val="hybridMultilevel"/>
    <w:tmpl w:val="43B6FF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507AA"/>
    <w:multiLevelType w:val="hybridMultilevel"/>
    <w:tmpl w:val="2696BCA0"/>
    <w:lvl w:ilvl="0" w:tplc="7012BCF0">
      <w:numFmt w:val="bullet"/>
      <w:lvlText w:val="·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AC14739"/>
    <w:multiLevelType w:val="hybridMultilevel"/>
    <w:tmpl w:val="47608E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CB65EBB"/>
    <w:multiLevelType w:val="hybridMultilevel"/>
    <w:tmpl w:val="C76AC0D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4A"/>
    <w:rsid w:val="0003625F"/>
    <w:rsid w:val="00114F56"/>
    <w:rsid w:val="0014082D"/>
    <w:rsid w:val="0015604A"/>
    <w:rsid w:val="001F34FC"/>
    <w:rsid w:val="002D372A"/>
    <w:rsid w:val="002E1A40"/>
    <w:rsid w:val="003811EB"/>
    <w:rsid w:val="005A146E"/>
    <w:rsid w:val="006A4C7A"/>
    <w:rsid w:val="006C61DF"/>
    <w:rsid w:val="007334D7"/>
    <w:rsid w:val="00880840"/>
    <w:rsid w:val="00901012"/>
    <w:rsid w:val="00965D23"/>
    <w:rsid w:val="009E6163"/>
    <w:rsid w:val="00CC687C"/>
    <w:rsid w:val="00E222B9"/>
    <w:rsid w:val="00EB2A0E"/>
    <w:rsid w:val="00F2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67FD"/>
  <w15:chartTrackingRefBased/>
  <w15:docId w15:val="{4256C0CC-5F11-4ADC-A870-B5A3AE9E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3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3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146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3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34FC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1F3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1F34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F34F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F3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DC9FB-B715-4161-B6BB-A5D80D2C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</dc:creator>
  <cp:keywords/>
  <dc:description/>
  <cp:lastModifiedBy>Takeshi Santiago Farro Hinoshita</cp:lastModifiedBy>
  <cp:revision>11</cp:revision>
  <dcterms:created xsi:type="dcterms:W3CDTF">2017-09-08T06:06:00Z</dcterms:created>
  <dcterms:modified xsi:type="dcterms:W3CDTF">2017-09-08T21:18:00Z</dcterms:modified>
</cp:coreProperties>
</file>