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2C6460" w:rsidP="006F651B">
      <w:pPr>
        <w:ind w:firstLine="709"/>
        <w:jc w:val="center"/>
      </w:pPr>
      <w:r>
        <w:t>wersja 3.4.1</w:t>
      </w:r>
    </w:p>
    <w:p w:rsidR="006F651B" w:rsidRPr="00107344" w:rsidRDefault="006F651B" w:rsidP="006F651B">
      <w:pPr>
        <w:ind w:firstLine="709"/>
        <w:jc w:val="center"/>
      </w:pPr>
    </w:p>
    <w:p w:rsidR="006F651B" w:rsidRPr="00107344" w:rsidRDefault="002C6460" w:rsidP="006F651B">
      <w:pPr>
        <w:ind w:firstLine="709"/>
        <w:jc w:val="center"/>
      </w:pPr>
      <w:r>
        <w:t>2016-08-01</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B0468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2C6460">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2C6460">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2C6460">
              <w:rPr>
                <w:noProof/>
                <w:webHidden/>
              </w:rPr>
              <w:t>6</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2C6460">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2C6460">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2C6460">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2C6460">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2C6460">
              <w:rPr>
                <w:noProof/>
                <w:webHidden/>
              </w:rPr>
              <w:t>9</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2C6460">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2C6460">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2C6460">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2C6460">
              <w:rPr>
                <w:noProof/>
                <w:webHidden/>
              </w:rPr>
              <w:t>11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2C6460">
              <w:rPr>
                <w:noProof/>
                <w:webHidden/>
              </w:rPr>
              <w:t>12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2C6460">
              <w:rPr>
                <w:noProof/>
                <w:webHidden/>
              </w:rPr>
              <w:t>13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2C6460">
              <w:rPr>
                <w:noProof/>
                <w:webHidden/>
              </w:rPr>
              <w:t>14</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2C6460">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2C6460">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2C6460">
              <w:rPr>
                <w:noProof/>
                <w:webHidden/>
              </w:rPr>
              <w:t>17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2C6460">
              <w:rPr>
                <w:noProof/>
                <w:webHidden/>
              </w:rPr>
              <w:t>19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2C6460">
              <w:rPr>
                <w:noProof/>
                <w:webHidden/>
              </w:rPr>
              <w:t>20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2C6460">
              <w:rPr>
                <w:noProof/>
                <w:webHidden/>
              </w:rPr>
              <w:t>21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2C6460">
              <w:rPr>
                <w:noProof/>
                <w:webHidden/>
              </w:rPr>
              <w:t>21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2C6460">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2C6460">
              <w:rPr>
                <w:noProof/>
                <w:webHidden/>
              </w:rPr>
              <w:t>23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2C6460">
              <w:rPr>
                <w:noProof/>
                <w:webHidden/>
              </w:rPr>
              <w:t>25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2C6460">
              <w:rPr>
                <w:noProof/>
                <w:webHidden/>
              </w:rPr>
              <w:t>25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2C6460">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2C6460">
              <w:rPr>
                <w:noProof/>
                <w:webHidden/>
              </w:rPr>
              <w:t>28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2C6460">
              <w:rPr>
                <w:noProof/>
                <w:webHidden/>
              </w:rPr>
              <w:t>29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2C6460">
              <w:rPr>
                <w:noProof/>
                <w:webHidden/>
              </w:rPr>
              <w:t>31</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2C6460">
              <w:rPr>
                <w:noProof/>
                <w:webHidden/>
              </w:rPr>
              <w:t>33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2C6460">
              <w:rPr>
                <w:noProof/>
                <w:webHidden/>
              </w:rPr>
              <w:t>33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2C6460">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2C6460">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2C6460">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2C6460">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2C6460">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2C6460">
              <w:rPr>
                <w:noProof/>
                <w:webHidden/>
              </w:rPr>
              <w:t>37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2C6460">
              <w:rPr>
                <w:noProof/>
                <w:webHidden/>
              </w:rPr>
              <w:t>37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2C6460">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2C6460">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2C6460">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2C6460">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2C6460">
              <w:rPr>
                <w:noProof/>
                <w:webHidden/>
              </w:rPr>
              <w:t>40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2C6460">
              <w:rPr>
                <w:noProof/>
                <w:webHidden/>
              </w:rPr>
              <w:t>40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2C6460">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2C6460">
              <w:rPr>
                <w:noProof/>
                <w:webHidden/>
              </w:rPr>
              <w:t>42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2C6460">
              <w:rPr>
                <w:noProof/>
                <w:webHidden/>
              </w:rPr>
              <w:t>42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2C6460">
              <w:rPr>
                <w:noProof/>
                <w:webHidden/>
              </w:rPr>
              <w:t>42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2C6460">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2C6460">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2C6460">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2C6460">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2C6460">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2C6460">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2C6460">
              <w:rPr>
                <w:noProof/>
                <w:webHidden/>
              </w:rPr>
              <w:t>46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2C6460">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2C6460">
              <w:rPr>
                <w:noProof/>
                <w:webHidden/>
              </w:rPr>
              <w:t>48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2C6460">
              <w:rPr>
                <w:noProof/>
                <w:webHidden/>
              </w:rPr>
              <w:t>49</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2C6460">
              <w:rPr>
                <w:noProof/>
                <w:webHidden/>
              </w:rPr>
              <w:t>50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2C6460">
              <w:rPr>
                <w:noProof/>
                <w:webHidden/>
              </w:rPr>
              <w:t>51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2C6460">
              <w:rPr>
                <w:noProof/>
                <w:webHidden/>
              </w:rPr>
              <w:t>51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2C6460">
              <w:rPr>
                <w:noProof/>
                <w:webHidden/>
              </w:rPr>
              <w:t>51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2C6460">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2C6460">
              <w:rPr>
                <w:noProof/>
                <w:webHidden/>
              </w:rPr>
              <w:t>53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2C6460">
              <w:rPr>
                <w:noProof/>
                <w:webHidden/>
              </w:rPr>
              <w:t>53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2C6460">
              <w:rPr>
                <w:noProof/>
                <w:webHidden/>
              </w:rPr>
              <w:t>53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2C6460">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2C6460">
              <w:rPr>
                <w:noProof/>
                <w:webHidden/>
              </w:rPr>
              <w:t>55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2C6460">
              <w:rPr>
                <w:noProof/>
                <w:webHidden/>
              </w:rPr>
              <w:t>55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2C6460">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2C6460">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2C6460">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2C6460">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2C6460">
              <w:rPr>
                <w:noProof/>
                <w:webHidden/>
              </w:rPr>
              <w:t>57</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2C6460">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2C6460">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2C6460">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2C6460">
              <w:rPr>
                <w:noProof/>
                <w:webHidden/>
              </w:rPr>
              <w:t>62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2C6460">
              <w:rPr>
                <w:noProof/>
                <w:webHidden/>
              </w:rPr>
              <w:t>63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2C6460">
              <w:rPr>
                <w:noProof/>
                <w:webHidden/>
              </w:rPr>
              <w:t>63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2C6460">
              <w:rPr>
                <w:noProof/>
                <w:webHidden/>
              </w:rPr>
              <w:t>64</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2C6460">
              <w:rPr>
                <w:noProof/>
                <w:webHidden/>
              </w:rPr>
              <w:t>64</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2C6460">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2C6460">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2C6460">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2C6460">
              <w:rPr>
                <w:noProof/>
                <w:webHidden/>
              </w:rPr>
              <w:t>66</w:t>
            </w:r>
            <w:r>
              <w:rPr>
                <w:noProof/>
                <w:webHidden/>
              </w:rPr>
              <w:fldChar w:fldCharType="end"/>
            </w:r>
          </w:hyperlink>
        </w:p>
        <w:p w:rsidR="00D13765" w:rsidRDefault="00B0468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Default="00674DC4" w:rsidP="00674DC4">
      <w:pPr>
        <w:pStyle w:val="Akapitzlist"/>
        <w:numPr>
          <w:ilvl w:val="0"/>
          <w:numId w:val="7"/>
        </w:numPr>
      </w:pPr>
      <w:r>
        <w:t>White Wolf: Wampir Maskarada</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Akapitzlist"/>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B0468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Nagwek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0468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Robur,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Default="008757FF" w:rsidP="008E4787">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8E4787" w:rsidRPr="007575CE" w:rsidRDefault="008E4787" w:rsidP="00883C45">
      <w:pPr>
        <w:jc w:val="left"/>
        <w:rPr>
          <w:rStyle w:val="Wyrnieniedelikatne"/>
          <w:iCs w:val="0"/>
          <w:color w:val="000000"/>
          <w:lang w:val="en-GB"/>
        </w:rPr>
      </w:pPr>
    </w:p>
    <w:p w:rsidR="007575CE" w:rsidRDefault="008757FF" w:rsidP="00883C45">
      <w:pPr>
        <w:jc w:val="left"/>
        <w:rPr>
          <w:rStyle w:val="Wyrnieniedelikatne"/>
          <w:lang w:val="en-GB"/>
        </w:rPr>
      </w:pPr>
      <w:r>
        <w:rPr>
          <w:rStyle w:val="Wyrnieniedelikatne"/>
          <w:lang w:val="en-GB"/>
        </w:rPr>
        <w:lastRenderedPageBreak/>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837FC6" w:rsidRDefault="008757FF" w:rsidP="007575CE">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FB4717">
        <w:rPr>
          <w: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2F20A1" w:rsidRDefault="0006167C" w:rsidP="0006167C">
      <w:pPr>
        <w:rPr>
          <w:lang w:val="en-GB"/>
        </w:rPr>
      </w:pPr>
      <w:r w:rsidRPr="002F20A1">
        <w:rPr>
          <w:b/>
          <w:lang w:val="en-GB"/>
        </w:rPr>
        <w:t>Typowe zalety / wady</w:t>
      </w:r>
      <w:r w:rsidRPr="002F20A1">
        <w:rPr>
          <w:lang w:val="en-GB"/>
        </w:rPr>
        <w:t>:</w:t>
      </w:r>
    </w:p>
    <w:p w:rsidR="0006167C" w:rsidRPr="00792FFE" w:rsidRDefault="0006167C" w:rsidP="000E7592">
      <w:pPr>
        <w:rPr>
          <w:lang w:val="en-GB"/>
        </w:rPr>
      </w:pP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lastRenderedPageBreak/>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xml:space="preserve">- Pytałam czy coś ci się nie podoba! Odpowiadaj jak do ciebie mówię grubasie! – Kupiec nie był w stanie wydusić z siebie słowa oczy prawie </w:t>
      </w:r>
      <w:r w:rsidRPr="00107344">
        <w:lastRenderedPageBreak/>
        <w:t>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lastRenderedPageBreak/>
        <w:t>[6]</w:t>
      </w:r>
      <w:r w:rsidR="00291BFA">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35606F" w:rsidRPr="008E5CE2" w:rsidRDefault="00291BFA" w:rsidP="00BE641B">
      <w:pPr>
        <w:jc w:val="left"/>
        <w:rPr>
          <w:rStyle w:val="Wyrnieniedelikatne"/>
          <w:lang w:val="en-GB"/>
        </w:rPr>
      </w:pPr>
      <w:r>
        <w:rPr>
          <w:rStyle w:val="Wyrnieniedelikatne"/>
          <w:lang w:val="en-GB"/>
        </w:rPr>
        <w:lastRenderedPageBreak/>
        <w:t>[20]</w:t>
      </w:r>
      <w:r>
        <w:rPr>
          <w:rStyle w:val="Wyrnieniedelikatne"/>
          <w:lang w:val="en-GB"/>
        </w:rPr>
        <w:tab/>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lastRenderedPageBreak/>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lastRenderedPageBreak/>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lastRenderedPageBreak/>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 xml:space="preserve">wygadania i wyostrzonych zmysłów. Posiadają słabość do płci przeciwnej, muzyki i wina oraz często nadmierną pewność siebie. Reagują </w:t>
      </w:r>
      <w:r w:rsidR="0035606F" w:rsidRPr="00107344">
        <w:lastRenderedPageBreak/>
        <w:t>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lastRenderedPageBreak/>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375" w:rsidRDefault="00506375" w:rsidP="00335BA7">
      <w:r>
        <w:separator/>
      </w:r>
    </w:p>
  </w:endnote>
  <w:endnote w:type="continuationSeparator" w:id="1">
    <w:p w:rsidR="00506375" w:rsidRDefault="00506375"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264ECC" w:rsidRDefault="00B04683">
        <w:pPr>
          <w:pStyle w:val="Stopka"/>
          <w:jc w:val="center"/>
        </w:pPr>
        <w:fldSimple w:instr=" PAGE   \* MERGEFORMAT ">
          <w:r w:rsidR="008757FF">
            <w:rPr>
              <w:noProof/>
            </w:rPr>
            <w:t>19</w:t>
          </w:r>
        </w:fldSimple>
      </w:p>
    </w:sdtContent>
  </w:sdt>
  <w:p w:rsidR="00264ECC" w:rsidRDefault="00264EC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375" w:rsidRDefault="00506375" w:rsidP="00335BA7">
      <w:r>
        <w:separator/>
      </w:r>
    </w:p>
  </w:footnote>
  <w:footnote w:type="continuationSeparator" w:id="1">
    <w:p w:rsidR="00506375" w:rsidRDefault="00506375"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487B"/>
    <w:rsid w:val="004D5627"/>
    <w:rsid w:val="004D58E6"/>
    <w:rsid w:val="004D594A"/>
    <w:rsid w:val="004D79A3"/>
    <w:rsid w:val="004E3720"/>
    <w:rsid w:val="004E44E3"/>
    <w:rsid w:val="004E5692"/>
    <w:rsid w:val="004E6B8F"/>
    <w:rsid w:val="004F0ED5"/>
    <w:rsid w:val="004F42CF"/>
    <w:rsid w:val="00501C12"/>
    <w:rsid w:val="00504BD7"/>
    <w:rsid w:val="00506375"/>
    <w:rsid w:val="005122B7"/>
    <w:rsid w:val="005138BB"/>
    <w:rsid w:val="00515529"/>
    <w:rsid w:val="00516F2E"/>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90573"/>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765"/>
    <w:rsid w:val="00D151FE"/>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26C2"/>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10708</TotalTime>
  <Pages>67</Pages>
  <Words>15849</Words>
  <Characters>90343</Characters>
  <Application>Microsoft Office Word</Application>
  <DocSecurity>0</DocSecurity>
  <Lines>752</Lines>
  <Paragraphs>211</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577</cp:revision>
  <cp:lastPrinted>2016-07-31T21:54:00Z</cp:lastPrinted>
  <dcterms:created xsi:type="dcterms:W3CDTF">2016-07-23T19:05:00Z</dcterms:created>
  <dcterms:modified xsi:type="dcterms:W3CDTF">2016-08-04T21:12:00Z</dcterms:modified>
</cp:coreProperties>
</file>