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ftba76l3o7jm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Perspectivas de Aplicação de Melhorias em 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m0jslo6f6jl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Campos de Radiância Neurais (NeRFs)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João Gabriel de Araújo Vasconcelos¹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Estudante do Curso de Engenharia da Computação - CIn - UFPE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jgav@cin.ufpe.br </w:t>
      </w:r>
    </w:p>
    <w:p w:rsidR="00000000" w:rsidDel="00000000" w:rsidP="00000000" w:rsidRDefault="00000000" w:rsidRPr="00000000" w14:paraId="00000008">
      <w:pPr>
        <w:ind w:left="0" w:right="526.0629921259857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992.1259842519685" w:right="526.0629921259857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Abstract.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 projeto busca investigar, levantar e implementar melhorias no cenário de Campos de Radiância Neurais em seu estado da arte, provendo aperfeiçoamento em quesito de velocidade, qualidade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ou escalabilidade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de reconstrução de cenas reais em um ambiente 3D virtual. O objetivo do projeto de pesquisa é apresentar uma reconstrução modularizada do modelo/algoritmo que performe de modo otimizado. </w:t>
      </w:r>
    </w:p>
    <w:p w:rsidR="00000000" w:rsidDel="00000000" w:rsidP="00000000" w:rsidRDefault="00000000" w:rsidRPr="00000000" w14:paraId="0000000A">
      <w:pPr>
        <w:ind w:left="992.1259842519685" w:right="526.0629921259857" w:firstLine="0"/>
        <w:jc w:val="both"/>
        <w:rPr>
          <w:rFonts w:ascii="Times New Roman" w:cs="Times New Roman" w:eastAsia="Times New Roman" w:hAnsi="Times New Roman"/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992.1259842519685" w:right="526.0629921259857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Resumo.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Esse projeto é uma pesquisa empírica e baseada no estado da arte, cujo resultado esperado é uma versão aperfeiçoada do modelo e uma análise descritiva dos casos de uso e impeditivos do modelo.</w:t>
      </w:r>
    </w:p>
    <w:p w:rsidR="00000000" w:rsidDel="00000000" w:rsidP="00000000" w:rsidRDefault="00000000" w:rsidRPr="00000000" w14:paraId="0000000C">
      <w:pPr>
        <w:ind w:left="992.1259842519685" w:right="526.0629921259857" w:firstLine="0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Diante da necessidade de representar uma cena arbitrariamente selecionada através de uma função volumétrica contínua, a técnica dos NeRFs [1] (Neural Radiance Fields/Campos de Radiância Neural)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Figuras 1 e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surgiu como uma alternativa, fornecendo uma síntese de visualização que seria capaz de satisfazer tal requerimento através do uso de perceptron multicamadas (MLP – multilayer perceptron) que provém uma densidade volumétrica e um raio visualmente dependente emitido em diferentes coordenadas. </w:t>
      </w:r>
    </w:p>
    <w:p w:rsidR="00000000" w:rsidDel="00000000" w:rsidP="00000000" w:rsidRDefault="00000000" w:rsidRPr="00000000" w14:paraId="00000010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Embora tal metodologia seja capaz de produzir renderizações fotorrealistas de pontos de vista invisíveis quando se tem acesso a uma quantidade considerável de visualizações de entrada, seu desempenho tende a despencar abruptamente quando esta quantidade é reduzida. Há também muitas vezes a dificuldade em capturar de forma acurada e assertiva superfícies aparentemente “polidas” ou transparentes. </w:t>
      </w:r>
    </w:p>
    <w:p w:rsidR="00000000" w:rsidDel="00000000" w:rsidP="00000000" w:rsidRDefault="00000000" w:rsidRPr="00000000" w14:paraId="00000011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partir de tais dificuldades, um conjunto de variadas técnicas referentes à captura e ao processamento dos dados capturados tende a ser imposto sobre esta metodologia, tal como uma alteração na parametrização dos raios arbitrariamente escolhidos para uma representação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radiâncias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refletivas e a inserção de uma coleção de propriedades espacialmente variáveis referentes à cena em questão (como ocorre com os Ref-NeRFs [2] - Structured View-Dependent Appearance for Neural Radiance Fields).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519363" cy="9384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Figura 1 - Função volumétrica representativa da cena em NeRFs.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1816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Figura 2 - Visão geral em etapas (a-d) da representação de uma cena por campos de radiância neural e o procedimento de renderização diferenciável. 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Materiais e Métodos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modo a alavancar/selecionar qual das técnicas de reconstrução de cenas 3D com o uso de NeRFs seria utilizada para estudo, foram analisadas uma gama de “parâmetros” referentes a resultados capturados no estado da arte por cada um dos modelos disponíveis. Os parâmetros levantados foram: velocidade de reconstrução das cenas, performance proporcional à quantidade e qualidade das imagens fornecidas ao algoritmo, qualidade da reconstrução final da cena 3D, escalabilidade da aplicação, dependências relativas ao ambiente e ao sistema operacional, presença documentação sólida e relevância no meio científico, adição de inferências sobre o modelo base de NeRFs que poderiam ser relevantes à reconstrução. 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Em concordância com pontos levantados anteriormente, o modelo variante escolhido foi 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TensoRF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[3] (Tensorial Radiance Fields/Campos de Radiância Tensorial)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Figuras 3 e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. Dentre seus benefícios sobre NeRFs básicos, destacam-se: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0"/>
        <w:gridCol w:w="6450"/>
        <w:tblGridChange w:id="0">
          <w:tblGrid>
            <w:gridCol w:w="2550"/>
            <w:gridCol w:w="64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Eficiência Computacional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técnica faz uso de tensores em sua implementação, o que permite acelerar o processo de treinamento e inferência.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Redução da Quantidade de Amostras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modelo consegue obter resultados satisfatórios com uma quantidade reduzida de amostras para treinamento, o que provê um processamento mais flexível.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Flexibilidade da Arquitetura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Permite a combinação de diferentes técnicas e módulos de aprendizagem profunda.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Tratamento de Superfícies Complexas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técnica se mostra mais capaz em lidar com superfícies complexas, como objetos transparentes ou reflexivos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Captura de Detalhes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modelo captura detalhes finos em renderização 3D, possibilitando uma imagem mais detalhada e fidedigna.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Regularização Integrada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técnica incorpora técnicas de regularização durante a etapa de treinamento, provendo um modelo mais assertivo.</w:t>
            </w:r>
          </w:p>
        </w:tc>
      </w:tr>
    </w:tbl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795713" cy="2011349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011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3 - Visão geral da representação de uma cena por campos de radiância tensorial através de vetores e matrizes (por eixo).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1968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Figura 4 - Processo de reconstrução e renderização de uma cena por campos de radiância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tensorial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Resultados e Discussão</w:t>
      </w:r>
    </w:p>
    <w:p w:rsidR="00000000" w:rsidDel="00000000" w:rsidP="00000000" w:rsidRDefault="00000000" w:rsidRPr="00000000" w14:paraId="0000003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Dentre as melhorias desenvolvidas relativas à Campos de Radiância, as que foram mais acentuadas e levadas à diante no desenvolvimento de um produto otimizado referem-se à portabilidade da aplicação. Apesar do desenvolvimento de melhorias técnicas de baixo nível, como a manipulação da arquitetura do modelo ou a refatoração do código em linguagem Python para programação em CUDA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GPU Programming &amp; Parallel Computing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), terem sido iniciadas e serem promissoras, havia um grande potencial/risco de o estado da arte superar as modificações feitas em virtude do tempo que seria alocado para a tarefa.</w:t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virtude disso, o foco de implementação de aprimoramentos se baseou em 2 pontos principais:</w:t>
      </w:r>
    </w:p>
    <w:p w:rsidR="00000000" w:rsidDel="00000000" w:rsidP="00000000" w:rsidRDefault="00000000" w:rsidRPr="00000000" w14:paraId="0000003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Refatoração para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LibTorch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[4]: Com a refatoração base de Python para C++ (com auxílio de LibTorch - Uma biblioteca</w:t>
        <w:tab/>
        <w:t xml:space="preserve">oficial de PyTorch para C++), a velocidade de execução (em virtude de facilitar a computação paralela) e eficiência computacional do modelo são melhoradas. Além disso, em quesito de portabilidade, o LibTorch suporta diversas plataformas, incluindo sistemas móveis e embarcados, o que é um desafio em Python.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Modularização/Conteinerização: Tendo em vista que uma das dificuldades quanto ao teste de técnicas de Campos de Radiância é relativa à consistência de ambiente, a conteinerização com Docker [5] (uma plataforma de contêineres que permite implementar aplicativos de forma isolada) garante a execução de forma consistente e independente do ambiente do host. Dessa forma, o desenvolvimento e gerenciamento/análise da ferramenta se tornou mais simplificado, portátil e escalável. Além disso, também foi desenvolvido um executável “.exe” que, ainda mais simples que os contêineres, terminou por prover uma visualização facilitada do funcionamento do modelo (direcionado à usuários que apenas queriam testar a ferramenta), mesmo que essa abordagem não lidasse com as diferenças de dependências, requerendo modificações.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testes das aplicações geradas foram realizados tanto com base em dados populares sintéticos/reais fornecidos nos próprios repositórios pelos desenvolvedores das variadas técnicas, quanto em imagens coletadas durante a própria pesquisa que, seguindo uma gama de orientações sobre a captura no estado da arte, puderam fornecer um entendimento valioso quanto aos resultados obtidos. 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Neste trabalho, foram propostas tanto a investigação de diferentes modelos de Campos de Radiância Neurais, alavancando potenciais modificações que impactam na optimização de determinados parâmetros do seu estado da arte, quanto a entrega de uma técnica modularizada, com uma documentação descritiva adequada e um banco de dados inédito (seguindo as orientações recomendadas pelos desenvolvedores e pesquisadores da área).</w:t>
      </w:r>
    </w:p>
    <w:p w:rsidR="00000000" w:rsidDel="00000000" w:rsidP="00000000" w:rsidRDefault="00000000" w:rsidRPr="00000000" w14:paraId="0000003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Como perspectiva de continuação do trabalho, a proposta vigente é referente à implementação de modificações na arquitetura e metodologia da própria rede de uma das técnicas de reconstrução 3D com Campos de Radiância Neurais, o que deve corroborar com os estudos da tecnologia.</w:t>
      </w:r>
    </w:p>
    <w:p w:rsidR="00000000" w:rsidDel="00000000" w:rsidP="00000000" w:rsidRDefault="00000000" w:rsidRPr="00000000" w14:paraId="0000003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Referências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</w:t>
      </w:r>
      <w:r w:rsidDel="00000000" w:rsidR="00000000" w:rsidRPr="00000000">
        <w:rPr>
          <w:sz w:val="21"/>
          <w:szCs w:val="21"/>
          <w:rtl w:val="0"/>
        </w:rPr>
        <w:t xml:space="preserve">MILDENHALL, Ben </w:t>
      </w:r>
      <w:r w:rsidDel="00000000" w:rsidR="00000000" w:rsidRPr="00000000">
        <w:rPr>
          <w:i w:val="1"/>
          <w:sz w:val="21"/>
          <w:szCs w:val="21"/>
          <w:rtl w:val="0"/>
        </w:rPr>
        <w:t xml:space="preserve">et al.</w:t>
      </w:r>
      <w:r w:rsidDel="00000000" w:rsidR="00000000" w:rsidRPr="00000000">
        <w:rPr>
          <w:sz w:val="21"/>
          <w:szCs w:val="21"/>
          <w:rtl w:val="0"/>
        </w:rPr>
        <w:t xml:space="preserve"> NeRF: Representing Scenes as Neural Radiance Fields for View Synthesis. </w:t>
      </w:r>
      <w:r w:rsidDel="00000000" w:rsidR="00000000" w:rsidRPr="00000000">
        <w:rPr>
          <w:i w:val="1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: MILDENHALL, Ben </w:t>
      </w:r>
      <w:r w:rsidDel="00000000" w:rsidR="00000000" w:rsidRPr="00000000">
        <w:rPr>
          <w:i w:val="1"/>
          <w:sz w:val="21"/>
          <w:szCs w:val="21"/>
          <w:rtl w:val="0"/>
        </w:rPr>
        <w:t xml:space="preserve">et al.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Computer Vision – ECCV 2020</w:t>
      </w:r>
      <w:r w:rsidDel="00000000" w:rsidR="00000000" w:rsidRPr="00000000">
        <w:rPr>
          <w:sz w:val="21"/>
          <w:szCs w:val="21"/>
          <w:rtl w:val="0"/>
        </w:rPr>
        <w:t xml:space="preserve">. Cham: Springer International Publishing, 2020. p. 405-421. ISBN 9783030584511. Available from: </w:t>
      </w:r>
      <w:hyperlink r:id="rId10">
        <w:r w:rsidDel="00000000" w:rsidR="00000000" w:rsidRPr="00000000">
          <w:rPr>
            <w:sz w:val="21"/>
            <w:szCs w:val="21"/>
            <w:rtl w:val="0"/>
          </w:rPr>
          <w:t xml:space="preserve">https://doi.org/10.1007/978-3-030-58452-8_24</w:t>
        </w:r>
      </w:hyperlink>
      <w:r w:rsidDel="00000000" w:rsidR="00000000" w:rsidRPr="00000000">
        <w:rPr>
          <w:sz w:val="21"/>
          <w:szCs w:val="21"/>
          <w:rtl w:val="0"/>
        </w:rPr>
        <w:t xml:space="preserve">. Accessed: 18 July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[2] </w:t>
      </w:r>
      <w:r w:rsidDel="00000000" w:rsidR="00000000" w:rsidRPr="00000000">
        <w:rPr>
          <w:sz w:val="21"/>
          <w:szCs w:val="21"/>
          <w:rtl w:val="0"/>
        </w:rPr>
        <w:t xml:space="preserve">VERBIN, Dor </w:t>
      </w:r>
      <w:r w:rsidDel="00000000" w:rsidR="00000000" w:rsidRPr="00000000">
        <w:rPr>
          <w:i w:val="1"/>
          <w:sz w:val="21"/>
          <w:szCs w:val="21"/>
          <w:rtl w:val="0"/>
        </w:rPr>
        <w:t xml:space="preserve">et al.</w:t>
      </w:r>
      <w:r w:rsidDel="00000000" w:rsidR="00000000" w:rsidRPr="00000000">
        <w:rPr>
          <w:sz w:val="21"/>
          <w:szCs w:val="21"/>
          <w:rtl w:val="0"/>
        </w:rPr>
        <w:t xml:space="preserve"> Ref-NeRF: Structured View-Dependent Appearance for Neural Radiance Fields. </w:t>
      </w:r>
      <w:r w:rsidDel="00000000" w:rsidR="00000000" w:rsidRPr="00000000">
        <w:rPr>
          <w:i w:val="1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: 2022 IEEE/CVF CONFERENCE ON COMPUTER VISION AND PATTERN RECOGNITION (CVPR), 2022, New Orleans, LA, USA. </w:t>
      </w:r>
      <w:r w:rsidDel="00000000" w:rsidR="00000000" w:rsidRPr="00000000">
        <w:rPr>
          <w:b w:val="1"/>
          <w:sz w:val="21"/>
          <w:szCs w:val="21"/>
          <w:rtl w:val="0"/>
        </w:rPr>
        <w:t xml:space="preserve">2022 IEEE/CVF Conference on Computer Vision and Pattern Recognition (CVPR)</w:t>
      </w:r>
      <w:r w:rsidDel="00000000" w:rsidR="00000000" w:rsidRPr="00000000">
        <w:rPr>
          <w:sz w:val="21"/>
          <w:szCs w:val="21"/>
          <w:rtl w:val="0"/>
        </w:rPr>
        <w:t xml:space="preserve">. [</w:t>
      </w:r>
      <w:r w:rsidDel="00000000" w:rsidR="00000000" w:rsidRPr="00000000">
        <w:rPr>
          <w:i w:val="1"/>
          <w:sz w:val="21"/>
          <w:szCs w:val="21"/>
          <w:rtl w:val="0"/>
        </w:rPr>
        <w:t xml:space="preserve">S. l.</w:t>
      </w:r>
      <w:r w:rsidDel="00000000" w:rsidR="00000000" w:rsidRPr="00000000">
        <w:rPr>
          <w:sz w:val="21"/>
          <w:szCs w:val="21"/>
          <w:rtl w:val="0"/>
        </w:rPr>
        <w:t xml:space="preserve">]: IEEE, 2022. Available from: </w:t>
      </w:r>
      <w:hyperlink r:id="rId11">
        <w:r w:rsidDel="00000000" w:rsidR="00000000" w:rsidRPr="00000000">
          <w:rPr>
            <w:sz w:val="21"/>
            <w:szCs w:val="21"/>
            <w:rtl w:val="0"/>
          </w:rPr>
          <w:t xml:space="preserve">https://doi.org/10.1109/cvpr52688.2022.00541</w:t>
        </w:r>
      </w:hyperlink>
      <w:r w:rsidDel="00000000" w:rsidR="00000000" w:rsidRPr="00000000">
        <w:rPr>
          <w:sz w:val="21"/>
          <w:szCs w:val="21"/>
          <w:rtl w:val="0"/>
        </w:rPr>
        <w:t xml:space="preserve">. Accessed: 18 July 2023.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[3] </w:t>
      </w:r>
      <w:r w:rsidDel="00000000" w:rsidR="00000000" w:rsidRPr="00000000">
        <w:rPr>
          <w:sz w:val="21"/>
          <w:szCs w:val="21"/>
          <w:rtl w:val="0"/>
        </w:rPr>
        <w:t xml:space="preserve">CHEN, Anpei </w:t>
      </w:r>
      <w:r w:rsidDel="00000000" w:rsidR="00000000" w:rsidRPr="00000000">
        <w:rPr>
          <w:i w:val="1"/>
          <w:sz w:val="21"/>
          <w:szCs w:val="21"/>
          <w:rtl w:val="0"/>
        </w:rPr>
        <w:t xml:space="preserve">et al.</w:t>
      </w:r>
      <w:r w:rsidDel="00000000" w:rsidR="00000000" w:rsidRPr="00000000">
        <w:rPr>
          <w:sz w:val="21"/>
          <w:szCs w:val="21"/>
          <w:rtl w:val="0"/>
        </w:rPr>
        <w:t xml:space="preserve"> TensoRF: Tensorial Radiance Fields. </w:t>
      </w:r>
      <w:r w:rsidDel="00000000" w:rsidR="00000000" w:rsidRPr="00000000">
        <w:rPr>
          <w:i w:val="1"/>
          <w:sz w:val="21"/>
          <w:szCs w:val="21"/>
          <w:rtl w:val="0"/>
        </w:rPr>
        <w:t xml:space="preserve">In</w:t>
      </w:r>
      <w:r w:rsidDel="00000000" w:rsidR="00000000" w:rsidRPr="00000000">
        <w:rPr>
          <w:sz w:val="21"/>
          <w:szCs w:val="21"/>
          <w:rtl w:val="0"/>
        </w:rPr>
        <w:t xml:space="preserve">: CHEN, Anpei </w:t>
      </w:r>
      <w:r w:rsidDel="00000000" w:rsidR="00000000" w:rsidRPr="00000000">
        <w:rPr>
          <w:i w:val="1"/>
          <w:sz w:val="21"/>
          <w:szCs w:val="21"/>
          <w:rtl w:val="0"/>
        </w:rPr>
        <w:t xml:space="preserve">et al.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rtl w:val="0"/>
        </w:rPr>
        <w:t xml:space="preserve">Lecture Notes in Computer Science</w:t>
      </w:r>
      <w:r w:rsidDel="00000000" w:rsidR="00000000" w:rsidRPr="00000000">
        <w:rPr>
          <w:sz w:val="21"/>
          <w:szCs w:val="21"/>
          <w:rtl w:val="0"/>
        </w:rPr>
        <w:t xml:space="preserve">. Cham: Springer Nature Switzerland, 2022. p. 333-350. ISBN 9783031198236. Available from: </w:t>
      </w:r>
      <w:hyperlink r:id="rId12">
        <w:r w:rsidDel="00000000" w:rsidR="00000000" w:rsidRPr="00000000">
          <w:rPr>
            <w:sz w:val="21"/>
            <w:szCs w:val="21"/>
            <w:rtl w:val="0"/>
          </w:rPr>
          <w:t xml:space="preserve">https://doi.org/10.1007/978-3-031-19824-3_20</w:t>
        </w:r>
      </w:hyperlink>
      <w:r w:rsidDel="00000000" w:rsidR="00000000" w:rsidRPr="00000000">
        <w:rPr>
          <w:sz w:val="21"/>
          <w:szCs w:val="21"/>
          <w:rtl w:val="0"/>
        </w:rPr>
        <w:t xml:space="preserve">. Accessed: 18 July 2023.</w:t>
      </w:r>
    </w:p>
    <w:p w:rsidR="00000000" w:rsidDel="00000000" w:rsidP="00000000" w:rsidRDefault="00000000" w:rsidRPr="00000000" w14:paraId="00000044">
      <w:pPr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[4] </w:t>
      </w:r>
      <w:r w:rsidDel="00000000" w:rsidR="00000000" w:rsidRPr="00000000">
        <w:rPr>
          <w:sz w:val="21"/>
          <w:szCs w:val="21"/>
          <w:rtl w:val="0"/>
        </w:rPr>
        <w:t xml:space="preserve">HTTPS://PYTORCH.ORG/CPPDOCS/INSTALLING.HTML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[5] </w:t>
      </w:r>
      <w:r w:rsidDel="00000000" w:rsidR="00000000" w:rsidRPr="00000000">
        <w:rPr>
          <w:sz w:val="21"/>
          <w:szCs w:val="21"/>
          <w:rtl w:val="0"/>
        </w:rPr>
        <w:t xml:space="preserve">HTTPS://WWW.DOCKER.COM/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both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i.org/10.1109/cvpr52688.2022.00541" TargetMode="External"/><Relationship Id="rId10" Type="http://schemas.openxmlformats.org/officeDocument/2006/relationships/hyperlink" Target="https://doi.org/10.1007/978-3-030-58452-8_24" TargetMode="External"/><Relationship Id="rId12" Type="http://schemas.openxmlformats.org/officeDocument/2006/relationships/hyperlink" Target="https://doi.org/10.1007/978-3-031-19824-3_20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