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6"/>
      </w:pPr>
      <w:r>
        <w:t>WeiPipe: Weight Pipeline Parallelism for Communication-Effective Long-Context Large Model Training</w:t>
      </w:r>
    </w:p>
    <w:p>
      <w:pPr>
        <w:pStyle w:val="27"/>
      </w:pPr>
      <w:r>
        <w:rPr>
          <w:rFonts w:hint="eastAsia" w:ascii="楷体_GB2312" w:eastAsia="楷体_GB2312"/>
          <w:lang w:val="en-US" w:eastAsia="zh-CN"/>
        </w:rPr>
        <w:t>Junfeng Lin</w:t>
      </w:r>
      <w:r>
        <w:rPr>
          <w:rFonts w:hint="eastAsia"/>
        </w:rPr>
        <w:t xml:space="preserve">, </w:t>
      </w:r>
      <w:r>
        <w:rPr>
          <w:rFonts w:hint="eastAsia"/>
          <w:lang w:val="en-US" w:eastAsia="zh-CN"/>
        </w:rPr>
        <w:t>Luping Shi</w:t>
      </w:r>
    </w:p>
    <w:p>
      <w:pPr>
        <w:pStyle w:val="28"/>
        <w:spacing w:before="156" w:beforeLines="50" w:after="156" w:afterLines="50"/>
      </w:pPr>
      <w:r>
        <w:br w:type="textWrapping"/>
      </w:r>
      <w:r>
        <w:rPr>
          <w:rFonts w:hint="eastAsia"/>
        </w:rPr>
        <w:t>(</w:t>
      </w:r>
      <w:r>
        <w:rPr>
          <w:rFonts w:hint="eastAsia"/>
          <w:lang w:val="en-US" w:eastAsia="zh-CN"/>
        </w:rPr>
        <w:t>Tsinghua University</w:t>
      </w:r>
      <w:r>
        <w:rPr>
          <w:rFonts w:hint="eastAsia"/>
        </w:rPr>
        <w:t xml:space="preserve">, </w:t>
      </w:r>
      <w:r>
        <w:rPr>
          <w:rFonts w:hint="eastAsia"/>
          <w:lang w:val="en-US" w:eastAsia="zh-CN"/>
        </w:rPr>
        <w:t>Beijing</w:t>
      </w:r>
      <w:r>
        <w:rPr>
          <w:rFonts w:hint="eastAsia"/>
        </w:rPr>
        <w:t xml:space="preserve"> </w:t>
      </w:r>
      <w:r>
        <w:rPr>
          <w:rFonts w:hint="eastAsia"/>
          <w:lang w:val="en-US" w:eastAsia="zh-CN"/>
        </w:rPr>
        <w:t>100084</w:t>
      </w:r>
      <w:r>
        <w:rPr>
          <w:rFonts w:hint="eastAsia"/>
        </w:rPr>
        <w:t xml:space="preserve">, </w:t>
      </w:r>
      <w:r>
        <w:rPr>
          <w:rFonts w:hint="eastAsia"/>
          <w:lang w:val="en-US" w:eastAsia="zh-CN"/>
        </w:rPr>
        <w:t>China</w:t>
      </w:r>
      <w:r>
        <w:rPr>
          <w:rFonts w:hint="eastAsia"/>
        </w:rPr>
        <w:t>)</w:t>
      </w:r>
    </w:p>
    <w:p>
      <w:pPr>
        <w:pStyle w:val="27"/>
      </w:pPr>
    </w:p>
    <w:p>
      <w:pPr>
        <w:pStyle w:val="29"/>
      </w:pPr>
      <w:r>
        <w:t>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a more balanced utilization by transmitting only weights and their gradients between workers in a pipeline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also shows greater scalability in communication-constrained scenarios compared to former pipeline methods.</w:t>
      </w:r>
    </w:p>
    <w:p>
      <w:pPr>
        <w:pStyle w:val="2"/>
      </w:pPr>
      <w:bookmarkStart w:id="0" w:name="introduction"/>
      <w:r>
        <w:t>1 Introduction</w:t>
      </w:r>
    </w:p>
    <w:p>
      <w:r>
        <w:t>Advancements in LLMs with Transformer[1] architectures have revolutionized generative AI. The scaling law[2] reveals a positive correlation between model performance and parameter capacity. However, as these models grow, their computational resource requirements for training increase significantly. Diverse distributed training techniques are designed to optimize efficiency training across a large number of interconnected GPU workers, such as data parallelism (DP), tensor parallelism (TP)[3]–[7], pipeline parallelism (PP)[8]–[13], and Sequence Parallelism (SP)[14]–[18]. DP and SP duplicate the model across multiple workers. TP splits matrix operations within a layer among workers, whereas PP segments the layers into stages processed by different workers. Compared to other strategies, PP reduces per worker’s memory needs, requires less bandwidth, and only needs peer-to-peer (P2P) communication.</w:t>
      </w:r>
    </w:p>
    <w:p>
      <w:r>
        <w:t xml:space="preserve">As the demand for long-context large language models (LLMs) grows rapidly, training these models with extended token length leads to a significant increase in activation values between layers. Moreover, memory optimization techniques such as mix-precision training[19], recomputation (gradient checkpointing), and flash attention are becoming the standard options for LLM training. These techniques reduce the peak memory occupation and enable large micro-batch sizes for PP. Both of these increase the communication burden of PP due to the larger volumes of activation and gradient values. Specifically, the output activation size of a single transformer stage in PP is about </w:t>
      </w:r>
      <m:oMath>
        <m:r>
          <m:t>GSH</m:t>
        </m:r>
      </m:oMath>
      <w:r>
        <w:t xml:space="preserve"> (counted by number), where </w:t>
      </w:r>
      <m:oMath>
        <m:r>
          <m:t>G</m:t>
        </m:r>
      </m:oMath>
      <w:r>
        <w:t xml:space="preserve"> is micro-batch size, </w:t>
      </w:r>
      <m:oMath>
        <m:r>
          <m:t>S</m:t>
        </m:r>
      </m:oMath>
      <w:r>
        <w:t xml:space="preserve"> is the sequence length and </w:t>
      </w:r>
      <m:oMath>
        <m:r>
          <m:t>H</m:t>
        </m:r>
      </m:oMath>
      <w:r>
        <w:t xml:space="preserve"> is the hidden dimension size in Transformer. In contrast, the weight size for one layer in a model like Llama-2 is about </w:t>
      </w:r>
      <m:oMath>
        <m:r>
          <m:t>12</m:t>
        </m:r>
        <m:sSup>
          <m:sSupPr/>
          <m:e>
            <m:r>
              <m:t>H</m:t>
            </m:r>
          </m:e>
          <m:sup>
            <m:r>
              <m:t>2</m:t>
            </m:r>
          </m:sup>
        </m:sSup>
      </m:oMath>
      <w:r>
        <w:t xml:space="preserve">, including </w:t>
      </w:r>
      <m:oMath>
        <m:r>
          <m:t>4</m:t>
        </m:r>
        <m:sSup>
          <m:sSupPr/>
          <m:e>
            <m:r>
              <m:t>H</m:t>
            </m:r>
          </m:e>
          <m:sup>
            <m:r>
              <m:t>2</m:t>
            </m:r>
          </m:sup>
        </m:sSup>
      </m:oMath>
      <w:r>
        <w:t xml:space="preserve"> for the attention module and </w:t>
      </w:r>
      <m:oMath>
        <m:r>
          <m:t>8</m:t>
        </m:r>
        <m:sSup>
          <m:sSupPr/>
          <m:e>
            <m:r>
              <m:t>H</m:t>
            </m:r>
          </m:e>
          <m:sup>
            <m:r>
              <m:t>2</m:t>
            </m:r>
          </m:sup>
        </m:sSup>
      </m:oMath>
      <w:r>
        <w:t xml:space="preserve"> for the feed-forward network (FFN). When the ratio of output activation to weight, </w:t>
      </w:r>
      <m:oMath>
        <m:f>
          <m:fPr/>
          <m:num>
            <m:r>
              <m:t>GS</m:t>
            </m:r>
          </m:num>
          <m:den>
            <m:r>
              <m:t>12H</m:t>
            </m:r>
          </m:den>
        </m:f>
      </m:oMath>
      <w:r>
        <w:t>, exceeds 1, the weight-passing method can be more communication-efficient than the activation-passing method.</w:t>
      </w:r>
    </w:p>
    <w:p>
      <w:r>
        <w:t>Inspired by this observation, we propose the weight-pipeline parallelism (WeiPipe) to address the challenges posed by long-context models and larger micro-batch sizes. In conventional activation-passing pipelines, one worker holds the activations of multiple micro-batches and the weights of one stage, passing activations (</w:t>
      </w:r>
      <m:oMath>
        <m:r>
          <m:t>A</m:t>
        </m:r>
      </m:oMath>
      <w:r>
        <w:t>s) and gradients of activations (</w:t>
      </w:r>
      <m:oMath>
        <m:r>
          <m:t>B</m:t>
        </m:r>
      </m:oMath>
      <w:r>
        <w:t>s) to the next worker. In contrast, a worker in WeiPipe maintains the activations for all layers of a single micro-batch, passing weights (</w:t>
      </w:r>
      <m:oMath>
        <m:r>
          <m:t>W</m:t>
        </m:r>
      </m:oMath>
      <w:r>
        <w:t>s) and gradients of weights (</w:t>
      </w:r>
      <m:oMath>
        <m:r>
          <m:t>D</m:t>
        </m:r>
      </m:oMath>
      <w:r>
        <w:t xml:space="preserve">s) of one stage to the subsequent worker. Unlike DP and TP, activation-passing pipelines and WeiPipe rely solely on P2P communication to achieve high scalability. Except for optimizing pipeline bubbles, which is the primary focus of conventional PP strategies, WeiPipe additionally emphasizes the arrangement of data to ensure smooth flow of </w:t>
      </w:r>
      <m:oMath>
        <m:r>
          <m:t>W</m:t>
        </m:r>
      </m:oMath>
      <w:r>
        <w:t xml:space="preserve">s and </w:t>
      </w:r>
      <m:oMath>
        <m:r>
          <m:t>D</m:t>
        </m:r>
      </m:oMath>
      <w:r>
        <w:t>s between workers with minimal overhead. The contributions of this paper are as follows:</w:t>
      </w:r>
    </w:p>
    <w:p>
      <w:pPr>
        <w:numPr>
          <w:ilvl w:val="0"/>
          <w:numId w:val="4"/>
        </w:numPr>
      </w:pPr>
      <w:r>
        <w:t>We begin by introducing the basic WeiPipe strategy to demonstrate the fundamental concepts and mechanisms of the weight-passing pipeline.</w:t>
      </w:r>
    </w:p>
    <w:p>
      <w:pPr>
        <w:numPr>
          <w:ilvl w:val="0"/>
          <w:numId w:val="4"/>
        </w:numPr>
      </w:pPr>
      <w:r>
        <w:t>Next, we propose WeiPipe-Interleave that enhances the naive WeiPipe strategy by interleaving the forward and backward passes, which reduces the bubble ratio and halves the communication requirements compared to the naive approach.</w:t>
      </w:r>
    </w:p>
    <w:p>
      <w:pPr>
        <w:numPr>
          <w:ilvl w:val="0"/>
          <w:numId w:val="4"/>
        </w:numPr>
      </w:pPr>
      <w:r>
        <w:t>We investigate the potential of integrating WeiPipe with zero-bubble parallelism, demonstrating that a weight-passing pipeline can achieve near-zero bubble ratios.</w:t>
      </w:r>
    </w:p>
    <w:p>
      <w:pPr>
        <w:numPr>
          <w:ilvl w:val="0"/>
          <w:numId w:val="4"/>
        </w:numPr>
      </w:pPr>
      <w:r>
        <w:t>We implement WeiPipe-Interleave on PyTorch from scratch and apply WeiPipe-Interleave to mainstream LLama-style[20] models (also GPT-like). Experiments show that WeiPipe can improve training efficiency by about 30%-80% compared to state-of-the-art PP and maintain weak and strong scalability in long-context scenarios.</w:t>
      </w:r>
    </w:p>
    <w:p>
      <w:r>
        <w:t>To enable a more comprehensive analysis of state-of-the-art methods and WeiPipe, we have standardized the symbolic representation, which is presented in Table 1.</w:t>
      </w:r>
    </w:p>
    <w:bookmarkEnd w:id="0"/>
    <w:p>
      <w:pPr>
        <w:pStyle w:val="31"/>
        <w:jc w:val="center"/>
      </w:pPr>
      <w:bookmarkStart w:id="1" w:name="background-and-related-work"/>
      <w:r>
        <w:t>Table 1. Meaning of the symbols that are used in this paper.</w:t>
      </w:r>
    </w:p>
    <w:tbl>
      <w:tblPr>
        <w:tblStyle w:val="19"/>
        <w:tblW w:w="8306" w:type="dxa"/>
        <w:tblInd w:w="0" w:type="dxa"/>
        <w:tblLayout w:type="fixed"/>
        <w:tblCellMar>
          <w:top w:w="0" w:type="dxa"/>
          <w:left w:w="108" w:type="dxa"/>
          <w:bottom w:w="0" w:type="dxa"/>
          <w:right w:w="108" w:type="dxa"/>
        </w:tblCellMar>
      </w:tblPr>
      <w:tblGrid>
        <w:gridCol w:w="4153"/>
        <w:gridCol w:w="4153"/>
      </w:tblGrid>
      <w:tr>
        <w:tblPrEx>
          <w:tblLayout w:type="fixed"/>
          <w:tblCellMar>
            <w:top w:w="0" w:type="dxa"/>
            <w:left w:w="108" w:type="dxa"/>
            <w:bottom w:w="0" w:type="dxa"/>
            <w:right w:w="108" w:type="dxa"/>
          </w:tblCellMar>
        </w:tblPrEx>
        <w:tc>
          <w:tcPr>
            <w:tcW w:w="4153" w:type="dxa"/>
          </w:tcPr>
          <w:p>
            <w:r>
              <w:t>Symbol</w:t>
            </w:r>
          </w:p>
        </w:tc>
        <w:tc>
          <w:tcPr>
            <w:tcW w:w="4153" w:type="dxa"/>
          </w:tcPr>
          <w:p>
            <w:r>
              <w:t>Meaning</w:t>
            </w:r>
          </w:p>
        </w:tc>
      </w:tr>
      <w:tr>
        <w:tblPrEx>
          <w:tblLayout w:type="fixed"/>
          <w:tblCellMar>
            <w:top w:w="0" w:type="dxa"/>
            <w:left w:w="108" w:type="dxa"/>
            <w:bottom w:w="0" w:type="dxa"/>
            <w:right w:w="108" w:type="dxa"/>
          </w:tblCellMar>
        </w:tblPrEx>
        <w:tc>
          <w:tcPr>
            <w:tcW w:w="4153" w:type="dxa"/>
          </w:tcPr>
          <w:p>
            <w:r>
              <w:t>N</w:t>
            </w:r>
          </w:p>
        </w:tc>
        <w:tc>
          <w:tcPr>
            <w:tcW w:w="4153" w:type="dxa"/>
          </w:tcPr>
          <w:p>
            <w:r>
              <w:t>The number of micro-batches in an iteration</w:t>
            </w:r>
          </w:p>
        </w:tc>
      </w:tr>
      <w:tr>
        <w:tblPrEx>
          <w:tblLayout w:type="fixed"/>
          <w:tblCellMar>
            <w:top w:w="0" w:type="dxa"/>
            <w:left w:w="108" w:type="dxa"/>
            <w:bottom w:w="0" w:type="dxa"/>
            <w:right w:w="108" w:type="dxa"/>
          </w:tblCellMar>
        </w:tblPrEx>
        <w:tc>
          <w:tcPr>
            <w:tcW w:w="4153" w:type="dxa"/>
          </w:tcPr>
          <w:p>
            <w:r>
              <w:t>Iter</w:t>
            </w:r>
          </w:p>
        </w:tc>
        <w:tc>
          <w:tcPr>
            <w:tcW w:w="4153" w:type="dxa"/>
          </w:tcPr>
          <w:p>
            <w:r>
              <w:t>The number of iteration</w:t>
            </w:r>
          </w:p>
        </w:tc>
      </w:tr>
      <w:tr>
        <w:tblPrEx>
          <w:tblLayout w:type="fixed"/>
          <w:tblCellMar>
            <w:top w:w="0" w:type="dxa"/>
            <w:left w:w="108" w:type="dxa"/>
            <w:bottom w:w="0" w:type="dxa"/>
            <w:right w:w="108" w:type="dxa"/>
          </w:tblCellMar>
        </w:tblPrEx>
        <w:tc>
          <w:tcPr>
            <w:tcW w:w="4153" w:type="dxa"/>
          </w:tcPr>
          <w:p>
            <w:r>
              <w:t>G</w:t>
            </w:r>
          </w:p>
        </w:tc>
        <w:tc>
          <w:tcPr>
            <w:tcW w:w="4153" w:type="dxa"/>
          </w:tcPr>
          <w:p>
            <w:r>
              <w:t>Micro-batch size</w:t>
            </w:r>
          </w:p>
        </w:tc>
      </w:tr>
      <w:tr>
        <w:tblPrEx>
          <w:tblLayout w:type="fixed"/>
          <w:tblCellMar>
            <w:top w:w="0" w:type="dxa"/>
            <w:left w:w="108" w:type="dxa"/>
            <w:bottom w:w="0" w:type="dxa"/>
            <w:right w:w="108" w:type="dxa"/>
          </w:tblCellMar>
        </w:tblPrEx>
        <w:tc>
          <w:tcPr>
            <w:tcW w:w="4153" w:type="dxa"/>
          </w:tcPr>
          <w:p>
            <w:r>
              <w:t>P</w:t>
            </w:r>
          </w:p>
        </w:tc>
        <w:tc>
          <w:tcPr>
            <w:tcW w:w="4153" w:type="dxa"/>
          </w:tcPr>
          <w:p>
            <w:r>
              <w:t>The number of workers</w:t>
            </w:r>
          </w:p>
        </w:tc>
      </w:tr>
      <w:tr>
        <w:tblPrEx>
          <w:tblLayout w:type="fixed"/>
          <w:tblCellMar>
            <w:top w:w="0" w:type="dxa"/>
            <w:left w:w="108" w:type="dxa"/>
            <w:bottom w:w="0" w:type="dxa"/>
            <w:right w:w="108" w:type="dxa"/>
          </w:tblCellMar>
        </w:tblPrEx>
        <w:tc>
          <w:tcPr>
            <w:tcW w:w="4153" w:type="dxa"/>
          </w:tcPr>
          <w:p>
            <w:r>
              <w:t>L</w:t>
            </w:r>
          </w:p>
        </w:tc>
        <w:tc>
          <w:tcPr>
            <w:tcW w:w="4153" w:type="dxa"/>
          </w:tcPr>
          <w:p>
            <w:r>
              <w:t>The number of layers in neural network</w:t>
            </w:r>
          </w:p>
        </w:tc>
      </w:tr>
      <w:tr>
        <w:tblPrEx>
          <w:tblLayout w:type="fixed"/>
          <w:tblCellMar>
            <w:top w:w="0" w:type="dxa"/>
            <w:left w:w="108" w:type="dxa"/>
            <w:bottom w:w="0" w:type="dxa"/>
            <w:right w:w="108" w:type="dxa"/>
          </w:tblCellMar>
        </w:tblPrEx>
        <w:tc>
          <w:tcPr>
            <w:tcW w:w="4153" w:type="dxa"/>
          </w:tcPr>
          <w:p>
            <w:r>
              <w:t>A</w:t>
            </w:r>
            <w:r>
              <w:rPr>
                <w:vertAlign w:val="superscript"/>
              </w:rPr>
              <w:t>i</w:t>
            </w:r>
            <w:r>
              <w:rPr>
                <w:vertAlign w:val="subscript"/>
              </w:rPr>
              <w:t>j</w:t>
            </w:r>
          </w:p>
        </w:tc>
        <w:tc>
          <w:tcPr>
            <w:tcW w:w="4153" w:type="dxa"/>
          </w:tcPr>
          <w:p>
            <w:r>
              <w:t>Activation values of jth layer in ith micro-batch</w:t>
            </w:r>
          </w:p>
        </w:tc>
      </w:tr>
      <w:tr>
        <w:tblPrEx>
          <w:tblLayout w:type="fixed"/>
          <w:tblCellMar>
            <w:top w:w="0" w:type="dxa"/>
            <w:left w:w="108" w:type="dxa"/>
            <w:bottom w:w="0" w:type="dxa"/>
            <w:right w:w="108" w:type="dxa"/>
          </w:tblCellMar>
        </w:tblPrEx>
        <w:tc>
          <w:tcPr>
            <w:tcW w:w="4153" w:type="dxa"/>
          </w:tcPr>
          <w:p>
            <w:r>
              <w:t>B</w:t>
            </w:r>
            <w:r>
              <w:rPr>
                <w:vertAlign w:val="superscript"/>
              </w:rPr>
              <w:t>i</w:t>
            </w:r>
            <w:r>
              <w:rPr>
                <w:vertAlign w:val="subscript"/>
              </w:rPr>
              <w:t>j</w:t>
            </w:r>
          </w:p>
        </w:tc>
        <w:tc>
          <w:tcPr>
            <w:tcW w:w="4153" w:type="dxa"/>
          </w:tcPr>
          <w:p>
            <w:r>
              <w:t>Gradients of A</w:t>
            </w:r>
            <w:r>
              <w:rPr>
                <w:vertAlign w:val="superscript"/>
              </w:rPr>
              <w:t>i</w:t>
            </w:r>
            <w:r>
              <w:rPr>
                <w:vertAlign w:val="subscript"/>
              </w:rPr>
              <w:t>j</w:t>
            </w:r>
          </w:p>
        </w:tc>
      </w:tr>
      <w:tr>
        <w:tblPrEx>
          <w:tblLayout w:type="fixed"/>
          <w:tblCellMar>
            <w:top w:w="0" w:type="dxa"/>
            <w:left w:w="108" w:type="dxa"/>
            <w:bottom w:w="0" w:type="dxa"/>
            <w:right w:w="108" w:type="dxa"/>
          </w:tblCellMar>
        </w:tblPrEx>
        <w:tc>
          <w:tcPr>
            <w:tcW w:w="4153" w:type="dxa"/>
          </w:tcPr>
          <w:p>
            <w:r>
              <w:t>W</w:t>
            </w:r>
            <w:r>
              <w:rPr>
                <w:vertAlign w:val="subscript"/>
              </w:rPr>
              <w:t>j</w:t>
            </w:r>
          </w:p>
        </w:tc>
        <w:tc>
          <w:tcPr>
            <w:tcW w:w="4153" w:type="dxa"/>
          </w:tcPr>
          <w:p>
            <w:r>
              <w:t>Weights of jth layer</w:t>
            </w:r>
          </w:p>
        </w:tc>
      </w:tr>
      <w:tr>
        <w:tblPrEx>
          <w:tblLayout w:type="fixed"/>
          <w:tblCellMar>
            <w:top w:w="0" w:type="dxa"/>
            <w:left w:w="108" w:type="dxa"/>
            <w:bottom w:w="0" w:type="dxa"/>
            <w:right w:w="108" w:type="dxa"/>
          </w:tblCellMar>
        </w:tblPrEx>
        <w:tc>
          <w:tcPr>
            <w:tcW w:w="4153" w:type="dxa"/>
          </w:tcPr>
          <w:p>
            <w:r>
              <w:t>D</w:t>
            </w:r>
            <w:r>
              <w:rPr>
                <w:vertAlign w:val="subscript"/>
              </w:rPr>
              <w:t>j</w:t>
            </w:r>
          </w:p>
        </w:tc>
        <w:tc>
          <w:tcPr>
            <w:tcW w:w="4153" w:type="dxa"/>
          </w:tcPr>
          <w:p>
            <w:r>
              <w:t>Gradients of W</w:t>
            </w:r>
            <w:r>
              <w:rPr>
                <w:vertAlign w:val="subscript"/>
              </w:rPr>
              <w:t>j</w:t>
            </w:r>
          </w:p>
        </w:tc>
      </w:tr>
      <w:tr>
        <w:tblPrEx>
          <w:tblLayout w:type="fixed"/>
          <w:tblCellMar>
            <w:top w:w="0" w:type="dxa"/>
            <w:left w:w="108" w:type="dxa"/>
            <w:bottom w:w="0" w:type="dxa"/>
            <w:right w:w="108" w:type="dxa"/>
          </w:tblCellMar>
        </w:tblPrEx>
        <w:tc>
          <w:tcPr>
            <w:tcW w:w="4153" w:type="dxa"/>
          </w:tcPr>
          <w:p>
            <w:r>
              <w:t>M</w:t>
            </w:r>
            <w:r>
              <w:rPr>
                <w:vertAlign w:val="subscript"/>
              </w:rPr>
              <w:t>A/B/W/D</w:t>
            </w:r>
          </w:p>
        </w:tc>
        <w:tc>
          <w:tcPr>
            <w:tcW w:w="4153" w:type="dxa"/>
          </w:tcPr>
          <w:p>
            <w:r>
              <w:t>Memory consumption of A, B, W or D</w:t>
            </w:r>
          </w:p>
        </w:tc>
      </w:tr>
      <w:tr>
        <w:tblPrEx>
          <w:tblLayout w:type="fixed"/>
          <w:tblCellMar>
            <w:top w:w="0" w:type="dxa"/>
            <w:left w:w="108" w:type="dxa"/>
            <w:bottom w:w="0" w:type="dxa"/>
            <w:right w:w="108" w:type="dxa"/>
          </w:tblCellMar>
        </w:tblPrEx>
        <w:tc>
          <w:tcPr>
            <w:tcW w:w="4153" w:type="dxa"/>
          </w:tcPr>
          <w:p>
            <w:r>
              <w:t>T</w:t>
            </w:r>
            <w:r>
              <w:rPr>
                <w:vertAlign w:val="subscript"/>
              </w:rPr>
              <w:t>F/B/W</w:t>
            </w:r>
          </w:p>
        </w:tc>
        <w:tc>
          <w:tcPr>
            <w:tcW w:w="4153" w:type="dxa"/>
          </w:tcPr>
          <w:p>
            <w:r>
              <w:t>Time cost for complete forward pass, B pass or W pass</w:t>
            </w:r>
          </w:p>
        </w:tc>
      </w:tr>
      <w:tr>
        <w:tblPrEx>
          <w:tblLayout w:type="fixed"/>
          <w:tblCellMar>
            <w:top w:w="0" w:type="dxa"/>
            <w:left w:w="108" w:type="dxa"/>
            <w:bottom w:w="0" w:type="dxa"/>
            <w:right w:w="108" w:type="dxa"/>
          </w:tblCellMar>
        </w:tblPrEx>
        <w:tc>
          <w:tcPr>
            <w:tcW w:w="4153" w:type="dxa"/>
          </w:tcPr>
          <w:p>
            <w:r>
              <w:t>T</w:t>
            </w:r>
            <w:r>
              <w:rPr>
                <w:vertAlign w:val="subscript"/>
              </w:rPr>
              <w:t>BW</w:t>
            </w:r>
          </w:p>
        </w:tc>
        <w:tc>
          <w:tcPr>
            <w:tcW w:w="4153" w:type="dxa"/>
          </w:tcPr>
          <w:p>
            <w:r>
              <w:t>T</w:t>
            </w:r>
            <w:r>
              <w:rPr>
                <w:vertAlign w:val="subscript"/>
              </w:rPr>
              <w:t>B</w:t>
            </w:r>
            <w:r>
              <w:t xml:space="preserve"> + T</w:t>
            </w:r>
            <w:r>
              <w:rPr>
                <w:vertAlign w:val="subscript"/>
              </w:rPr>
              <w:t>W</w:t>
            </w:r>
          </w:p>
        </w:tc>
      </w:tr>
      <w:tr>
        <w:tblPrEx>
          <w:tblLayout w:type="fixed"/>
          <w:tblCellMar>
            <w:top w:w="0" w:type="dxa"/>
            <w:left w:w="108" w:type="dxa"/>
            <w:bottom w:w="0" w:type="dxa"/>
            <w:right w:w="108" w:type="dxa"/>
          </w:tblCellMar>
        </w:tblPrEx>
        <w:tc>
          <w:tcPr>
            <w:tcW w:w="4153" w:type="dxa"/>
          </w:tcPr>
          <w:p>
            <w:r>
              <w:t>α</w:t>
            </w:r>
          </w:p>
        </w:tc>
        <w:tc>
          <w:tcPr>
            <w:tcW w:w="4153" w:type="dxa"/>
          </w:tcPr>
          <w:p>
            <w:r>
              <w:t>The percentage of left memory consumption of activations after B pass</w:t>
            </w:r>
          </w:p>
        </w:tc>
      </w:tr>
      <w:tr>
        <w:tblPrEx>
          <w:tblLayout w:type="fixed"/>
          <w:tblCellMar>
            <w:top w:w="0" w:type="dxa"/>
            <w:left w:w="108" w:type="dxa"/>
            <w:bottom w:w="0" w:type="dxa"/>
            <w:right w:w="108" w:type="dxa"/>
          </w:tblCellMar>
        </w:tblPrEx>
        <w:tc>
          <w:tcPr>
            <w:tcW w:w="4153" w:type="dxa"/>
          </w:tcPr>
          <w:p>
            <w:r>
              <w:t>H</w:t>
            </w:r>
          </w:p>
        </w:tc>
        <w:tc>
          <w:tcPr>
            <w:tcW w:w="4153" w:type="dxa"/>
          </w:tcPr>
          <w:p>
            <w:r>
              <w:t>The size of hidden dim in Transformer</w:t>
            </w:r>
          </w:p>
        </w:tc>
      </w:tr>
      <w:tr>
        <w:tblPrEx>
          <w:tblLayout w:type="fixed"/>
          <w:tblCellMar>
            <w:top w:w="0" w:type="dxa"/>
            <w:left w:w="108" w:type="dxa"/>
            <w:bottom w:w="0" w:type="dxa"/>
            <w:right w:w="108" w:type="dxa"/>
          </w:tblCellMar>
        </w:tblPrEx>
        <w:tc>
          <w:tcPr>
            <w:tcW w:w="4153" w:type="dxa"/>
          </w:tcPr>
          <w:p>
            <w:r>
              <w:t>S</w:t>
            </w:r>
          </w:p>
        </w:tc>
        <w:tc>
          <w:tcPr>
            <w:tcW w:w="4153" w:type="dxa"/>
          </w:tcPr>
          <w:p>
            <w:r>
              <w:t>The sequence length in Transformer</w:t>
            </w:r>
          </w:p>
        </w:tc>
      </w:tr>
    </w:tbl>
    <w:p>
      <w:pPr>
        <w:pStyle w:val="2"/>
      </w:pPr>
      <w:r>
        <w:t>2 Background and Related Work</w:t>
      </w:r>
    </w:p>
    <w:p>
      <w:pPr>
        <w:jc w:val="center"/>
      </w:pPr>
      <w:r>
        <w:drawing>
          <wp:inline distT="0" distB="0" distL="114300" distR="114300">
            <wp:extent cx="5270500" cy="253111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270500" cy="2531638"/>
                    </a:xfrm>
                    <a:prstGeom prst="rect">
                      <a:avLst/>
                    </a:prstGeom>
                    <a:noFill/>
                    <a:ln w="9525">
                      <a:noFill/>
                    </a:ln>
                  </pic:spPr>
                </pic:pic>
              </a:graphicData>
            </a:graphic>
          </wp:inline>
        </w:drawing>
      </w:r>
    </w:p>
    <w:p>
      <w:pPr>
        <w:pStyle w:val="33"/>
        <w:jc w:val="center"/>
      </w:pPr>
      <w:r>
        <w:t>Figure 1. WeiPipe-Naive strategy. The text below workers denotes the retained data in memory. The text within the circle represents data counterclockwise circulating among workers. At t, each worker has the data at its position and the other side of the orange line. For instance, at t=5, worker 1 has W</w:t>
      </w:r>
      <w:r>
        <w:rPr>
          <w:vertAlign w:val="subscript"/>
        </w:rPr>
        <w:t>0</w:t>
      </w:r>
      <w:r>
        <w:t>, W</w:t>
      </w:r>
      <w:r>
        <w:rPr>
          <w:vertAlign w:val="subscript"/>
        </w:rPr>
        <w:t>3</w:t>
      </w:r>
      <w:r>
        <w:t>, D</w:t>
      </w:r>
      <w:r>
        <w:rPr>
          <w:vertAlign w:val="subscript"/>
        </w:rPr>
        <w:t>3</w:t>
      </w:r>
      <w:r>
        <w:t xml:space="preserve"> and receives W</w:t>
      </w:r>
      <w:r>
        <w:rPr>
          <w:vertAlign w:val="subscript"/>
        </w:rPr>
        <w:t>1</w:t>
      </w:r>
      <w:r>
        <w:t>, W</w:t>
      </w:r>
      <w:r>
        <w:rPr>
          <w:vertAlign w:val="subscript"/>
        </w:rPr>
        <w:t>2</w:t>
      </w:r>
      <w:r>
        <w:t>, D</w:t>
      </w:r>
      <w:r>
        <w:rPr>
          <w:vertAlign w:val="subscript"/>
        </w:rPr>
        <w:t>2</w:t>
      </w:r>
      <w:r>
        <w:t xml:space="preserve"> from worker 0. At t=6, worker 1 holds W</w:t>
      </w:r>
      <w:r>
        <w:rPr>
          <w:vertAlign w:val="subscript"/>
        </w:rPr>
        <w:t>1</w:t>
      </w:r>
      <w:r>
        <w:t>, W</w:t>
      </w:r>
      <w:r>
        <w:rPr>
          <w:vertAlign w:val="subscript"/>
        </w:rPr>
        <w:t>2</w:t>
      </w:r>
      <w:r>
        <w:t>, D</w:t>
      </w:r>
      <w:r>
        <w:rPr>
          <w:vertAlign w:val="subscript"/>
        </w:rPr>
        <w:t>2</w:t>
      </w:r>
      <w:r>
        <w:t>. Green blocks indicate the worker is performing the forward pass and blue blocks indicate the backward pass.</w:t>
      </w:r>
    </w:p>
    <w:p>
      <w:pPr>
        <w:pStyle w:val="3"/>
      </w:pPr>
      <w:bookmarkStart w:id="2" w:name="large-models-and-long-context-training"/>
      <w:r>
        <w:t>2.1 Large Models and Long Context Training</w:t>
      </w:r>
    </w:p>
    <w:p>
      <w:r>
        <w:t>Recently, Transformer-based models [1], [21]–[25] have become foundational in multiple fields, such as natural language processing (NLP) and computer vision (CV). As researchers strive for better performance, the scale of these models has increased significantly in two major dimensions. First, the size of the models has grown substantially. For example, the recent Llama-3.1 model [26] boasts an impressive 405 billion parameters, necessitating at least 6480 GB of GPU memory to accommodate the model parameters. This disparity presents a significant challenge in distributing such large models across a vast number of GPUs, with up to 16,000 NVIDIA H100 required in the case of Llama-3.1 [26].</w:t>
      </w:r>
    </w:p>
    <w:p>
      <w:r>
        <w:t>Second, the activation size during training has also increased due to longer sequence lengths. In NLP, long-context capabilities are crucial for tasks such as multi-round conversations[27], summarization[28], [29], and processing large codebases[30]–[32]. In CV, generating high-resolution and long-duration videos[33], [34] results in sequences that expand both temporally and spatially. Furthermore, in scientific AI, models like AlphaFold [35], [36] must manage long sequences of amino acids. These long-context scenarios introduce new challenges in designing parallelism schemes that achieve efficient and balanced memory management.</w:t>
      </w:r>
    </w:p>
    <w:bookmarkEnd w:id="2"/>
    <w:p>
      <w:pPr>
        <w:pStyle w:val="3"/>
      </w:pPr>
      <w:bookmarkStart w:id="3" w:name="parallelism-technique-for-training"/>
      <w:r>
        <w:t>2.2 Parallelism Technique for Training</w:t>
      </w:r>
    </w:p>
    <w:p>
      <w:r>
        <w:t>To address the above challenges, various parallelization techniques have been developed. DP is the most straightforward approach, dividing the data among devices and using all-reduce operations at each iteration to synchronize gradients. Enhanced versions, such as fully sharded data parallelism (FSDP) [37] and zero redundancy optimizer(ZeRO)[38], further optimize by splitting model weights and optimizer states. TP divides tensors into chunks along specific dimensions, allowing each device to hold only a portion of the tensor without compromising the integrity of the computation graph. This technique requires frequent collective communication to synchronize the results. PP partitions the model at the layer level and divides the batch into micro-batches. Traditional PP assigns layers across multiple devices and uses P2P communication to pass activations between devices. Furthermore, SP [14]–[18] divides activations along the sequence dimension. Among these parallelization strategies, DP is widely used for its ease of use and PP is favored for its reliance on P2P communication, making it a viable option for devices with less robust connections. To better understand WeiPipe, we will first explore these parallelization techniques in detail.</w:t>
      </w:r>
    </w:p>
    <w:p>
      <w:pPr>
        <w:pStyle w:val="4"/>
      </w:pPr>
      <w:bookmarkStart w:id="4" w:name="pipeline-parallelism"/>
      <w:r>
        <w:t>2.2.1 Pipeline Parallelism</w:t>
      </w:r>
    </w:p>
    <w:p>
      <w:r>
        <w:t xml:space="preserve">In this paper, we focus primarily on synchronous pipelines, which maintain the convergence of the training. One of the most known PP techniques is GPipe [9], which completes all forward propagation for all micro-batches before starting the backward propagation. Dapple [10], also known as 1F1B, enhances this approach by initiating backward propagation of a micro-batch immediately after its forward finishes, thereby reducing peak memory on certain devices. Chimera [11] further optimizes by combining multiple pipelines in different directions to reduce the bubble ratio. Hanayo [12] builds on this by utilizing a wave-shaped pipeline to decouple Chimera from model duplication, thereby improving efficiency. Zero-bubble PP [13] computes gradients for the weights and activations separately, allowing for a more flexible pipeline arrangement. This method offers two schemes: one minimizes peak memory, and the other reduces the bubble ratio. Further discussion of these approaches can be found in Section </w:t>
      </w:r>
      <w:r>
        <w:fldChar w:fldCharType="begin"/>
      </w:r>
      <w:r>
        <w:instrText xml:space="preserve"> HYPERLINK \l "sec:analysis" \h </w:instrText>
      </w:r>
      <w:r>
        <w:fldChar w:fldCharType="separate"/>
      </w:r>
      <w:r>
        <w:rPr>
          <w:rStyle w:val="16"/>
        </w:rPr>
        <w:t>4</w:t>
      </w:r>
      <w:r>
        <w:rPr>
          <w:rStyle w:val="16"/>
        </w:rPr>
        <w:fldChar w:fldCharType="end"/>
      </w:r>
      <w:r>
        <w:t>. Although current PPs have largely focused on reducing the bubble ratio, they face significant challenges in long-context scenarios where the overhead of activation and gradient communication can exceed the computational load of a single pipeline stage.</w:t>
      </w:r>
    </w:p>
    <w:bookmarkEnd w:id="4"/>
    <w:p>
      <w:pPr>
        <w:pStyle w:val="4"/>
      </w:pPr>
      <w:bookmarkStart w:id="5" w:name="fully-sharded-data-parallelism"/>
      <w:r>
        <w:t>2.2.2 Fully Sharded Data Parallelism</w:t>
      </w:r>
    </w:p>
    <w:p>
      <w:r>
        <w:t>FSDP has similar functions with ZeRO stage 3 (ZeRO-3), sharding the data, model weights and optimizer states on different GPUs. In FSDP, weights and gradients are only gathered when necessary for computation and are promptly discarded after the computation is completed. This sharding and unsharding process is facilitated by all-gather and reduce-scatter operations. FSDP also incorporates asynchronous communication to enhance overlap. Despite its ease of use and memory efficiency, FSDP requires a substantial amount of collective communication during both forward and backward propagation, which could be challenging in scaled scenarios.</w:t>
      </w:r>
    </w:p>
    <w:p>
      <w:r>
        <w:t>In a word, existing techniques are not well equipped to reduce the communication overhead in long-context scenarios, particularly in clusters with less robust network connections.</w:t>
      </w:r>
    </w:p>
    <w:bookmarkEnd w:id="1"/>
    <w:bookmarkEnd w:id="3"/>
    <w:bookmarkEnd w:id="5"/>
    <w:p>
      <w:pPr>
        <w:pStyle w:val="2"/>
      </w:pPr>
      <w:bookmarkStart w:id="6" w:name="weipipe-framework"/>
      <w:r>
        <w:t>3 WeiPipe Framework</w:t>
      </w:r>
    </w:p>
    <w:p>
      <w:pPr>
        <w:pStyle w:val="3"/>
      </w:pPr>
      <w:bookmarkStart w:id="7" w:name="weipipe-naive"/>
      <w:r>
        <w:t>3.1 WeiPipe-Naive</w:t>
      </w:r>
    </w:p>
    <w:p>
      <w:pPr>
        <w:jc w:val="center"/>
      </w:pPr>
      <w:r>
        <w:drawing>
          <wp:inline distT="0" distB="0" distL="114300" distR="114300">
            <wp:extent cx="5270500" cy="241046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5270500" cy="2410822"/>
                    </a:xfrm>
                    <a:prstGeom prst="rect">
                      <a:avLst/>
                    </a:prstGeom>
                    <a:noFill/>
                    <a:ln w="9525">
                      <a:noFill/>
                    </a:ln>
                  </pic:spPr>
                </pic:pic>
              </a:graphicData>
            </a:graphic>
          </wp:inline>
        </w:drawing>
      </w:r>
    </w:p>
    <w:p>
      <w:pPr>
        <w:pStyle w:val="33"/>
        <w:jc w:val="center"/>
      </w:pPr>
      <w:r>
        <w:t>Figure 2. WeiPipe-Interleave strategy. A</w:t>
      </w:r>
      <w:r>
        <w:rPr>
          <w:vertAlign w:val="superscript"/>
        </w:rPr>
        <w:t>i</w:t>
      </w:r>
      <w:r>
        <w:rPr>
          <w:vertAlign w:val="subscript"/>
        </w:rPr>
        <w:t>j</w:t>
      </w:r>
      <w:r>
        <w:t xml:space="preserve"> denotes the activation values of jth layer in ith micro-batch.</w:t>
      </w:r>
    </w:p>
    <w:p>
      <w:r>
        <w:t xml:space="preserve">To introduce the basic idea of WeiPipe, we focus on the commonly used ring topology PP. The initial step is to evenly distribute the model layers across all workers along the ring. Assume that the number of layers </w:t>
      </w:r>
      <m:oMath>
        <m:r>
          <m:t>L</m:t>
        </m:r>
      </m:oMath>
      <w:r>
        <w:t xml:space="preserve"> is equal to the number of workers </w:t>
      </w:r>
      <m:oMath>
        <m:r>
          <m:t>P</m:t>
        </m:r>
      </m:oMath>
      <w:r>
        <w:t xml:space="preserve"> and each worker holds the weight of one layer. The training procedure consists of three passes: the forward pass, the backward pass, and the update pass. During the forward pass, it is straightforward to achieve a weight-passing pipeline. Worker 0, holding the weights </w:t>
      </w:r>
      <m:oMath>
        <m:sSub>
          <m:sSubPr/>
          <m:e>
            <m:r>
              <m:t>W</m:t>
            </m:r>
          </m:e>
          <m:sub>
            <m:r>
              <m:t>0</m:t>
            </m:r>
          </m:sub>
        </m:sSub>
      </m:oMath>
      <w:r>
        <w:t xml:space="preserve"> of the first layer, initiates the forward computation. Simultaneously, it passes </w:t>
      </w:r>
      <m:oMath>
        <m:sSub>
          <m:sSubPr/>
          <m:e>
            <m:r>
              <m:t>W</m:t>
            </m:r>
          </m:e>
          <m:sub>
            <m:r>
              <m:t>0</m:t>
            </m:r>
          </m:sub>
        </m:sSub>
      </m:oMath>
      <w:r>
        <w:t xml:space="preserve"> to worker 1 and receives </w:t>
      </w:r>
      <m:oMath>
        <m:sSub>
          <m:sSubPr/>
          <m:e>
            <m:r>
              <m:t>W</m:t>
            </m:r>
          </m:e>
          <m:sub>
            <m:r>
              <m:t>1</m:t>
            </m:r>
          </m:sub>
        </m:sSub>
      </m:oMath>
      <w:r>
        <w:t xml:space="preserve"> from worker </w:t>
      </w:r>
      <m:oMath>
        <m:r>
          <m:t>P</m:t>
        </m:r>
        <m:r>
          <m:rPr>
            <m:sty m:val="p"/>
          </m:rPr>
          <m:t>−</m:t>
        </m:r>
        <m:r>
          <m:t>1</m:t>
        </m:r>
      </m:oMath>
      <w:r>
        <w:t xml:space="preserve">. Subsequently, worker 0 discards </w:t>
      </w:r>
      <m:oMath>
        <m:sSub>
          <m:sSubPr/>
          <m:e>
            <m:r>
              <m:t>W</m:t>
            </m:r>
          </m:e>
          <m:sub>
            <m:r>
              <m:t>0</m:t>
            </m:r>
          </m:sub>
        </m:sSub>
      </m:oMath>
      <w:r>
        <w:t xml:space="preserve"> but retains the activations of the first layer </w:t>
      </w:r>
      <m:oMath>
        <m:sSub>
          <m:sSubPr/>
          <m:e>
            <m:r>
              <m:t>A</m:t>
            </m:r>
          </m:e>
          <m:sub>
            <m:r>
              <m:t>0</m:t>
            </m:r>
          </m:sub>
        </m:sSub>
      </m:oMath>
      <w:r>
        <w:t xml:space="preserve"> in its memory and begins forwarding the second layer using </w:t>
      </w:r>
      <m:oMath>
        <m:sSub>
          <m:sSubPr/>
          <m:e>
            <m:r>
              <m:t>W</m:t>
            </m:r>
          </m:e>
          <m:sub>
            <m:r>
              <m:t>1</m:t>
            </m:r>
          </m:sub>
        </m:sSub>
      </m:oMath>
      <w:r>
        <w:t xml:space="preserve">. Meanwhile, worker 1 computes the first layer with a new micro-batch input. This process continues until worker 0 completes the forward passes of all layers. Figure </w:t>
      </w:r>
      <w:r>
        <w:fldChar w:fldCharType="begin"/>
      </w:r>
      <w:r>
        <w:instrText xml:space="preserve"> HYPERLINK \l "fig:weipipe-naive" \h </w:instrText>
      </w:r>
      <w:r>
        <w:fldChar w:fldCharType="separate"/>
      </w:r>
      <w:r>
        <w:rPr>
          <w:rStyle w:val="16"/>
        </w:rPr>
        <w:t>1</w:t>
      </w:r>
      <w:r>
        <w:rPr>
          <w:rStyle w:val="16"/>
        </w:rPr>
        <w:fldChar w:fldCharType="end"/>
      </w:r>
      <w:r>
        <w:t xml:space="preserve"> illustrates this procedure from </w:t>
      </w:r>
      <m:oMath>
        <m:r>
          <m:t>t</m:t>
        </m:r>
        <m:r>
          <m:rPr>
            <m:sty m:val="p"/>
          </m:rPr>
          <m:t>=</m:t>
        </m:r>
        <m:r>
          <m:t>0</m:t>
        </m:r>
      </m:oMath>
      <w:r>
        <w:t xml:space="preserve"> to </w:t>
      </w:r>
      <m:oMath>
        <m:r>
          <m:t>t</m:t>
        </m:r>
        <m:r>
          <m:rPr>
            <m:sty m:val="p"/>
          </m:rPr>
          <m:t>=</m:t>
        </m:r>
        <m:r>
          <m:t>3</m:t>
        </m:r>
      </m:oMath>
      <w:r>
        <w:t xml:space="preserve"> with </w:t>
      </w:r>
      <m:oMath>
        <m:r>
          <m:t>P</m:t>
        </m:r>
        <m:r>
          <m:rPr>
            <m:sty m:val="p"/>
          </m:rPr>
          <m:t>=</m:t>
        </m:r>
        <m:r>
          <m:t>4</m:t>
        </m:r>
      </m:oMath>
      <w:r>
        <w:t xml:space="preserve">. In Figure </w:t>
      </w:r>
      <w:r>
        <w:fldChar w:fldCharType="begin"/>
      </w:r>
      <w:r>
        <w:instrText xml:space="preserve"> HYPERLINK \l "fig:weipipe-naive" \h </w:instrText>
      </w:r>
      <w:r>
        <w:fldChar w:fldCharType="separate"/>
      </w:r>
      <w:r>
        <w:rPr>
          <w:rStyle w:val="16"/>
        </w:rPr>
        <w:t>1</w:t>
      </w:r>
      <w:r>
        <w:rPr>
          <w:rStyle w:val="16"/>
        </w:rPr>
        <w:fldChar w:fldCharType="end"/>
      </w:r>
      <w:r>
        <w:t xml:space="preserve">, we use a circular representation to illustrate the arrangement and transmission of data in WeiPipe, which is particularly helpful for understanding the following complex strategies. For </w:t>
      </w:r>
      <m:oMath>
        <m:r>
          <m:t>P</m:t>
        </m:r>
        <m:r>
          <m:rPr>
            <m:sty m:val="p"/>
          </m:rPr>
          <m:t>=</m:t>
        </m:r>
        <m:r>
          <m:t>4</m:t>
        </m:r>
      </m:oMath>
      <w:r>
        <w:t xml:space="preserve">, the circle is divided into 8 positions, each filled with </w:t>
      </w:r>
      <m:oMath>
        <m:r>
          <m:t>W</m:t>
        </m:r>
      </m:oMath>
      <w:r>
        <w:t xml:space="preserve">s or </w:t>
      </w:r>
      <m:oMath>
        <m:r>
          <m:t>D</m:t>
        </m:r>
      </m:oMath>
      <w:r>
        <w:t xml:space="preserve">s. Each worker holds data in its current position and in the diagonal position (indicated by the orange line across the circle). Initially, worker 0 through worker 3 each hold </w:t>
      </w:r>
      <m:oMath>
        <m:sSub>
          <m:sSubPr/>
          <m:e>
            <m:r>
              <m:t>W</m:t>
            </m:r>
          </m:e>
          <m:sub>
            <m:r>
              <m:t>0</m:t>
            </m:r>
          </m:sub>
        </m:sSub>
      </m:oMath>
      <w:r>
        <w:t xml:space="preserve"> to </w:t>
      </w:r>
      <m:oMath>
        <m:sSub>
          <m:sSubPr/>
          <m:e>
            <m:r>
              <m:t>W</m:t>
            </m:r>
          </m:e>
          <m:sub>
            <m:r>
              <m:t>3</m:t>
            </m:r>
          </m:sub>
        </m:sSub>
      </m:oMath>
      <w:r>
        <w:t xml:space="preserve"> respectively (the black text in the circle). The circle rotates counterclockwise, with each turn denoted as </w:t>
      </w:r>
      <m:oMath>
        <m:r>
          <m:t>t</m:t>
        </m:r>
        <m:r>
          <m:rPr>
            <m:sty m:val="p"/>
          </m:rPr>
          <m:t>+</m:t>
        </m:r>
        <m:r>
          <m:t>1</m:t>
        </m:r>
      </m:oMath>
      <w:r>
        <w:t xml:space="preserve">. After each rotation, the workers update the data they hold, reflecting the transition of data between workers. From </w:t>
      </w:r>
      <m:oMath>
        <m:r>
          <m:t>t</m:t>
        </m:r>
        <m:r>
          <m:rPr>
            <m:sty m:val="p"/>
          </m:rPr>
          <m:t>−</m:t>
        </m:r>
        <m:r>
          <m:t>0</m:t>
        </m:r>
      </m:oMath>
      <w:r>
        <w:t xml:space="preserve"> to </w:t>
      </w:r>
      <m:oMath>
        <m:r>
          <m:t>3</m:t>
        </m:r>
      </m:oMath>
      <w:r>
        <w:t xml:space="preserve">, each worker processes the forward pass for its corresponding layer (the green block in the circle) and accumulates activations from </w:t>
      </w:r>
      <m:oMath>
        <m:sSub>
          <m:sSubPr/>
          <m:e>
            <m:r>
              <m:t>A</m:t>
            </m:r>
          </m:e>
          <m:sub>
            <m:r>
              <m:t>0</m:t>
            </m:r>
          </m:sub>
        </m:sSub>
      </m:oMath>
      <w:r>
        <w:t xml:space="preserve"> to </w:t>
      </w:r>
      <m:oMath>
        <m:sSub>
          <m:sSubPr/>
          <m:e>
            <m:r>
              <m:t>A</m:t>
            </m:r>
          </m:e>
          <m:sub>
            <m:r>
              <m:t>3</m:t>
            </m:r>
          </m:sub>
        </m:sSub>
      </m:oMath>
      <w:r>
        <w:t xml:space="preserve"> in their own memory, as shown below for each worker.</w:t>
      </w:r>
    </w:p>
    <w:p>
      <w:r>
        <w:t xml:space="preserve">The backward pass becomes more complex because the weights are required in reverse order. To maintain the weight-pipelining, we fill the opposite side of the circle with </w:t>
      </w:r>
      <m:oMath>
        <m:sSub>
          <m:sSubPr/>
          <m:e>
            <m:r>
              <m:t>W</m:t>
            </m:r>
          </m:e>
          <m:sub>
            <m:r>
              <m:t>3</m:t>
            </m:r>
          </m:sub>
        </m:sSub>
      </m:oMath>
      <w:r>
        <w:t xml:space="preserve"> to </w:t>
      </w:r>
      <m:oMath>
        <m:sSub>
          <m:sSubPr/>
          <m:e>
            <m:r>
              <m:t>W</m:t>
            </m:r>
          </m:e>
          <m:sub>
            <m:r>
              <m:t>0</m:t>
            </m:r>
          </m:sub>
        </m:sSub>
      </m:oMath>
      <w:r>
        <w:t xml:space="preserve"> (the blue text in Figure </w:t>
      </w:r>
      <w:r>
        <w:fldChar w:fldCharType="begin"/>
      </w:r>
      <w:r>
        <w:instrText xml:space="preserve"> HYPERLINK \l "fig:weipipe-naive" \h </w:instrText>
      </w:r>
      <w:r>
        <w:fldChar w:fldCharType="separate"/>
      </w:r>
      <w:r>
        <w:rPr>
          <w:rStyle w:val="16"/>
        </w:rPr>
        <w:t>1</w:t>
      </w:r>
      <w:r>
        <w:rPr>
          <w:rStyle w:val="16"/>
        </w:rPr>
        <w:fldChar w:fldCharType="end"/>
      </w:r>
      <w:r>
        <w:t xml:space="preserve"> from </w:t>
      </w:r>
      <m:oMath>
        <m:r>
          <m:t>t</m:t>
        </m:r>
        <m:r>
          <m:rPr>
            <m:sty m:val="p"/>
          </m:rPr>
          <m:t>=</m:t>
        </m:r>
        <m:r>
          <m:t>0</m:t>
        </m:r>
      </m:oMath>
      <w:r>
        <w:t xml:space="preserve"> to </w:t>
      </w:r>
      <m:oMath>
        <m:r>
          <m:t>3</m:t>
        </m:r>
      </m:oMath>
      <w:r>
        <w:t xml:space="preserve">). After Worker 0 completes the forward pass, the circle continues to rotate counterclockwise. Worker 0 then receives </w:t>
      </w:r>
      <m:oMath>
        <m:sSub>
          <m:sSubPr/>
          <m:e>
            <m:r>
              <m:t>W</m:t>
            </m:r>
          </m:e>
          <m:sub>
            <m:r>
              <m:t>3</m:t>
            </m:r>
          </m:sub>
        </m:sSub>
      </m:oMath>
      <w:r>
        <w:t xml:space="preserve"> to </w:t>
      </w:r>
      <m:oMath>
        <m:sSub>
          <m:sSubPr/>
          <m:e>
            <m:r>
              <m:t>W</m:t>
            </m:r>
          </m:e>
          <m:sub>
            <m:r>
              <m:t>0</m:t>
            </m:r>
          </m:sub>
        </m:sSub>
      </m:oMath>
      <w:r>
        <w:t xml:space="preserve"> one by one and executes the backward computation from layer 3 to layer 0 (blue blocks). In WeiPipe-Naive, workers with lower index finish earlier than those with higher index. So, a smaller-indexed worker starts to perform the backward pass, a larger-indexes worker might still be engaged in the forward pass. Thus, the weights for both forward and backward need to be transferred simultaneously. To facilitate this, each worker holds weights for both forward and backward. Figure </w:t>
      </w:r>
      <w:r>
        <w:fldChar w:fldCharType="begin"/>
      </w:r>
      <w:r>
        <w:instrText xml:space="preserve"> HYPERLINK \l "fig:weipipe-naive" \h </w:instrText>
      </w:r>
      <w:r>
        <w:fldChar w:fldCharType="separate"/>
      </w:r>
      <w:r>
        <w:rPr>
          <w:rStyle w:val="16"/>
        </w:rPr>
        <w:t>1</w:t>
      </w:r>
      <w:r>
        <w:rPr>
          <w:rStyle w:val="16"/>
        </w:rPr>
        <w:fldChar w:fldCharType="end"/>
      </w:r>
      <w:r>
        <w:t xml:space="preserve"> from </w:t>
      </w:r>
      <m:oMath>
        <m:r>
          <m:t>t</m:t>
        </m:r>
        <m:r>
          <m:rPr>
            <m:sty m:val="p"/>
          </m:rPr>
          <m:t>=</m:t>
        </m:r>
        <m:r>
          <m:t>4</m:t>
        </m:r>
      </m:oMath>
      <w:r>
        <w:t xml:space="preserve"> to </w:t>
      </w:r>
      <m:oMath>
        <m:r>
          <m:t>8</m:t>
        </m:r>
      </m:oMath>
      <w:r>
        <w:t xml:space="preserve"> presents the backward pass of worker 0 and worker 0 can initiate another cycle for a new micro-batch after </w:t>
      </w:r>
      <m:oMath>
        <m:r>
          <m:t>t</m:t>
        </m:r>
        <m:r>
          <m:rPr>
            <m:sty m:val="p"/>
          </m:rPr>
          <m:t>=</m:t>
        </m:r>
        <m:r>
          <m:t>8</m:t>
        </m:r>
      </m:oMath>
      <w:r>
        <w:t>.</w:t>
      </w:r>
    </w:p>
    <w:p>
      <w:r>
        <w:t>During the update pass, each worker utilizes the weight gradients (</w:t>
      </w:r>
      <m:oMath>
        <m:r>
          <m:t>D</m:t>
        </m:r>
      </m:oMath>
      <w:r>
        <w:t xml:space="preserve">s) to update the weights. However, since weights cycle among workers and each worker just generates a piece of </w:t>
      </w:r>
      <m:oMath>
        <m:r>
          <m:t>D</m:t>
        </m:r>
      </m:oMath>
      <w:r>
        <w:t xml:space="preserve">s for their micro-batch, updating the weights of a layer requires gathering all corresponding </w:t>
      </w:r>
      <m:oMath>
        <m:r>
          <m:t>D</m:t>
        </m:r>
      </m:oMath>
      <w:r>
        <w:t xml:space="preserve">s. In DP, the all-reduce primitive is used to collect </w:t>
      </w:r>
      <m:oMath>
        <m:r>
          <m:t>D</m:t>
        </m:r>
      </m:oMath>
      <w:r>
        <w:t xml:space="preserve">s. WeiPipe aims to use only P2P communications, so </w:t>
      </w:r>
      <m:oMath>
        <m:r>
          <m:t>D</m:t>
        </m:r>
      </m:oMath>
      <w:r>
        <w:t xml:space="preserve">s also circulate through the ring after it is generated. Taking worker 0 in Figure </w:t>
      </w:r>
      <w:r>
        <w:fldChar w:fldCharType="begin"/>
      </w:r>
      <w:r>
        <w:instrText xml:space="preserve"> HYPERLINK \l "fig:weipipe-naive" \h </w:instrText>
      </w:r>
      <w:r>
        <w:fldChar w:fldCharType="separate"/>
      </w:r>
      <w:r>
        <w:rPr>
          <w:rStyle w:val="16"/>
        </w:rPr>
        <w:t>1</w:t>
      </w:r>
      <w:r>
        <w:rPr>
          <w:rStyle w:val="16"/>
        </w:rPr>
        <w:fldChar w:fldCharType="end"/>
      </w:r>
      <w:r>
        <w:t xml:space="preserve"> as an example, at </w:t>
      </w:r>
      <m:oMath>
        <m:r>
          <m:t>t</m:t>
        </m:r>
        <m:r>
          <m:rPr>
            <m:sty m:val="p"/>
          </m:rPr>
          <m:t>=</m:t>
        </m:r>
        <m:r>
          <m:t>4</m:t>
        </m:r>
      </m:oMath>
      <w:r>
        <w:t xml:space="preserve">, worker 0 performs the backward pass for layer 3 with </w:t>
      </w:r>
      <m:oMath>
        <m:sSub>
          <m:sSubPr/>
          <m:e>
            <m:r>
              <m:t>W</m:t>
            </m:r>
          </m:e>
          <m:sub>
            <m:r>
              <m:t>3</m:t>
            </m:r>
          </m:sub>
        </m:sSub>
      </m:oMath>
      <w:r>
        <w:t xml:space="preserve"> and generates </w:t>
      </w:r>
      <m:oMath>
        <m:sSub>
          <m:sSubPr/>
          <m:e>
            <m:r>
              <m:t>D</m:t>
            </m:r>
          </m:e>
          <m:sub>
            <m:r>
              <m:t>3</m:t>
            </m:r>
          </m:sub>
        </m:sSub>
      </m:oMath>
      <w:r>
        <w:t xml:space="preserve">. Then </w:t>
      </w:r>
      <m:oMath>
        <m:sSub>
          <m:sSubPr/>
          <m:e>
            <m:r>
              <m:t>D</m:t>
            </m:r>
          </m:e>
          <m:sub>
            <m:r>
              <m:t>3</m:t>
            </m:r>
          </m:sub>
        </m:sSub>
      </m:oMath>
      <w:r>
        <w:t xml:space="preserve"> travels together with </w:t>
      </w:r>
      <m:oMath>
        <m:sSub>
          <m:sSubPr/>
          <m:e>
            <m:r>
              <m:t>W</m:t>
            </m:r>
          </m:e>
          <m:sub>
            <m:r>
              <m:t>3</m:t>
            </m:r>
          </m:sub>
        </m:sSub>
      </m:oMath>
      <w:r>
        <w:t xml:space="preserve"> around the circle. Each worker that processes layer 3 backward will average, sum, or normalize the newly generated </w:t>
      </w:r>
      <m:oMath>
        <m:sSub>
          <m:sSubPr/>
          <m:e>
            <m:r>
              <m:t>D</m:t>
            </m:r>
          </m:e>
          <m:sub>
            <m:r>
              <m:t>3</m:t>
            </m:r>
          </m:sub>
        </m:sSub>
      </m:oMath>
      <w:r>
        <w:t xml:space="preserve"> with the existing </w:t>
      </w:r>
      <m:oMath>
        <m:sSub>
          <m:sSubPr/>
          <m:e>
            <m:r>
              <m:t>D</m:t>
            </m:r>
          </m:e>
          <m:sub>
            <m:r>
              <m:t>3</m:t>
            </m:r>
          </m:sub>
        </m:sSub>
      </m:oMath>
      <w:r>
        <w:t xml:space="preserve"> and keep the communication volume unchanged. This circular process repeats until all micro-batches are processed, at which point each worker updates </w:t>
      </w:r>
      <m:oMath>
        <m:r>
          <m:t>W</m:t>
        </m:r>
      </m:oMath>
      <w:r>
        <w:t xml:space="preserve">s and </w:t>
      </w:r>
      <m:oMath>
        <m:r>
          <m:t>D</m:t>
        </m:r>
      </m:oMath>
      <w:r>
        <w:t>s it holds using the specified optimizer. Since each worker updates one layer of weights, it also stores the corresponding layer of optimization state, which does not need to be transmitted between workers.</w:t>
      </w:r>
    </w:p>
    <w:bookmarkEnd w:id="7"/>
    <w:p>
      <w:pPr>
        <w:pStyle w:val="3"/>
      </w:pPr>
      <w:bookmarkStart w:id="8" w:name="Xdba990174c9b06482c986954c9453b8386bb5b8"/>
      <w:r>
        <w:t>3.2 WeiPipe-Interleave for Lower Bubble Ratio</w:t>
      </w:r>
    </w:p>
    <w:p>
      <w:pPr>
        <w:jc w:val="center"/>
      </w:pPr>
      <w:r>
        <w:drawing>
          <wp:inline distT="0" distB="0" distL="114300" distR="114300">
            <wp:extent cx="5270500" cy="2283460"/>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7"/>
                    <a:stretch>
                      <a:fillRect/>
                    </a:stretch>
                  </pic:blipFill>
                  <pic:spPr>
                    <a:xfrm>
                      <a:off x="0" y="0"/>
                      <a:ext cx="5270500" cy="2284088"/>
                    </a:xfrm>
                    <a:prstGeom prst="rect">
                      <a:avLst/>
                    </a:prstGeom>
                    <a:noFill/>
                    <a:ln w="9525">
                      <a:noFill/>
                    </a:ln>
                  </pic:spPr>
                </pic:pic>
              </a:graphicData>
            </a:graphic>
          </wp:inline>
        </w:drawing>
      </w:r>
    </w:p>
    <w:p>
      <w:pPr>
        <w:pStyle w:val="33"/>
        <w:jc w:val="center"/>
      </w:pPr>
      <w:r>
        <w:t>Figure 3. WeiPipe-zero-bubble 1. Green block for the forward pass, blue block for the B pass, and purple block for the W pass. B</w:t>
      </w:r>
      <w:r>
        <w:rPr>
          <w:vertAlign w:val="superscript"/>
        </w:rPr>
        <w:t>i</w:t>
      </w:r>
      <w:r>
        <w:rPr>
          <w:vertAlign w:val="subscript"/>
        </w:rPr>
        <w:t>j</w:t>
      </w:r>
      <w:r>
        <w:t xml:space="preserve"> denotes the gradients of activations of jth layer in ith micro-batch. The intermediate gradients between layers are ignored.</w:t>
      </w:r>
    </w:p>
    <w:p>
      <w:r>
        <w:t>There are major flaws of WeiPipe-Naive. There are two weight-flow circulating simultaneously, but only one is used for the current computation. The redundant transmission of weights increases transmission costs. Most crucially, the computational time for the backward pass of a layer is approximately twice that of the forward pass. When one worker executes the backward pass, it significantly increases the pipeline bubble for other workers currently engaged in the forward pass. To address these issues, we interleave the forward and backward passes and get the WeiPipe-Interleave strategy.</w:t>
      </w:r>
    </w:p>
    <w:p>
      <w:r>
        <w:t xml:space="preserve">The idea is to utilize the weights at the diagonal positions of the circle for another micro-batch forward or backward computation. The initial forward process is the same as that of WeiPipe-Naive. Figure </w:t>
      </w:r>
      <w:r>
        <w:fldChar w:fldCharType="begin"/>
      </w:r>
      <w:r>
        <w:instrText xml:space="preserve"> HYPERLINK \l "fig:weipipe-interleave" \h </w:instrText>
      </w:r>
      <w:r>
        <w:fldChar w:fldCharType="separate"/>
      </w:r>
      <w:r>
        <w:rPr>
          <w:rStyle w:val="16"/>
        </w:rPr>
        <w:t>2</w:t>
      </w:r>
      <w:r>
        <w:rPr>
          <w:rStyle w:val="16"/>
        </w:rPr>
        <w:fldChar w:fldCharType="end"/>
      </w:r>
      <w:r>
        <w:t xml:space="preserve"> illustrates the interleaving forward and backward from </w:t>
      </w:r>
      <m:oMath>
        <m:r>
          <m:t>t</m:t>
        </m:r>
        <m:r>
          <m:rPr>
            <m:sty m:val="p"/>
          </m:rPr>
          <m:t>=</m:t>
        </m:r>
        <m:r>
          <m:t>4</m:t>
        </m:r>
      </m:oMath>
      <w:r>
        <w:t xml:space="preserve"> to </w:t>
      </w:r>
      <m:oMath>
        <m:r>
          <m:t>11</m:t>
        </m:r>
      </m:oMath>
      <w:r>
        <w:t xml:space="preserve">. At </w:t>
      </w:r>
      <m:oMath>
        <m:r>
          <m:t>t</m:t>
        </m:r>
        <m:r>
          <m:rPr>
            <m:sty m:val="p"/>
          </m:rPr>
          <m:t>=</m:t>
        </m:r>
        <m:r>
          <m:t>4</m:t>
        </m:r>
      </m:oMath>
      <w:r>
        <w:t xml:space="preserve">, worker 0 begins to perform the backward pass. In the meantime, it utilizes the </w:t>
      </w:r>
      <m:oMath>
        <m:sSub>
          <m:sSubPr/>
          <m:e>
            <m:r>
              <m:t>W</m:t>
            </m:r>
          </m:e>
          <m:sub>
            <m:r>
              <m:t>0</m:t>
            </m:r>
          </m:sub>
        </m:sSub>
      </m:oMath>
      <w:r>
        <w:t xml:space="preserve"> to perform the forward pass of a new micro-batch’s input. Therefore, in this position, worker 0 will execute one backward and one forward before the circle makes another turn. During this time, other workers can only perform one forward operation and wait for worker 0’s computation to finish. In the subsequent turn, workers 0 to 3 also enter the forward-backward interleave stage when the computation workloads are balanced between workers.</w:t>
      </w:r>
    </w:p>
    <w:p>
      <w:r>
        <w:t xml:space="preserve">There is no pipeline bubble during the forward-backward interleave stage, no matter how different the workloads of backward and forward are. Each worker can also decide their own execution order for the forward and backward passes based on their data transmission situation. In addition, idle memory during forward and backward passes is utilized to store activation values generated by new micro-batches, as shown in Figure </w:t>
      </w:r>
      <w:r>
        <w:fldChar w:fldCharType="begin"/>
      </w:r>
      <w:r>
        <w:instrText xml:space="preserve"> HYPERLINK \l "fig:weipipe-naive" \h </w:instrText>
      </w:r>
      <w:r>
        <w:fldChar w:fldCharType="separate"/>
      </w:r>
      <w:r>
        <w:rPr>
          <w:rStyle w:val="16"/>
        </w:rPr>
        <w:t>1</w:t>
      </w:r>
      <w:r>
        <w:rPr>
          <w:rStyle w:val="16"/>
        </w:rPr>
        <w:fldChar w:fldCharType="end"/>
      </w:r>
      <w:r>
        <w:t xml:space="preserve">, resulting in a balanced storage utilization across different workers and times. WeiPipe-Interleave further reduces communication overhead. For the LLama structure that has </w:t>
      </w:r>
      <m:oMath>
        <m:r>
          <m:t>12</m:t>
        </m:r>
        <m:sSup>
          <m:sSupPr/>
          <m:e>
            <m:r>
              <m:t>H</m:t>
            </m:r>
          </m:e>
          <m:sup>
            <m:r>
              <m:t>2</m:t>
            </m:r>
          </m:sup>
        </m:sSup>
      </m:oMath>
      <w:r>
        <w:t xml:space="preserve"> parameters in one layer, during the forward-backward interleave stage, each worker receives two layers of weights and one layer of </w:t>
      </w:r>
      <m:oMath>
        <m:r>
          <m:t>D</m:t>
        </m:r>
      </m:oMath>
      <w:r>
        <w:t xml:space="preserve"> in each turn. The communication volume is </w:t>
      </w:r>
      <m:oMath>
        <m:r>
          <m:t>36</m:t>
        </m:r>
        <m:sSup>
          <m:sSupPr/>
          <m:e>
            <m:r>
              <m:t>H</m:t>
            </m:r>
          </m:e>
          <m:sup>
            <m:r>
              <m:t>2</m:t>
            </m:r>
          </m:sup>
        </m:sSup>
      </m:oMath>
      <w:r>
        <w:t>, which doubles the compute/commute ratio compared to WeiPipe-Naive.</w:t>
      </w:r>
    </w:p>
    <w:bookmarkEnd w:id="8"/>
    <w:p>
      <w:pPr>
        <w:pStyle w:val="3"/>
      </w:pPr>
      <w:bookmarkStart w:id="9" w:name="sec:zero_bubble"/>
      <w:r>
        <w:t>3.3 WeiPipe-zero-bubble</w:t>
      </w:r>
    </w:p>
    <w:p>
      <w:pPr>
        <w:jc w:val="center"/>
      </w:pPr>
      <w:r>
        <w:drawing>
          <wp:inline distT="0" distB="0" distL="114300" distR="114300">
            <wp:extent cx="5270500" cy="346837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8"/>
                    <a:stretch>
                      <a:fillRect/>
                    </a:stretch>
                  </pic:blipFill>
                  <pic:spPr>
                    <a:xfrm>
                      <a:off x="0" y="0"/>
                      <a:ext cx="5270500" cy="3468437"/>
                    </a:xfrm>
                    <a:prstGeom prst="rect">
                      <a:avLst/>
                    </a:prstGeom>
                    <a:noFill/>
                    <a:ln w="9525">
                      <a:noFill/>
                    </a:ln>
                  </pic:spPr>
                </pic:pic>
              </a:graphicData>
            </a:graphic>
          </wp:inline>
        </w:drawing>
      </w:r>
    </w:p>
    <w:p>
      <w:pPr>
        <w:pStyle w:val="33"/>
        <w:jc w:val="center"/>
      </w:pPr>
      <w:r>
        <w:t>Figure 4. WeiPipe-zero-bubble 2. The worker 3 stages the updated weights at the end of each round and delivers these weights one by one to the worker 0 for the next round. This arrangement will not exceed the peak memory of worker 3.</w:t>
      </w:r>
    </w:p>
    <w:p>
      <w:r>
        <w:t>To further explore the potential of WeiPipe, we present a design that combines WeiPipe with the zero-bubble pipeline. Zero-bubble strategies are state-of-the-art PP that split the backward computation into a B pass and a W pass to achieve almost zero-bubble. In the zero-bubble pipeline, the B pass computes gradients for activations, and the W pass computes gradients for weights. The B pass is performed in a back-propagation manner, while the W pass can be delayed to fill the blanks in the pipeline. Based on this decouple method, we introduce WeiPipe-zero-bubble 1(WZB1), which slightly reduces the bubble ratio compared to WeiPipe-Interleave with relatively low storage and communication overhead, and WeiPipe-zero-bubble 2 (WZB2), which achieves a nearly zero bubble configuration.</w:t>
      </w:r>
    </w:p>
    <w:p>
      <w:r>
        <w:t xml:space="preserve">Figure </w:t>
      </w:r>
      <w:r>
        <w:fldChar w:fldCharType="begin"/>
      </w:r>
      <w:r>
        <w:instrText xml:space="preserve"> HYPERLINK \l "fig:weipipe-zero-1" \h </w:instrText>
      </w:r>
      <w:r>
        <w:fldChar w:fldCharType="separate"/>
      </w:r>
      <w:r>
        <w:rPr>
          <w:rStyle w:val="16"/>
        </w:rPr>
        <w:t>3</w:t>
      </w:r>
      <w:r>
        <w:rPr>
          <w:rStyle w:val="16"/>
        </w:rPr>
        <w:fldChar w:fldCharType="end"/>
      </w:r>
      <w:r>
        <w:t xml:space="preserve"> shows the WZB1 procedure from </w:t>
      </w:r>
      <m:oMath>
        <m:r>
          <m:t>t</m:t>
        </m:r>
        <m:r>
          <m:rPr>
            <m:sty m:val="p"/>
          </m:rPr>
          <m:t>=</m:t>
        </m:r>
        <m:r>
          <m:t>4</m:t>
        </m:r>
      </m:oMath>
      <w:r>
        <w:t xml:space="preserve">. Blue blocks represent B passes, while purple blocks denote W passes. At </w:t>
      </w:r>
      <m:oMath>
        <m:r>
          <m:t>t</m:t>
        </m:r>
        <m:r>
          <m:rPr>
            <m:sty m:val="p"/>
          </m:rPr>
          <m:t>=</m:t>
        </m:r>
        <m:r>
          <m:t>4</m:t>
        </m:r>
      </m:oMath>
      <w:r>
        <w:t xml:space="preserve">, worker 0 performs two tasks: forward of layer 0 on a new micro-batch (micro-batch 4) with </w:t>
      </w:r>
      <m:oMath>
        <m:sSub>
          <m:sSubPr/>
          <m:e>
            <m:r>
              <m:t>W</m:t>
            </m:r>
          </m:e>
          <m:sub>
            <m:r>
              <m:t>0</m:t>
            </m:r>
          </m:sub>
        </m:sSub>
      </m:oMath>
      <w:r>
        <w:t xml:space="preserve">, generating </w:t>
      </w:r>
      <m:oMath>
        <m:sSubSup>
          <m:sSubSupPr/>
          <m:e>
            <m:r>
              <m:t>A</m:t>
            </m:r>
          </m:e>
          <m:sub>
            <m:r>
              <m:t>0</m:t>
            </m:r>
          </m:sub>
          <m:sup>
            <m:r>
              <m:t>4</m:t>
            </m:r>
          </m:sup>
        </m:sSubSup>
      </m:oMath>
      <w:r>
        <w:t xml:space="preserve">; the B pass of layer 3 with </w:t>
      </w:r>
      <m:oMath>
        <m:sSub>
          <m:sSubPr/>
          <m:e>
            <m:r>
              <m:t>W</m:t>
            </m:r>
          </m:e>
          <m:sub>
            <m:r>
              <m:t>3</m:t>
            </m:r>
          </m:sub>
        </m:sSub>
      </m:oMath>
      <w:r>
        <w:t xml:space="preserve"> on the old micro-batch (micro-batch 0), producing the activation gradient </w:t>
      </w:r>
      <m:oMath>
        <m:sSubSup>
          <m:sSubSupPr/>
          <m:e>
            <m:r>
              <m:t>B</m:t>
            </m:r>
          </m:e>
          <m:sub>
            <m:r>
              <m:t>3</m:t>
            </m:r>
          </m:sub>
          <m:sup>
            <m:r>
              <m:t>0</m:t>
            </m:r>
          </m:sup>
        </m:sSubSup>
      </m:oMath>
      <w:r>
        <w:t xml:space="preserve">. Worker 0 still holds the portion of the </w:t>
      </w:r>
      <m:oMath>
        <m:sSubSup>
          <m:sSubSupPr/>
          <m:e>
            <m:r>
              <m:t>A</m:t>
            </m:r>
          </m:e>
          <m:sub>
            <m:r>
              <m:t>3</m:t>
            </m:r>
          </m:sub>
          <m:sup>
            <m:r>
              <m:t>0</m:t>
            </m:r>
          </m:sup>
        </m:sSubSup>
      </m:oMath>
      <w:r>
        <w:t xml:space="preserve"> after </w:t>
      </w:r>
      <m:oMath>
        <m:r>
          <m:t>t</m:t>
        </m:r>
        <m:r>
          <m:rPr>
            <m:sty m:val="p"/>
          </m:rPr>
          <m:t>=</m:t>
        </m:r>
        <m:r>
          <m:t>4</m:t>
        </m:r>
      </m:oMath>
      <w:r>
        <w:t xml:space="preserve"> to support the future W pass on </w:t>
      </w:r>
      <m:oMath>
        <m:sSub>
          <m:sSubPr/>
          <m:e>
            <m:r>
              <m:t>W</m:t>
            </m:r>
          </m:e>
          <m:sub>
            <m:r>
              <m:t>3</m:t>
            </m:r>
          </m:sub>
        </m:sSub>
      </m:oMath>
      <w:r>
        <w:t xml:space="preserve">. Unlike WeiPipe-Interleave, </w:t>
      </w:r>
      <m:oMath>
        <m:sSub>
          <m:sSubPr/>
          <m:e>
            <m:r>
              <m:t>W</m:t>
            </m:r>
          </m:e>
          <m:sub>
            <m:r>
              <m:t>1</m:t>
            </m:r>
          </m:sub>
        </m:sSub>
      </m:oMath>
      <w:r>
        <w:t xml:space="preserve"> for the backward pass is placed together with </w:t>
      </w:r>
      <m:oMath>
        <m:sSub>
          <m:sSubPr/>
          <m:e>
            <m:r>
              <m:t>W</m:t>
            </m:r>
          </m:e>
          <m:sub>
            <m:r>
              <m:t>3</m:t>
            </m:r>
          </m:sub>
        </m:sSub>
      </m:oMath>
      <w:r>
        <w:t xml:space="preserve"> in the circle. The red text in Figure </w:t>
      </w:r>
      <w:r>
        <w:fldChar w:fldCharType="begin"/>
      </w:r>
      <w:r>
        <w:instrText xml:space="preserve"> HYPERLINK \l "fig:weipipe-zero-1" \h </w:instrText>
      </w:r>
      <w:r>
        <w:fldChar w:fldCharType="separate"/>
      </w:r>
      <w:r>
        <w:rPr>
          <w:rStyle w:val="16"/>
        </w:rPr>
        <w:t>3</w:t>
      </w:r>
      <w:r>
        <w:rPr>
          <w:rStyle w:val="16"/>
        </w:rPr>
        <w:fldChar w:fldCharType="end"/>
      </w:r>
      <w:r>
        <w:t xml:space="preserve"> indicates the data used by the worker at current. At </w:t>
      </w:r>
      <m:oMath>
        <m:r>
          <m:t>t</m:t>
        </m:r>
        <m:r>
          <m:rPr>
            <m:sty m:val="p"/>
          </m:rPr>
          <m:t>=</m:t>
        </m:r>
        <m:r>
          <m:t>5</m:t>
        </m:r>
      </m:oMath>
      <w:r>
        <w:t xml:space="preserve">, worker 0 performs the W pass, consuming </w:t>
      </w:r>
      <m:oMath>
        <m:sSubSup>
          <m:sSubSupPr/>
          <m:e>
            <m:r>
              <m:t>A</m:t>
            </m:r>
          </m:e>
          <m:sub>
            <m:r>
              <m:t>3</m:t>
            </m:r>
          </m:sub>
          <m:sup>
            <m:r>
              <m:t>0</m:t>
            </m:r>
          </m:sup>
        </m:sSubSup>
      </m:oMath>
      <w:r>
        <w:t xml:space="preserve"> and </w:t>
      </w:r>
      <m:oMath>
        <m:sSubSup>
          <m:sSubSupPr/>
          <m:e>
            <m:r>
              <m:t>B</m:t>
            </m:r>
          </m:e>
          <m:sub>
            <m:r>
              <m:t>3</m:t>
            </m:r>
          </m:sub>
          <m:sup>
            <m:r>
              <m:t>0</m:t>
            </m:r>
          </m:sup>
        </m:sSubSup>
      </m:oMath>
      <w:r>
        <w:t xml:space="preserve"> to generate </w:t>
      </w:r>
      <m:oMath>
        <m:sSub>
          <m:sSubPr/>
          <m:e>
            <m:r>
              <m:t>D</m:t>
            </m:r>
          </m:e>
          <m:sub>
            <m:r>
              <m:t>3</m:t>
            </m:r>
          </m:sub>
        </m:sSub>
      </m:oMath>
      <w:r>
        <w:t xml:space="preserve"> in the circle, which will be sent to worker 1. Simultaneously, worker 0 also conducts the forward pass of micro-batch 4 with </w:t>
      </w:r>
      <m:oMath>
        <m:sSub>
          <m:sSubPr/>
          <m:e>
            <m:r>
              <m:t>W</m:t>
            </m:r>
          </m:e>
          <m:sub>
            <m:r>
              <m:t>1</m:t>
            </m:r>
          </m:sub>
        </m:sSub>
      </m:oMath>
      <w:r>
        <w:t xml:space="preserve">. This process continues with alternating "one-forward-one-B" and "one-forward-one-W" until the forward pass of micro-batch 4 is completed. Then, at </w:t>
      </w:r>
      <m:oMath>
        <m:r>
          <m:t>t</m:t>
        </m:r>
        <m:r>
          <m:rPr>
            <m:sty m:val="p"/>
          </m:rPr>
          <m:t>=</m:t>
        </m:r>
        <m:r>
          <m:t>8</m:t>
        </m:r>
      </m:oMath>
      <w:r>
        <w:t xml:space="preserve">, worker 0 performs two B passes–one for micro-batch 0 with </w:t>
      </w:r>
      <m:oMath>
        <m:sSub>
          <m:sSubPr/>
          <m:e>
            <m:r>
              <m:t>W</m:t>
            </m:r>
          </m:e>
          <m:sub>
            <m:r>
              <m:t>1</m:t>
            </m:r>
          </m:sub>
        </m:sSub>
      </m:oMath>
      <w:r>
        <w:t xml:space="preserve"> and one for micro-batch 4 with </w:t>
      </w:r>
      <m:oMath>
        <m:sSub>
          <m:sSubPr/>
          <m:e>
            <m:r>
              <m:t>W</m:t>
            </m:r>
          </m:e>
          <m:sub>
            <m:r>
              <m:t>3</m:t>
            </m:r>
          </m:sub>
        </m:sSub>
      </m:oMath>
      <w:r>
        <w:t xml:space="preserve">. From </w:t>
      </w:r>
      <m:oMath>
        <m:r>
          <m:t>t</m:t>
        </m:r>
        <m:r>
          <m:rPr>
            <m:sty m:val="p"/>
          </m:rPr>
          <m:t>=</m:t>
        </m:r>
        <m:r>
          <m:t>8</m:t>
        </m:r>
      </m:oMath>
      <w:r>
        <w:t xml:space="preserve"> to </w:t>
      </w:r>
      <m:oMath>
        <m:r>
          <m:t>11</m:t>
        </m:r>
      </m:oMath>
      <w:r>
        <w:t xml:space="preserve">, worker 0 alternates between two B passes and two W passes until </w:t>
      </w:r>
      <m:oMath>
        <m:r>
          <m:t>t</m:t>
        </m:r>
        <m:r>
          <m:rPr>
            <m:sty m:val="p"/>
          </m:rPr>
          <m:t>=</m:t>
        </m:r>
        <m:r>
          <m:t>12</m:t>
        </m:r>
      </m:oMath>
      <w:r>
        <w:t xml:space="preserve"> when all passes for micro-batch 0 are completed, and the forward pass for a new micro-batch (micro-batch 8) begins.</w:t>
      </w:r>
    </w:p>
    <w:p>
      <w:r>
        <w:t xml:space="preserve">Figure </w:t>
      </w:r>
      <w:r>
        <w:fldChar w:fldCharType="begin"/>
      </w:r>
      <w:r>
        <w:instrText xml:space="preserve"> HYPERLINK \l "fig:weipipe-zero-1" \h </w:instrText>
      </w:r>
      <w:r>
        <w:fldChar w:fldCharType="separate"/>
      </w:r>
      <w:r>
        <w:rPr>
          <w:rStyle w:val="16"/>
        </w:rPr>
        <w:t>3</w:t>
      </w:r>
      <w:r>
        <w:rPr>
          <w:rStyle w:val="16"/>
        </w:rPr>
        <w:fldChar w:fldCharType="end"/>
      </w:r>
      <w:r>
        <w:t xml:space="preserve"> illustrates the arrangement of data in the ring. </w:t>
      </w:r>
      <m:oMath>
        <m:sSub>
          <m:sSubPr/>
          <m:e>
            <m:r>
              <m:t>W</m:t>
            </m:r>
          </m:e>
          <m:sub>
            <m:r>
              <m:t>0</m:t>
            </m:r>
          </m:sub>
        </m:sSub>
      </m:oMath>
      <w:r>
        <w:t xml:space="preserve"> to </w:t>
      </w:r>
      <m:oMath>
        <m:sSub>
          <m:sSubPr/>
          <m:e>
            <m:r>
              <m:t>W</m:t>
            </m:r>
          </m:e>
          <m:sub>
            <m:r>
              <m:t>3</m:t>
            </m:r>
          </m:sub>
        </m:sSub>
      </m:oMath>
      <w:r>
        <w:t xml:space="preserve"> for the forward pass are consistent with the previous strategy. The weights for the B pass and the gradients generated by the W pass are placed in pairs. Generally, for a network with </w:t>
      </w:r>
      <m:oMath>
        <m:r>
          <m:t>L</m:t>
        </m:r>
      </m:oMath>
      <w:r>
        <w:t xml:space="preserve"> layers, </w:t>
      </w:r>
      <m:oMath>
        <m:sSub>
          <m:sSubPr/>
          <m:e>
            <m:r>
              <m:t>W</m:t>
            </m:r>
          </m:e>
          <m:sub>
            <m:r>
              <m:t>L</m:t>
            </m:r>
            <m:r>
              <m:rPr>
                <m:sty m:val="p"/>
              </m:rPr>
              <m:t>−</m:t>
            </m:r>
            <m:r>
              <m:t>1</m:t>
            </m:r>
          </m:sub>
        </m:sSub>
      </m:oMath>
      <w:r>
        <w:t xml:space="preserve"> and </w:t>
      </w:r>
      <m:oMath>
        <m:sSub>
          <m:sSubPr/>
          <m:e>
            <m:r>
              <m:t>W</m:t>
            </m:r>
          </m:e>
          <m:sub>
            <m:f>
              <m:fPr/>
              <m:num>
                <m:r>
                  <m:t>L</m:t>
                </m:r>
              </m:num>
              <m:den>
                <m:r>
                  <m:t>2</m:t>
                </m:r>
              </m:den>
            </m:f>
            <m:r>
              <m:rPr>
                <m:sty m:val="p"/>
              </m:rPr>
              <m:t>−</m:t>
            </m:r>
            <m:r>
              <m:t>1</m:t>
            </m:r>
          </m:sub>
        </m:sSub>
      </m:oMath>
      <w:r>
        <w:t xml:space="preserve"> are placed together, </w:t>
      </w:r>
      <m:oMath>
        <m:sSub>
          <m:sSubPr/>
          <m:e>
            <m:r>
              <m:t>W</m:t>
            </m:r>
          </m:e>
          <m:sub>
            <m:r>
              <m:t>L</m:t>
            </m:r>
            <m:r>
              <m:rPr>
                <m:sty m:val="p"/>
              </m:rPr>
              <m:t>−</m:t>
            </m:r>
            <m:r>
              <m:t>2</m:t>
            </m:r>
          </m:sub>
        </m:sSub>
      </m:oMath>
      <w:r>
        <w:t xml:space="preserve"> and </w:t>
      </w:r>
      <m:oMath>
        <m:sSub>
          <m:sSubPr/>
          <m:e>
            <m:r>
              <m:t>W</m:t>
            </m:r>
          </m:e>
          <m:sub>
            <m:f>
              <m:fPr/>
              <m:num>
                <m:r>
                  <m:t>L</m:t>
                </m:r>
              </m:num>
              <m:den>
                <m:r>
                  <m:t>2</m:t>
                </m:r>
              </m:den>
            </m:f>
            <m:r>
              <m:rPr>
                <m:sty m:val="p"/>
              </m:rPr>
              <m:t>−</m:t>
            </m:r>
            <m:r>
              <m:t>2</m:t>
            </m:r>
          </m:sub>
        </m:sSub>
      </m:oMath>
      <w:r>
        <w:t xml:space="preserve"> are placed together, and so forth. The same pairing applies to </w:t>
      </w:r>
      <m:oMath>
        <m:r>
          <m:t>D</m:t>
        </m:r>
      </m:oMath>
      <w:r>
        <w:t>s. This arrangement ensures that each worker performs 2-chunk operations while transmitting 3 chunks of data to the next worker within one turn.</w:t>
      </w:r>
    </w:p>
    <w:p>
      <w:r>
        <w:t xml:space="preserve">WZB2 offers a more simple procedure with the same arrangement of </w:t>
      </w:r>
      <m:oMath>
        <m:r>
          <m:t>W</m:t>
        </m:r>
      </m:oMath>
      <w:r>
        <w:t xml:space="preserve">s and </w:t>
      </w:r>
      <m:oMath>
        <m:r>
          <m:t>D</m:t>
        </m:r>
      </m:oMath>
      <w:r>
        <w:t xml:space="preserve">s as WeiPipe-Interleave, as shown in Figure </w:t>
      </w:r>
      <w:r>
        <w:fldChar w:fldCharType="begin"/>
      </w:r>
      <w:r>
        <w:instrText xml:space="preserve"> HYPERLINK \l "fig:weipipe-zero-2" \h </w:instrText>
      </w:r>
      <w:r>
        <w:fldChar w:fldCharType="separate"/>
      </w:r>
      <w:r>
        <w:rPr>
          <w:rStyle w:val="16"/>
        </w:rPr>
        <w:t>4</w:t>
      </w:r>
      <w:r>
        <w:rPr>
          <w:rStyle w:val="16"/>
        </w:rPr>
        <w:fldChar w:fldCharType="end"/>
      </w:r>
      <w:r>
        <w:t xml:space="preserve">. In WZB2, the forward, B, &amp; W passes for all layers are executed sequentially within a worker. In particular, the W pass progresses from layer 0 to layer 3, matching the forward order. During the B pass, old versions of the weights can be discarded to reduce transmission, as indicated by the blanks from </w:t>
      </w:r>
      <m:oMath>
        <m:r>
          <m:t>t</m:t>
        </m:r>
        <m:r>
          <m:rPr>
            <m:sty m:val="p"/>
          </m:rPr>
          <m:t>=</m:t>
        </m:r>
        <m:r>
          <m:t>8</m:t>
        </m:r>
      </m:oMath>
      <w:r>
        <w:t xml:space="preserve"> to </w:t>
      </w:r>
      <m:oMath>
        <m:r>
          <m:t>11</m:t>
        </m:r>
      </m:oMath>
      <w:r>
        <w:t xml:space="preserve">. The last worker, worker 3, aggregates all </w:t>
      </w:r>
      <m:oMath>
        <m:r>
          <m:t>D</m:t>
        </m:r>
      </m:oMath>
      <w:r>
        <w:t xml:space="preserve">s and updates the weights. In the case in Figure </w:t>
      </w:r>
      <w:r>
        <w:fldChar w:fldCharType="begin"/>
      </w:r>
      <w:r>
        <w:instrText xml:space="preserve"> HYPERLINK \l "fig:weipipe-zero-2" \h </w:instrText>
      </w:r>
      <w:r>
        <w:fldChar w:fldCharType="separate"/>
      </w:r>
      <w:r>
        <w:rPr>
          <w:rStyle w:val="16"/>
        </w:rPr>
        <w:t>4</w:t>
      </w:r>
      <w:r>
        <w:rPr>
          <w:rStyle w:val="16"/>
        </w:rPr>
        <w:fldChar w:fldCharType="end"/>
      </w:r>
      <w:r>
        <w:t xml:space="preserve">, at </w:t>
      </w:r>
      <m:oMath>
        <m:r>
          <m:t>t</m:t>
        </m:r>
        <m:r>
          <m:rPr>
            <m:sty m:val="p"/>
          </m:rPr>
          <m:t>=</m:t>
        </m:r>
        <m:r>
          <m:t>11</m:t>
        </m:r>
      </m:oMath>
      <w:r>
        <w:t xml:space="preserve">, worker 3 holds the aggregated </w:t>
      </w:r>
      <m:oMath>
        <m:sSub>
          <m:sSubPr/>
          <m:e>
            <m:r>
              <m:t>D</m:t>
            </m:r>
          </m:e>
          <m:sub>
            <m:r>
              <m:t>0</m:t>
            </m:r>
          </m:sub>
        </m:sSub>
      </m:oMath>
      <w:r>
        <w:t xml:space="preserve"> updates </w:t>
      </w:r>
      <m:oMath>
        <m:sSub>
          <m:sSubPr/>
          <m:e>
            <m:r>
              <m:t>W</m:t>
            </m:r>
          </m:e>
          <m:sub>
            <m:r>
              <m:t>0</m:t>
            </m:r>
          </m:sub>
        </m:sSub>
      </m:oMath>
      <w:r>
        <w:t xml:space="preserve"> with the specified optimizer. Worker 3 then sends the updated </w:t>
      </w:r>
      <m:oMath>
        <m:sSub>
          <m:sSubPr/>
          <m:e>
            <m:r>
              <m:t>W</m:t>
            </m:r>
          </m:e>
          <m:sub>
            <m:r>
              <m:t>0</m:t>
            </m:r>
          </m:sub>
        </m:sSub>
      </m:oMath>
      <w:r>
        <w:t xml:space="preserve">, which initiates a new forward pass at </w:t>
      </w:r>
      <m:oMath>
        <m:r>
          <m:t>t</m:t>
        </m:r>
        <m:r>
          <m:rPr>
            <m:sty m:val="p"/>
          </m:rPr>
          <m:t>=</m:t>
        </m:r>
        <m:r>
          <m:t>12</m:t>
        </m:r>
      </m:oMath>
      <w:r>
        <w:t>. This seamless handover allows for frequent weight updates with fewer micro-batches and achieves almost zero bubble. WZB2 incurs higher communication and storage costs, performing one chunk operation while transmitting two chunks of data to the next worker.</w:t>
      </w:r>
    </w:p>
    <w:bookmarkEnd w:id="6"/>
    <w:bookmarkEnd w:id="9"/>
    <w:p>
      <w:pPr>
        <w:pStyle w:val="2"/>
      </w:pPr>
      <w:bookmarkStart w:id="10" w:name="sec:analysis"/>
      <w:r>
        <w:t>4 Theoretical Analysis</w:t>
      </w:r>
    </w:p>
    <w:p>
      <w:pPr>
        <w:jc w:val="center"/>
      </w:pPr>
      <w:r>
        <w:drawing>
          <wp:inline distT="0" distB="0" distL="114300" distR="114300">
            <wp:extent cx="5270500" cy="6490335"/>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9"/>
                    <a:stretch>
                      <a:fillRect/>
                    </a:stretch>
                  </pic:blipFill>
                  <pic:spPr>
                    <a:xfrm>
                      <a:off x="0" y="0"/>
                      <a:ext cx="5270500" cy="6490371"/>
                    </a:xfrm>
                    <a:prstGeom prst="rect">
                      <a:avLst/>
                    </a:prstGeom>
                    <a:noFill/>
                    <a:ln w="9525">
                      <a:noFill/>
                    </a:ln>
                  </pic:spPr>
                </pic:pic>
              </a:graphicData>
            </a:graphic>
          </wp:inline>
        </w:drawing>
      </w:r>
    </w:p>
    <w:p>
      <w:pPr>
        <w:pStyle w:val="33"/>
        <w:jc w:val="center"/>
      </w:pPr>
      <w:r>
        <w:t>Figure 5. The comparison of WeiPipe with other pipeline strategies. In the pipelining graph, the upper number in a block represents the layer index and the bottom number is the micro-batch index. The distribution graph in the equation table shows the theoretical bandwidth and memory usage of these strategies along devices and times. The specific value is calculated based on Llama-structure with H=4096, S=4096, N=12, G=32, and 32 heads Transformer. Memory distribution is estimated with alpha=0.6 based on statistics without recomputation and flash attention. The practical distribution could be distinct depending on implementation.</w:t>
      </w:r>
    </w:p>
    <w:p>
      <w:r>
        <w:t xml:space="preserve">Figure </w:t>
      </w:r>
      <w:r>
        <w:fldChar w:fldCharType="begin"/>
      </w:r>
      <w:r>
        <w:instrText xml:space="preserve"> HYPERLINK \l "fig:weipipe-comparision" \h </w:instrText>
      </w:r>
      <w:r>
        <w:fldChar w:fldCharType="separate"/>
      </w:r>
      <w:r>
        <w:rPr>
          <w:rStyle w:val="16"/>
        </w:rPr>
        <w:t>5</w:t>
      </w:r>
      <w:r>
        <w:rPr>
          <w:rStyle w:val="16"/>
        </w:rPr>
        <w:fldChar w:fldCharType="end"/>
      </w:r>
      <w:r>
        <w:t xml:space="preserve"> compares WeiPipe with other PP. WeiPipe-Interleave has the same bubble ratio as 1F1B. Both zero-bubble strategies reduce the bubble by multiplying a factor greater than 1 to </w:t>
      </w:r>
      <m:oMath>
        <m:r>
          <m:t>N</m:t>
        </m:r>
      </m:oMath>
      <w:r>
        <w:t xml:space="preserve"> in the bubble ratio equation. ZB2 and WZB2 have almost no bubbles along the iteration.</w:t>
      </w:r>
    </w:p>
    <w:p>
      <w:r>
        <w:t xml:space="preserve">Communication efficiency is assessed by dividing the total number of data received by the computation time (bandwidth usage). Different zones of a pipeline strategy have different communication densities. Figure </w:t>
      </w:r>
      <w:r>
        <w:fldChar w:fldCharType="begin"/>
      </w:r>
      <w:r>
        <w:instrText xml:space="preserve"> HYPERLINK \l "fig:weipipe-comparision" \h </w:instrText>
      </w:r>
      <w:r>
        <w:fldChar w:fldCharType="separate"/>
      </w:r>
      <w:r>
        <w:rPr>
          <w:rStyle w:val="16"/>
        </w:rPr>
        <w:t>5</w:t>
      </w:r>
      <w:r>
        <w:rPr>
          <w:rStyle w:val="16"/>
        </w:rPr>
        <w:fldChar w:fldCharType="end"/>
      </w:r>
      <w:r>
        <w:t xml:space="preserve"> presents the equation for the theoretical bandwidth usage of Zone 1, where passes are fully alternated (Zone 0 for WZB2). For activation-passing PP, the equation is derived from middle workers transmitting both </w:t>
      </w:r>
      <m:oMath>
        <m:r>
          <m:t>A</m:t>
        </m:r>
      </m:oMath>
      <w:r>
        <w:t xml:space="preserve">s and </w:t>
      </w:r>
      <m:oMath>
        <m:r>
          <m:t>B</m:t>
        </m:r>
      </m:oMath>
      <w:r>
        <w:t xml:space="preserve">s (so, there is a "2" in the equation). Communication for activation-passing strategies increases linearly with micro-batch size </w:t>
      </w:r>
      <m:oMath>
        <m:r>
          <m:t>G</m:t>
        </m:r>
      </m:oMath>
      <w:r>
        <w:t xml:space="preserve"> and sequence length </w:t>
      </w:r>
      <m:oMath>
        <m:r>
          <m:t>S</m:t>
        </m:r>
      </m:oMath>
      <w:r>
        <w:t xml:space="preserve">. In contrast, WeiPipe’s communication is dictated by the amount of weights, independent of </w:t>
      </w:r>
      <m:oMath>
        <m:r>
          <m:t>G</m:t>
        </m:r>
      </m:oMath>
      <w:r>
        <w:t xml:space="preserve"> and </w:t>
      </w:r>
      <m:oMath>
        <m:r>
          <m:t>S</m:t>
        </m:r>
      </m:oMath>
      <w:r>
        <w:t xml:space="preserve">. In this paper, LLama-style models are selected as standard models for analysis, where the number of weights per layer is </w:t>
      </w:r>
      <m:oMath>
        <m:r>
          <m:t>12</m:t>
        </m:r>
        <m:sSup>
          <m:sSupPr/>
          <m:e>
            <m:r>
              <m:t>H</m:t>
            </m:r>
          </m:e>
          <m:sup>
            <m:r>
              <m:t>2</m:t>
            </m:r>
          </m:sup>
        </m:sSup>
      </m:oMath>
      <w:r>
        <w:t xml:space="preserve">. WeiPipe-Interleave requires transmitting two chunks of </w:t>
      </w:r>
      <m:oMath>
        <m:r>
          <m:t>W</m:t>
        </m:r>
      </m:oMath>
      <w:r>
        <w:t xml:space="preserve"> and one chunk of </w:t>
      </w:r>
      <m:oMath>
        <m:r>
          <m:t>D</m:t>
        </m:r>
      </m:oMath>
      <w:r>
        <w:t xml:space="preserve">, resulting in a communication volume of </w:t>
      </w:r>
      <m:oMath>
        <m:r>
          <m:t>36</m:t>
        </m:r>
        <m:sSup>
          <m:sSupPr/>
          <m:e>
            <m:r>
              <m:t>H</m:t>
            </m:r>
          </m:e>
          <m:sup>
            <m:r>
              <m:t>2</m:t>
            </m:r>
          </m:sup>
        </m:sSup>
      </m:oMath>
      <w:r>
        <w:t xml:space="preserve"> at each turn with a time duration of </w:t>
      </w:r>
      <m:oMath>
        <m:f>
          <m:fPr/>
          <m:num>
            <m:sSub>
              <m:sSubPr/>
              <m:e>
                <m:r>
                  <m:t>T</m:t>
                </m:r>
              </m:e>
              <m:sub>
                <m:r>
                  <m:t>F</m:t>
                </m:r>
              </m:sub>
            </m:sSub>
            <m:r>
              <m:rPr>
                <m:sty m:val="p"/>
              </m:rPr>
              <m:t>+</m:t>
            </m:r>
            <m:sSub>
              <m:sSubPr/>
              <m:e>
                <m:r>
                  <m:t>T</m:t>
                </m:r>
              </m:e>
              <m:sub>
                <m:r>
                  <m:t>W</m:t>
                </m:r>
              </m:sub>
            </m:sSub>
          </m:num>
          <m:den>
            <m:r>
              <m:t>P</m:t>
            </m:r>
          </m:den>
        </m:f>
      </m:oMath>
      <w:r>
        <w:t xml:space="preserve">, where </w:t>
      </w:r>
      <m:oMath>
        <m:sSub>
          <m:sSubPr/>
          <m:e>
            <m:r>
              <m:t>T</m:t>
            </m:r>
          </m:e>
          <m:sub>
            <m:r>
              <m:t>F</m:t>
            </m:r>
          </m:sub>
        </m:sSub>
      </m:oMath>
      <w:r>
        <w:t xml:space="preserve"> and </w:t>
      </w:r>
      <m:oMath>
        <m:sSub>
          <m:sSubPr/>
          <m:e>
            <m:r>
              <m:t>T</m:t>
            </m:r>
          </m:e>
          <m:sub>
            <m:r>
              <m:t>F</m:t>
            </m:r>
          </m:sub>
        </m:sSub>
      </m:oMath>
      <w:r>
        <w:t xml:space="preserve"> is the time for a complete forward and backward respectively.</w:t>
      </w:r>
    </w:p>
    <w:p>
      <w:r>
        <w:t xml:space="preserve">Memory consumption is significantly affected by the specific implementations. Here, we provide a rough estimate of </w:t>
      </w:r>
      <m:oMath>
        <m:sSub>
          <m:sSubPr/>
          <m:e>
            <m:r>
              <m:t>M</m:t>
            </m:r>
          </m:e>
          <m:sub>
            <m:r>
              <m:t>A</m:t>
            </m:r>
          </m:sub>
        </m:sSub>
      </m:oMath>
      <w:r>
        <w:t xml:space="preserve">, </w:t>
      </w:r>
      <m:oMath>
        <m:sSub>
          <m:sSubPr/>
          <m:e>
            <m:r>
              <m:t>M</m:t>
            </m:r>
          </m:e>
          <m:sub>
            <m:r>
              <m:t>B</m:t>
            </m:r>
          </m:sub>
        </m:sSub>
      </m:oMath>
      <w:r>
        <w:t xml:space="preserve">, </w:t>
      </w:r>
      <m:oMath>
        <m:sSub>
          <m:sSubPr/>
          <m:e>
            <m:r>
              <m:t>M</m:t>
            </m:r>
          </m:e>
          <m:sub>
            <m:r>
              <m:t>W</m:t>
            </m:r>
          </m:sub>
        </m:sSub>
      </m:oMath>
      <w:r>
        <w:t xml:space="preserve">, and </w:t>
      </w:r>
      <m:oMath>
        <m:sSub>
          <m:sSubPr/>
          <m:e>
            <m:r>
              <m:t>M</m:t>
            </m:r>
          </m:e>
          <m:sub>
            <m:r>
              <m:t>D</m:t>
            </m:r>
          </m:sub>
        </m:sSub>
      </m:oMath>
      <w:r>
        <w:t xml:space="preserve"> based solely on the counts of these values, while ignoring factors such as communication buffers, embedding layers, and mixed precision training. For 1F1B and WeiPipe-Interleave, the dominant part is the storage of activations, measured as </w:t>
      </w:r>
      <m:oMath>
        <m:r>
          <m:t>G</m:t>
        </m:r>
        <m:sSub>
          <m:sSubPr/>
          <m:e>
            <m:r>
              <m:t>M</m:t>
            </m:r>
          </m:e>
          <m:sub>
            <m:r>
              <m:t>A</m:t>
            </m:r>
          </m:sub>
        </m:sSub>
      </m:oMath>
      <w:r>
        <w:t>. WeiPipe-Interleave has similar memory consumption as 1F1B but is more balanced. In strategies that separate the B pass and the W pass, one stage of the B pass (</w:t>
      </w:r>
      <m:oMath>
        <m:f>
          <m:fPr/>
          <m:num>
            <m:r>
              <m:t>1</m:t>
            </m:r>
          </m:num>
          <m:den>
            <m:r>
              <m:t>P</m:t>
            </m:r>
          </m:den>
        </m:f>
      </m:oMath>
      <w:r>
        <w:t xml:space="preserve"> of a complete B pass) will consume part of the activations </w:t>
      </w:r>
      <m:oMath>
        <m:sSub>
          <m:sSubPr/>
          <m:e>
            <m:r>
              <m:t>M</m:t>
            </m:r>
          </m:e>
          <m:sub>
            <m:r>
              <m:t>A</m:t>
            </m:r>
          </m:sub>
        </m:sSub>
        <m:r>
          <m:rPr>
            <m:sty m:val="p"/>
          </m:rPr>
          <m:t>/</m:t>
        </m:r>
        <m:r>
          <m:t>P</m:t>
        </m:r>
      </m:oMath>
      <w:r>
        <w:t xml:space="preserve"> stored by the forward pass and generate gradients </w:t>
      </w:r>
      <m:oMath>
        <m:sSub>
          <m:sSubPr/>
          <m:e>
            <m:r>
              <m:t>M</m:t>
            </m:r>
          </m:e>
          <m:sub>
            <m:r>
              <m:t>B</m:t>
            </m:r>
          </m:sub>
        </m:sSub>
        <m:r>
          <m:rPr>
            <m:sty m:val="p"/>
          </m:rPr>
          <m:t>/</m:t>
        </m:r>
        <m:r>
          <m:t>P</m:t>
        </m:r>
      </m:oMath>
      <w:r>
        <w:t xml:space="preserve">. We assume that </w:t>
      </w:r>
      <m:oMath>
        <m:r>
          <m:t>α</m:t>
        </m:r>
        <m:sSub>
          <m:sSubPr/>
          <m:e>
            <m:r>
              <m:t>M</m:t>
            </m:r>
          </m:e>
          <m:sub>
            <m:r>
              <m:t>A</m:t>
            </m:r>
          </m:sub>
        </m:sSub>
        <m:r>
          <m:rPr>
            <m:sty m:val="p"/>
          </m:rPr>
          <m:t>/</m:t>
        </m:r>
        <m:r>
          <m:t>P</m:t>
        </m:r>
      </m:oMath>
      <w:r>
        <w:t xml:space="preserve"> activations storage is left after one stage of the B pass. For the zero-bubble pipeline, we assess the peak storage required by the last worker. ZB1 and WZB2 both need to store </w:t>
      </w:r>
      <m:oMath>
        <m:r>
          <m:t>G</m:t>
        </m:r>
        <m:d>
          <m:dPr>
            <m:sepChr m:val=""/>
          </m:dPr>
          <m:e>
            <m:r>
              <m:t>α</m:t>
            </m:r>
            <m:sSub>
              <m:sSubPr/>
              <m:e>
                <m:r>
                  <m:t>M</m:t>
                </m:r>
              </m:e>
              <m:sub>
                <m:r>
                  <m:t>A</m:t>
                </m:r>
              </m:sub>
            </m:sSub>
            <m:r>
              <m:rPr>
                <m:sty m:val="p"/>
              </m:rPr>
              <m:t>+</m:t>
            </m:r>
            <m:sSub>
              <m:sSubPr/>
              <m:e>
                <m:r>
                  <m:t>M</m:t>
                </m:r>
              </m:e>
              <m:sub>
                <m:r>
                  <m:t>B</m:t>
                </m:r>
              </m:sub>
            </m:sSub>
          </m:e>
        </m:d>
      </m:oMath>
      <w:r>
        <w:t xml:space="preserve"> data. ZB2 nearly doubles this requirement. However, WZB1 can achieve a maximum memory consumption of approximately </w:t>
      </w:r>
      <m:oMath>
        <m:r>
          <m:t>1.5G</m:t>
        </m:r>
        <m:sSub>
          <m:sSubPr/>
          <m:e>
            <m:r>
              <m:t>M</m:t>
            </m:r>
          </m:e>
          <m:sub>
            <m:r>
              <m:t>A</m:t>
            </m:r>
          </m:sub>
        </m:sSub>
      </m:oMath>
      <w:r>
        <w:t xml:space="preserve">, which is less than other zero-bubble strategies when </w:t>
      </w:r>
      <m:oMath>
        <m:f>
          <m:fPr/>
          <m:num>
            <m:sSub>
              <m:sSubPr/>
              <m:e>
                <m:r>
                  <m:t>M</m:t>
                </m:r>
              </m:e>
              <m:sub>
                <m:r>
                  <m:t>B</m:t>
                </m:r>
              </m:sub>
            </m:sSub>
          </m:num>
          <m:den>
            <m:sSub>
              <m:sSubPr/>
              <m:e>
                <m:r>
                  <m:t>M</m:t>
                </m:r>
              </m:e>
              <m:sub>
                <m:r>
                  <m:t>A</m:t>
                </m:r>
              </m:sub>
            </m:sSub>
          </m:den>
        </m:f>
        <m:r>
          <m:rPr>
            <m:sty m:val="p"/>
          </m:rPr>
          <m:t>&gt;</m:t>
        </m:r>
        <m:r>
          <m:t>1.5</m:t>
        </m:r>
        <m:r>
          <m:rPr>
            <m:sty m:val="p"/>
          </m:rPr>
          <m:t>−</m:t>
        </m:r>
        <m:r>
          <m:t>α</m:t>
        </m:r>
      </m:oMath>
      <w:r>
        <w:t xml:space="preserve">. Note that calculating the peak memory for zero-bubble 1 could be tricky. With smaller </w:t>
      </w:r>
      <m:oMath>
        <m:r>
          <m:t>α</m:t>
        </m:r>
      </m:oMath>
      <w:r>
        <w:t xml:space="preserve"> and specific memory management strategies in GPU, worker 0 may have the highest memory consumption.</w:t>
      </w:r>
    </w:p>
    <w:bookmarkEnd w:id="10"/>
    <w:p>
      <w:pPr>
        <w:pStyle w:val="2"/>
      </w:pPr>
      <w:bookmarkStart w:id="11" w:name="implementation"/>
      <w:r>
        <w:t>5 Implementation</w:t>
      </w:r>
    </w:p>
    <w:p>
      <w:r>
        <w:t>Current distributed training frameworks offer various activation-passing pipeline strategies, but few accommodate high-level modifications to achieve weight pipelining. Thus, we have implemented WeiPipe-Interleave from scratch in PyTorch[39]. The implementation is tailored for training LLMs, but our approach is not limited to Transformers. Due to the need for intricate and fine-grained control, we present WeiPipe-zero-bubble to demonstrate the potential of a weight-passing pipeline and to facilitate a deeper discussion, while leaving the implementation for future exploration. The following details are considered for implementation:</w:t>
      </w:r>
    </w:p>
    <w:p>
      <w:r>
        <w:rPr>
          <w:b/>
          <w:bCs/>
        </w:rPr>
        <w:t>Mixed Precision.</w:t>
      </w:r>
      <w:r>
        <w:t xml:space="preserve"> Unlike other pipeline research focusing mainly on full precision implementation, our implementable incorporates widely adopted mixed precision training to further reduce storage and communication. Specifically, </w:t>
      </w:r>
      <m:oMath>
        <m:r>
          <m:t>A</m:t>
        </m:r>
      </m:oMath>
      <w:r>
        <w:t xml:space="preserve">, </w:t>
      </w:r>
      <m:oMath>
        <m:r>
          <m:t>W</m:t>
        </m:r>
      </m:oMath>
      <w:r>
        <w:t xml:space="preserve">, and </w:t>
      </w:r>
      <m:oMath>
        <m:r>
          <m:t>D</m:t>
        </m:r>
      </m:oMath>
      <w:r>
        <w:t xml:space="preserve"> are in fp16 precision, while </w:t>
      </w:r>
      <m:oMath>
        <m:r>
          <m:t>B</m:t>
        </m:r>
      </m:oMath>
      <w:r>
        <w:t xml:space="preserve"> is in bf16. The optimizer state is in fp32, distributed among the workers.</w:t>
      </w:r>
    </w:p>
    <w:p>
      <w:r>
        <w:rPr>
          <w:b/>
          <w:bCs/>
        </w:rPr>
        <w:t>Communication overlap.</w:t>
      </w:r>
      <w:r>
        <w:t xml:space="preserve"> WeiPipe meticulously adjusts the arrangement of computation and weight-passing to balance communication and computation workload. To ensure WeiPipe’s high-performance potential, communication hiding optimizations are implemented. During forward-backward interleaving, </w:t>
      </w:r>
      <m:oMath>
        <m:r>
          <m:t>W</m:t>
        </m:r>
      </m:oMath>
      <w:r>
        <w:t xml:space="preserve">s and </w:t>
      </w:r>
      <m:oMath>
        <m:r>
          <m:t>D</m:t>
        </m:r>
      </m:oMath>
      <w:r>
        <w:t>s are prefetched using asynchronous communication, which is realized by the batch_isend_irecv function provided by PyTorch distributed library.</w:t>
      </w:r>
    </w:p>
    <w:p>
      <w:r>
        <w:rPr>
          <w:b/>
          <w:bCs/>
        </w:rPr>
        <w:t>Recomputation and Flash Attention.</w:t>
      </w:r>
      <w:r>
        <w:t xml:space="preserve"> Recomputation (gradient checkpointing/rematerialization) is a strategy that saves storage by abandoning part of the activation values during the forward pass. Instead, these values are recomputed during the backward pass, thus significantly reducing memory consumption with redundant computation. Similarly, Flash Attention[40] is a widely used technique to optimize memory access and save memory in attention modules. By employing these techniques, we can increase micro-batch size and enhance the strengths of WeiPipe. We also implement these optimizations across other strategies for a fair comparison.</w:t>
      </w:r>
    </w:p>
    <w:p>
      <w:bookmarkStart w:id="12" w:name="tab:perform_nvlink"/>
      <w:r>
        <w:t>Throughput and peak memory of training the LLama-style model on 16 GPUs with NVLink and Ethernet connections. Due to the limitation of memory, for ZB strategies, G is set to 4 if S=4096 and G=1 if S=8192 or 16384.</w:t>
      </w:r>
    </w:p>
    <w:p>
      <w:pPr>
        <w:pStyle w:val="31"/>
        <w:jc w:val="center"/>
      </w:pPr>
      <w:r>
        <w:t>Table 2. Throughput and peak memory of training the LLama-style model on 16 GPUs with NVLink and Ethernet connections. Due to the limitation of memory, for ZB strategies, G is set to 4 if S=4096 and G=1 if S=8192 or 16384.</w:t>
      </w:r>
    </w:p>
    <w:tbl>
      <w:tblPr>
        <w:tblStyle w:val="19"/>
        <w:tblW w:w="7917" w:type="dxa"/>
        <w:tblInd w:w="0" w:type="dxa"/>
        <w:tblLayout w:type="fixed"/>
        <w:tblCellMar>
          <w:top w:w="0" w:type="dxa"/>
          <w:left w:w="108" w:type="dxa"/>
          <w:bottom w:w="0" w:type="dxa"/>
          <w:right w:w="108" w:type="dxa"/>
        </w:tblCellMar>
      </w:tblPr>
      <w:tblGrid>
        <w:gridCol w:w="609"/>
        <w:gridCol w:w="609"/>
        <w:gridCol w:w="609"/>
        <w:gridCol w:w="609"/>
        <w:gridCol w:w="609"/>
        <w:gridCol w:w="609"/>
        <w:gridCol w:w="609"/>
        <w:gridCol w:w="609"/>
        <w:gridCol w:w="609"/>
        <w:gridCol w:w="609"/>
        <w:gridCol w:w="609"/>
        <w:gridCol w:w="609"/>
        <w:gridCol w:w="609"/>
      </w:tblGrid>
      <w:tr>
        <w:tblPrEx>
          <w:tblLayout w:type="fixed"/>
          <w:tblCellMar>
            <w:top w:w="0" w:type="dxa"/>
            <w:left w:w="108" w:type="dxa"/>
            <w:bottom w:w="0" w:type="dxa"/>
            <w:right w:w="108" w:type="dxa"/>
          </w:tblCellMar>
        </w:tblPrEx>
        <w:tc>
          <w:tcPr>
            <w:tcW w:w="1827" w:type="dxa"/>
            <w:gridSpan w:val="3"/>
          </w:tcPr>
          <w:p>
            <w:pPr>
              <w:jc w:val="center"/>
            </w:pPr>
            <w:r>
              <w:t>Model Config</w:t>
            </w:r>
          </w:p>
        </w:tc>
        <w:tc>
          <w:tcPr>
            <w:tcW w:w="3045" w:type="dxa"/>
            <w:gridSpan w:val="5"/>
          </w:tcPr>
          <w:p>
            <w:pPr>
              <w:jc w:val="center"/>
            </w:pPr>
            <w:r>
              <w:t>Throughput(Tokens/second/GPU)</w:t>
            </w:r>
          </w:p>
        </w:tc>
        <w:tc>
          <w:tcPr>
            <w:tcW w:w="3045" w:type="dxa"/>
            <w:gridSpan w:val="5"/>
          </w:tcPr>
          <w:p>
            <w:pPr>
              <w:jc w:val="center"/>
            </w:pPr>
            <w:r>
              <w:t>Memory(GB)</w:t>
            </w:r>
          </w:p>
        </w:tc>
      </w:tr>
      <w:tr>
        <w:tblPrEx>
          <w:tblLayout w:type="fixed"/>
          <w:tblCellMar>
            <w:top w:w="0" w:type="dxa"/>
            <w:left w:w="108" w:type="dxa"/>
            <w:bottom w:w="0" w:type="dxa"/>
            <w:right w:w="108" w:type="dxa"/>
          </w:tblCellMar>
        </w:tblPrEx>
        <w:tc>
          <w:tcPr>
            <w:tcW w:w="609" w:type="dxa"/>
          </w:tcPr>
          <w:p>
            <w:pPr>
              <w:jc w:val="center"/>
            </w:pPr>
            <w:r>
              <w:t>H</w:t>
            </w:r>
          </w:p>
        </w:tc>
        <w:tc>
          <w:tcPr>
            <w:tcW w:w="609" w:type="dxa"/>
          </w:tcPr>
          <w:p>
            <w:pPr>
              <w:jc w:val="center"/>
            </w:pPr>
            <w:r>
              <w:t>S</w:t>
            </w:r>
          </w:p>
        </w:tc>
        <w:tc>
          <w:tcPr>
            <w:tcW w:w="609" w:type="dxa"/>
          </w:tcPr>
          <w:p>
            <w:pPr>
              <w:jc w:val="center"/>
            </w:pPr>
            <w:r>
              <w:t>G</w:t>
            </w:r>
          </w:p>
        </w:tc>
        <w:tc>
          <w:tcPr>
            <w:tcW w:w="609" w:type="dxa"/>
          </w:tcPr>
          <w:p>
            <w:pPr>
              <w:jc w:val="center"/>
            </w:pPr>
            <w:r>
              <w:t>1F1B</w:t>
            </w:r>
          </w:p>
        </w:tc>
        <w:tc>
          <w:tcPr>
            <w:tcW w:w="609" w:type="dxa"/>
          </w:tcPr>
          <w:p>
            <w:pPr>
              <w:jc w:val="center"/>
            </w:pPr>
            <w:r>
              <w:t>ZB1</w:t>
            </w:r>
          </w:p>
        </w:tc>
        <w:tc>
          <w:tcPr>
            <w:tcW w:w="609" w:type="dxa"/>
          </w:tcPr>
          <w:p>
            <w:pPr>
              <w:jc w:val="center"/>
            </w:pPr>
            <w:r>
              <w:t>ZB2</w:t>
            </w:r>
          </w:p>
        </w:tc>
        <w:tc>
          <w:tcPr>
            <w:tcW w:w="609" w:type="dxa"/>
          </w:tcPr>
          <w:p>
            <w:pPr>
              <w:jc w:val="center"/>
            </w:pPr>
            <w:r>
              <w:t>FSDP</w:t>
            </w:r>
          </w:p>
        </w:tc>
        <w:tc>
          <w:tcPr>
            <w:tcW w:w="609" w:type="dxa"/>
          </w:tcPr>
          <w:p>
            <w:pPr>
              <w:jc w:val="center"/>
            </w:pPr>
            <w:r>
              <w:t>WeiPipe</w:t>
            </w:r>
          </w:p>
        </w:tc>
        <w:tc>
          <w:tcPr>
            <w:tcW w:w="609" w:type="dxa"/>
          </w:tcPr>
          <w:p>
            <w:pPr>
              <w:jc w:val="center"/>
            </w:pPr>
            <w:r>
              <w:t>1F1B</w:t>
            </w:r>
          </w:p>
        </w:tc>
        <w:tc>
          <w:tcPr>
            <w:tcW w:w="609" w:type="dxa"/>
          </w:tcPr>
          <w:p>
            <w:pPr>
              <w:jc w:val="center"/>
            </w:pPr>
            <w:r>
              <w:t>ZB1</w:t>
            </w:r>
          </w:p>
        </w:tc>
        <w:tc>
          <w:tcPr>
            <w:tcW w:w="609" w:type="dxa"/>
          </w:tcPr>
          <w:p>
            <w:pPr>
              <w:jc w:val="center"/>
            </w:pPr>
            <w:r>
              <w:t>ZB2</w:t>
            </w:r>
          </w:p>
        </w:tc>
        <w:tc>
          <w:tcPr>
            <w:tcW w:w="609" w:type="dxa"/>
          </w:tcPr>
          <w:p>
            <w:pPr>
              <w:jc w:val="center"/>
            </w:pPr>
            <w:r>
              <w:t>FSDP</w:t>
            </w:r>
          </w:p>
        </w:tc>
        <w:tc>
          <w:tcPr>
            <w:tcW w:w="609" w:type="dxa"/>
          </w:tcPr>
          <w:p>
            <w:pPr>
              <w:jc w:val="center"/>
            </w:pPr>
            <w:r>
              <w:t>WeiPipe</w:t>
            </w:r>
          </w:p>
        </w:tc>
      </w:tr>
      <w:tr>
        <w:tblPrEx>
          <w:tblLayout w:type="fixed"/>
          <w:tblCellMar>
            <w:top w:w="0" w:type="dxa"/>
            <w:left w:w="108" w:type="dxa"/>
            <w:bottom w:w="0" w:type="dxa"/>
            <w:right w:w="108" w:type="dxa"/>
          </w:tblCellMar>
        </w:tblPrEx>
        <w:tc>
          <w:tcPr>
            <w:tcW w:w="609" w:type="dxa"/>
            <w:vMerge w:val="restart"/>
          </w:tcPr>
          <w:p>
            <w:pPr>
              <w:jc w:val="center"/>
            </w:pPr>
            <w:r>
              <w:t>1024</w:t>
            </w:r>
          </w:p>
        </w:tc>
        <w:tc>
          <w:tcPr>
            <w:tcW w:w="609" w:type="dxa"/>
          </w:tcPr>
          <w:p>
            <w:pPr>
              <w:jc w:val="center"/>
            </w:pPr>
            <w:r>
              <w:t>4096</w:t>
            </w:r>
          </w:p>
        </w:tc>
        <w:tc>
          <w:tcPr>
            <w:tcW w:w="609" w:type="dxa"/>
          </w:tcPr>
          <w:p>
            <w:pPr>
              <w:jc w:val="center"/>
            </w:pPr>
            <w:r>
              <w:t>16</w:t>
            </w:r>
          </w:p>
        </w:tc>
        <w:tc>
          <w:tcPr>
            <w:tcW w:w="609" w:type="dxa"/>
          </w:tcPr>
          <w:p>
            <w:pPr>
              <w:jc w:val="center"/>
            </w:pPr>
            <w:r>
              <w:t>8581.7</w:t>
            </w:r>
          </w:p>
        </w:tc>
        <w:tc>
          <w:tcPr>
            <w:tcW w:w="609" w:type="dxa"/>
          </w:tcPr>
          <w:p>
            <w:pPr>
              <w:jc w:val="center"/>
            </w:pPr>
            <w:r>
              <w:t>7547.0</w:t>
            </w:r>
          </w:p>
        </w:tc>
        <w:tc>
          <w:tcPr>
            <w:tcW w:w="609" w:type="dxa"/>
          </w:tcPr>
          <w:p>
            <w:pPr>
              <w:jc w:val="center"/>
            </w:pPr>
            <w:r>
              <w:t>7638.5</w:t>
            </w:r>
          </w:p>
        </w:tc>
        <w:tc>
          <w:tcPr>
            <w:tcW w:w="609" w:type="dxa"/>
          </w:tcPr>
          <w:p>
            <w:pPr>
              <w:jc w:val="center"/>
            </w:pPr>
            <w:r>
              <w:t>11525.9</w:t>
            </w:r>
          </w:p>
        </w:tc>
        <w:tc>
          <w:tcPr>
            <w:tcW w:w="609" w:type="dxa"/>
          </w:tcPr>
          <w:p>
            <w:pPr>
              <w:jc w:val="center"/>
            </w:pPr>
            <w:r>
              <w:rPr>
                <w:b/>
                <w:bCs/>
              </w:rPr>
              <w:t>15138.8</w:t>
            </w:r>
          </w:p>
        </w:tc>
        <w:tc>
          <w:tcPr>
            <w:tcW w:w="609" w:type="dxa"/>
          </w:tcPr>
          <w:p>
            <w:pPr>
              <w:jc w:val="center"/>
            </w:pPr>
            <w:r>
              <w:t>13.0</w:t>
            </w:r>
          </w:p>
        </w:tc>
        <w:tc>
          <w:tcPr>
            <w:tcW w:w="609" w:type="dxa"/>
          </w:tcPr>
          <w:p>
            <w:pPr>
              <w:jc w:val="center"/>
            </w:pPr>
            <w:r>
              <w:t>20.4</w:t>
            </w:r>
          </w:p>
        </w:tc>
        <w:tc>
          <w:tcPr>
            <w:tcW w:w="609" w:type="dxa"/>
          </w:tcPr>
          <w:p>
            <w:pPr>
              <w:jc w:val="center"/>
            </w:pPr>
            <w:r>
              <w:t>39.3</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7403.8</w:t>
            </w:r>
          </w:p>
        </w:tc>
        <w:tc>
          <w:tcPr>
            <w:tcW w:w="609" w:type="dxa"/>
          </w:tcPr>
          <w:p>
            <w:pPr>
              <w:jc w:val="center"/>
            </w:pPr>
            <w:r>
              <w:t>6739.6</w:t>
            </w:r>
          </w:p>
        </w:tc>
        <w:tc>
          <w:tcPr>
            <w:tcW w:w="609" w:type="dxa"/>
          </w:tcPr>
          <w:p>
            <w:pPr>
              <w:jc w:val="center"/>
            </w:pPr>
            <w:r>
              <w:t>6768.1</w:t>
            </w:r>
          </w:p>
        </w:tc>
        <w:tc>
          <w:tcPr>
            <w:tcW w:w="609" w:type="dxa"/>
          </w:tcPr>
          <w:p>
            <w:pPr>
              <w:jc w:val="center"/>
            </w:pPr>
            <w:r>
              <w:t>9424.4</w:t>
            </w:r>
          </w:p>
        </w:tc>
        <w:tc>
          <w:tcPr>
            <w:tcW w:w="609" w:type="dxa"/>
          </w:tcPr>
          <w:p>
            <w:pPr>
              <w:jc w:val="center"/>
            </w:pPr>
            <w:r>
              <w:rPr>
                <w:b/>
                <w:bCs/>
              </w:rPr>
              <w:t>12122.3</w:t>
            </w:r>
          </w:p>
        </w:tc>
        <w:tc>
          <w:tcPr>
            <w:tcW w:w="609" w:type="dxa"/>
          </w:tcPr>
          <w:p>
            <w:pPr>
              <w:jc w:val="center"/>
            </w:pPr>
            <w:r>
              <w:t>9.9</w:t>
            </w:r>
          </w:p>
        </w:tc>
        <w:tc>
          <w:tcPr>
            <w:tcW w:w="609" w:type="dxa"/>
          </w:tcPr>
          <w:p>
            <w:pPr>
              <w:jc w:val="center"/>
            </w:pPr>
            <w:r>
              <w:t>10.7</w:t>
            </w:r>
          </w:p>
        </w:tc>
        <w:tc>
          <w:tcPr>
            <w:tcW w:w="609" w:type="dxa"/>
          </w:tcPr>
          <w:p>
            <w:pPr>
              <w:jc w:val="center"/>
            </w:pPr>
            <w:r>
              <w:t>20.5</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5641.2</w:t>
            </w:r>
          </w:p>
        </w:tc>
        <w:tc>
          <w:tcPr>
            <w:tcW w:w="609" w:type="dxa"/>
          </w:tcPr>
          <w:p>
            <w:pPr>
              <w:jc w:val="center"/>
            </w:pPr>
            <w:r>
              <w:t>5651.6</w:t>
            </w:r>
          </w:p>
        </w:tc>
        <w:tc>
          <w:tcPr>
            <w:tcW w:w="609" w:type="dxa"/>
          </w:tcPr>
          <w:p>
            <w:pPr>
              <w:jc w:val="center"/>
            </w:pPr>
            <w:r>
              <w:t>5651.9</w:t>
            </w:r>
          </w:p>
        </w:tc>
        <w:tc>
          <w:tcPr>
            <w:tcW w:w="609" w:type="dxa"/>
          </w:tcPr>
          <w:p>
            <w:pPr>
              <w:jc w:val="center"/>
            </w:pPr>
            <w:r>
              <w:t>6973.6</w:t>
            </w:r>
          </w:p>
        </w:tc>
        <w:tc>
          <w:tcPr>
            <w:tcW w:w="609" w:type="dxa"/>
          </w:tcPr>
          <w:p>
            <w:pPr>
              <w:jc w:val="center"/>
            </w:pPr>
            <w:r>
              <w:rPr>
                <w:b/>
                <w:bCs/>
              </w:rPr>
              <w:t>8188.3</w:t>
            </w:r>
          </w:p>
        </w:tc>
        <w:tc>
          <w:tcPr>
            <w:tcW w:w="609" w:type="dxa"/>
          </w:tcPr>
          <w:p>
            <w:pPr>
              <w:jc w:val="center"/>
            </w:pPr>
            <w:r>
              <w:t>9.1</w:t>
            </w:r>
          </w:p>
        </w:tc>
        <w:tc>
          <w:tcPr>
            <w:tcW w:w="609" w:type="dxa"/>
          </w:tcPr>
          <w:p>
            <w:pPr>
              <w:jc w:val="center"/>
            </w:pPr>
            <w:r>
              <w:t>21.6</w:t>
            </w:r>
          </w:p>
        </w:tc>
        <w:tc>
          <w:tcPr>
            <w:tcW w:w="609" w:type="dxa"/>
          </w:tcPr>
          <w:p>
            <w:pPr>
              <w:jc w:val="center"/>
            </w:pPr>
            <w:r>
              <w:t>42.2</w:t>
            </w:r>
          </w:p>
        </w:tc>
        <w:tc>
          <w:tcPr>
            <w:tcW w:w="609" w:type="dxa"/>
          </w:tcPr>
          <w:p>
            <w:pPr>
              <w:jc w:val="center"/>
            </w:pPr>
            <w:r>
              <w:t>8.6</w:t>
            </w:r>
          </w:p>
        </w:tc>
        <w:tc>
          <w:tcPr>
            <w:tcW w:w="609" w:type="dxa"/>
          </w:tcPr>
          <w:p>
            <w:pPr>
              <w:jc w:val="center"/>
            </w:pPr>
            <w:r>
              <w:t>9.4</w:t>
            </w:r>
          </w:p>
        </w:tc>
      </w:tr>
      <w:tr>
        <w:tblPrEx>
          <w:tblLayout w:type="fixed"/>
          <w:tblCellMar>
            <w:top w:w="0" w:type="dxa"/>
            <w:left w:w="108" w:type="dxa"/>
            <w:bottom w:w="0" w:type="dxa"/>
            <w:right w:w="108" w:type="dxa"/>
          </w:tblCellMar>
        </w:tblPrEx>
        <w:tc>
          <w:tcPr>
            <w:tcW w:w="609" w:type="dxa"/>
            <w:vMerge w:val="restart"/>
          </w:tcPr>
          <w:p>
            <w:pPr>
              <w:jc w:val="center"/>
            </w:pPr>
            <w:r>
              <w:t>2048</w:t>
            </w:r>
          </w:p>
        </w:tc>
        <w:tc>
          <w:tcPr>
            <w:tcW w:w="609" w:type="dxa"/>
          </w:tcPr>
          <w:p>
            <w:pPr>
              <w:jc w:val="center"/>
            </w:pPr>
            <w:r>
              <w:t>4096</w:t>
            </w:r>
          </w:p>
        </w:tc>
        <w:tc>
          <w:tcPr>
            <w:tcW w:w="609" w:type="dxa"/>
          </w:tcPr>
          <w:p>
            <w:pPr>
              <w:jc w:val="center"/>
            </w:pPr>
            <w:r>
              <w:t>16</w:t>
            </w:r>
          </w:p>
        </w:tc>
        <w:tc>
          <w:tcPr>
            <w:tcW w:w="609" w:type="dxa"/>
          </w:tcPr>
          <w:p>
            <w:pPr>
              <w:jc w:val="center"/>
            </w:pPr>
            <w:r>
              <w:t>4163.2</w:t>
            </w:r>
          </w:p>
        </w:tc>
        <w:tc>
          <w:tcPr>
            <w:tcW w:w="609" w:type="dxa"/>
          </w:tcPr>
          <w:p>
            <w:pPr>
              <w:jc w:val="center"/>
            </w:pPr>
            <w:r>
              <w:t>3823.3</w:t>
            </w:r>
          </w:p>
        </w:tc>
        <w:tc>
          <w:tcPr>
            <w:tcW w:w="609" w:type="dxa"/>
          </w:tcPr>
          <w:p>
            <w:pPr>
              <w:jc w:val="center"/>
            </w:pPr>
            <w:r>
              <w:t>OOM</w:t>
            </w:r>
          </w:p>
        </w:tc>
        <w:tc>
          <w:tcPr>
            <w:tcW w:w="609" w:type="dxa"/>
          </w:tcPr>
          <w:p>
            <w:pPr>
              <w:jc w:val="center"/>
            </w:pPr>
            <w:r>
              <w:t>4104.8</w:t>
            </w:r>
          </w:p>
        </w:tc>
        <w:tc>
          <w:tcPr>
            <w:tcW w:w="609" w:type="dxa"/>
          </w:tcPr>
          <w:p>
            <w:pPr>
              <w:jc w:val="center"/>
            </w:pPr>
            <w:r>
              <w:rPr>
                <w:b/>
                <w:bCs/>
              </w:rPr>
              <w:t>6499.7</w:t>
            </w:r>
          </w:p>
        </w:tc>
        <w:tc>
          <w:tcPr>
            <w:tcW w:w="609" w:type="dxa"/>
          </w:tcPr>
          <w:p>
            <w:pPr>
              <w:jc w:val="center"/>
            </w:pPr>
            <w:r>
              <w:t>18.7</w:t>
            </w:r>
          </w:p>
        </w:tc>
        <w:tc>
          <w:tcPr>
            <w:tcW w:w="609" w:type="dxa"/>
          </w:tcPr>
          <w:p>
            <w:pPr>
              <w:jc w:val="center"/>
            </w:pPr>
            <w:r>
              <w:t>44.3</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3791.3</w:t>
            </w:r>
          </w:p>
        </w:tc>
        <w:tc>
          <w:tcPr>
            <w:tcW w:w="609" w:type="dxa"/>
          </w:tcPr>
          <w:p>
            <w:pPr>
              <w:jc w:val="center"/>
            </w:pPr>
            <w:r>
              <w:t>3517.8</w:t>
            </w:r>
          </w:p>
        </w:tc>
        <w:tc>
          <w:tcPr>
            <w:tcW w:w="609" w:type="dxa"/>
          </w:tcPr>
          <w:p>
            <w:pPr>
              <w:jc w:val="center"/>
            </w:pPr>
            <w:r>
              <w:t>OOM</w:t>
            </w:r>
          </w:p>
        </w:tc>
        <w:tc>
          <w:tcPr>
            <w:tcW w:w="609" w:type="dxa"/>
          </w:tcPr>
          <w:p>
            <w:pPr>
              <w:jc w:val="center"/>
            </w:pPr>
            <w:r>
              <w:t>3706.8</w:t>
            </w:r>
          </w:p>
        </w:tc>
        <w:tc>
          <w:tcPr>
            <w:tcW w:w="609" w:type="dxa"/>
          </w:tcPr>
          <w:p>
            <w:pPr>
              <w:jc w:val="center"/>
            </w:pPr>
            <w:r>
              <w:rPr>
                <w:b/>
                <w:bCs/>
              </w:rPr>
              <w:t>6033.2</w:t>
            </w:r>
          </w:p>
        </w:tc>
        <w:tc>
          <w:tcPr>
            <w:tcW w:w="609" w:type="dxa"/>
          </w:tcPr>
          <w:p>
            <w:pPr>
              <w:jc w:val="center"/>
            </w:pPr>
            <w:r>
              <w:t>19.6</w:t>
            </w:r>
          </w:p>
        </w:tc>
        <w:tc>
          <w:tcPr>
            <w:tcW w:w="609" w:type="dxa"/>
          </w:tcPr>
          <w:p>
            <w:pPr>
              <w:jc w:val="center"/>
            </w:pPr>
            <w:r>
              <w:t>22.3</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3146.3</w:t>
            </w:r>
          </w:p>
        </w:tc>
        <w:tc>
          <w:tcPr>
            <w:tcW w:w="609" w:type="dxa"/>
          </w:tcPr>
          <w:p>
            <w:pPr>
              <w:jc w:val="center"/>
            </w:pPr>
            <w:r>
              <w:t>3050.1</w:t>
            </w:r>
          </w:p>
        </w:tc>
        <w:tc>
          <w:tcPr>
            <w:tcW w:w="609" w:type="dxa"/>
          </w:tcPr>
          <w:p>
            <w:pPr>
              <w:jc w:val="center"/>
            </w:pPr>
            <w:r>
              <w:t>OOM</w:t>
            </w:r>
          </w:p>
        </w:tc>
        <w:tc>
          <w:tcPr>
            <w:tcW w:w="609" w:type="dxa"/>
          </w:tcPr>
          <w:p>
            <w:pPr>
              <w:jc w:val="center"/>
            </w:pPr>
            <w:r>
              <w:t>3087.2</w:t>
            </w:r>
          </w:p>
        </w:tc>
        <w:tc>
          <w:tcPr>
            <w:tcW w:w="609" w:type="dxa"/>
          </w:tcPr>
          <w:p>
            <w:pPr>
              <w:jc w:val="center"/>
            </w:pPr>
            <w:r>
              <w:rPr>
                <w:b/>
                <w:bCs/>
              </w:rPr>
              <w:t>4607.8</w:t>
            </w:r>
          </w:p>
        </w:tc>
        <w:tc>
          <w:tcPr>
            <w:tcW w:w="609" w:type="dxa"/>
          </w:tcPr>
          <w:p>
            <w:pPr>
              <w:jc w:val="center"/>
            </w:pPr>
            <w:r>
              <w:t>22.9</w:t>
            </w:r>
          </w:p>
        </w:tc>
        <w:tc>
          <w:tcPr>
            <w:tcW w:w="609" w:type="dxa"/>
          </w:tcPr>
          <w:p>
            <w:pPr>
              <w:jc w:val="center"/>
            </w:pPr>
            <w:r>
              <w:t>42.9</w:t>
            </w:r>
          </w:p>
        </w:tc>
        <w:tc>
          <w:tcPr>
            <w:tcW w:w="609" w:type="dxa"/>
          </w:tcPr>
          <w:p>
            <w:pPr>
              <w:jc w:val="center"/>
            </w:pPr>
            <w:r>
              <w:t>OOM</w:t>
            </w:r>
          </w:p>
        </w:tc>
        <w:tc>
          <w:tcPr>
            <w:tcW w:w="609" w:type="dxa"/>
          </w:tcPr>
          <w:p>
            <w:pPr>
              <w:jc w:val="center"/>
            </w:pPr>
            <w:r>
              <w:t>17.9</w:t>
            </w:r>
          </w:p>
        </w:tc>
        <w:tc>
          <w:tcPr>
            <w:tcW w:w="609" w:type="dxa"/>
          </w:tcPr>
          <w:p>
            <w:pPr>
              <w:jc w:val="center"/>
            </w:pPr>
            <w:r>
              <w:t>19.9</w:t>
            </w:r>
          </w:p>
        </w:tc>
      </w:tr>
      <w:tr>
        <w:tblPrEx>
          <w:tblLayout w:type="fixed"/>
          <w:tblCellMar>
            <w:top w:w="0" w:type="dxa"/>
            <w:left w:w="108" w:type="dxa"/>
            <w:bottom w:w="0" w:type="dxa"/>
            <w:right w:w="108" w:type="dxa"/>
          </w:tblCellMar>
        </w:tblPrEx>
        <w:tc>
          <w:tcPr>
            <w:tcW w:w="609" w:type="dxa"/>
            <w:vMerge w:val="restart"/>
          </w:tcPr>
          <w:p>
            <w:pPr>
              <w:jc w:val="center"/>
            </w:pPr>
            <w:r>
              <w:t>4096</w:t>
            </w:r>
          </w:p>
        </w:tc>
        <w:tc>
          <w:tcPr>
            <w:tcW w:w="609" w:type="dxa"/>
          </w:tcPr>
          <w:p>
            <w:pPr>
              <w:jc w:val="center"/>
            </w:pPr>
            <w:r>
              <w:t>4096</w:t>
            </w:r>
          </w:p>
        </w:tc>
        <w:tc>
          <w:tcPr>
            <w:tcW w:w="609" w:type="dxa"/>
          </w:tcPr>
          <w:p>
            <w:pPr>
              <w:jc w:val="center"/>
            </w:pPr>
            <w:r>
              <w:t>16</w:t>
            </w:r>
          </w:p>
        </w:tc>
        <w:tc>
          <w:tcPr>
            <w:tcW w:w="609" w:type="dxa"/>
          </w:tcPr>
          <w:p>
            <w:pPr>
              <w:jc w:val="center"/>
            </w:pPr>
            <w:r>
              <w:t>1662.7</w:t>
            </w:r>
          </w:p>
        </w:tc>
        <w:tc>
          <w:tcPr>
            <w:tcW w:w="609" w:type="dxa"/>
          </w:tcPr>
          <w:p>
            <w:pPr>
              <w:jc w:val="center"/>
            </w:pPr>
            <w:r>
              <w:t>OOM</w:t>
            </w:r>
          </w:p>
        </w:tc>
        <w:tc>
          <w:tcPr>
            <w:tcW w:w="609" w:type="dxa"/>
          </w:tcPr>
          <w:p>
            <w:pPr>
              <w:jc w:val="center"/>
            </w:pPr>
            <w:r>
              <w:t>OOM</w:t>
            </w:r>
          </w:p>
        </w:tc>
        <w:tc>
          <w:tcPr>
            <w:tcW w:w="609" w:type="dxa"/>
          </w:tcPr>
          <w:p>
            <w:pPr>
              <w:jc w:val="center"/>
            </w:pPr>
            <w:r>
              <w:t>1110.5</w:t>
            </w:r>
          </w:p>
        </w:tc>
        <w:tc>
          <w:tcPr>
            <w:tcW w:w="609" w:type="dxa"/>
          </w:tcPr>
          <w:p>
            <w:pPr>
              <w:jc w:val="center"/>
            </w:pPr>
            <w:r>
              <w:rPr>
                <w:b/>
                <w:bCs/>
              </w:rPr>
              <w:t>2023.1</w:t>
            </w:r>
          </w:p>
        </w:tc>
        <w:tc>
          <w:tcPr>
            <w:tcW w:w="609" w:type="dxa"/>
          </w:tcPr>
          <w:p>
            <w:pPr>
              <w:jc w:val="center"/>
            </w:pPr>
            <w:r>
              <w:t>40.5</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8192</w:t>
            </w:r>
          </w:p>
        </w:tc>
        <w:tc>
          <w:tcPr>
            <w:tcW w:w="609" w:type="dxa"/>
          </w:tcPr>
          <w:p>
            <w:pPr>
              <w:jc w:val="center"/>
            </w:pPr>
            <w:r>
              <w:t>8</w:t>
            </w:r>
          </w:p>
        </w:tc>
        <w:tc>
          <w:tcPr>
            <w:tcW w:w="609" w:type="dxa"/>
          </w:tcPr>
          <w:p>
            <w:pPr>
              <w:jc w:val="center"/>
            </w:pPr>
            <w:r>
              <w:t>1556.2</w:t>
            </w:r>
          </w:p>
        </w:tc>
        <w:tc>
          <w:tcPr>
            <w:tcW w:w="609" w:type="dxa"/>
          </w:tcPr>
          <w:p>
            <w:pPr>
              <w:jc w:val="center"/>
            </w:pPr>
            <w:r>
              <w:t>OOM</w:t>
            </w:r>
          </w:p>
        </w:tc>
        <w:tc>
          <w:tcPr>
            <w:tcW w:w="609" w:type="dxa"/>
          </w:tcPr>
          <w:p>
            <w:pPr>
              <w:jc w:val="center"/>
            </w:pPr>
            <w:r>
              <w:t>OOM</w:t>
            </w:r>
          </w:p>
        </w:tc>
        <w:tc>
          <w:tcPr>
            <w:tcW w:w="609" w:type="dxa"/>
          </w:tcPr>
          <w:p>
            <w:pPr>
              <w:jc w:val="center"/>
            </w:pPr>
            <w:r>
              <w:t>1063.2</w:t>
            </w:r>
          </w:p>
        </w:tc>
        <w:tc>
          <w:tcPr>
            <w:tcW w:w="609" w:type="dxa"/>
          </w:tcPr>
          <w:p>
            <w:pPr>
              <w:jc w:val="center"/>
            </w:pPr>
            <w:r>
              <w:rPr>
                <w:b/>
                <w:bCs/>
              </w:rPr>
              <w:t>2059.4</w:t>
            </w:r>
          </w:p>
        </w:tc>
        <w:tc>
          <w:tcPr>
            <w:tcW w:w="609" w:type="dxa"/>
          </w:tcPr>
          <w:p>
            <w:pPr>
              <w:jc w:val="center"/>
            </w:pPr>
            <w:r>
              <w:t>41.6</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tr>
        <w:tblPrEx>
          <w:tblLayout w:type="fixed"/>
          <w:tblCellMar>
            <w:top w:w="0" w:type="dxa"/>
            <w:left w:w="108" w:type="dxa"/>
            <w:bottom w:w="0" w:type="dxa"/>
            <w:right w:w="108" w:type="dxa"/>
          </w:tblCellMar>
        </w:tblPrEx>
        <w:tc>
          <w:tcPr>
            <w:tcW w:w="609" w:type="dxa"/>
            <w:vMerge w:val="continue"/>
          </w:tcPr>
          <w:p/>
        </w:tc>
        <w:tc>
          <w:tcPr>
            <w:tcW w:w="609" w:type="dxa"/>
          </w:tcPr>
          <w:p>
            <w:pPr>
              <w:jc w:val="center"/>
            </w:pPr>
            <w:r>
              <w:t>16384</w:t>
            </w:r>
          </w:p>
        </w:tc>
        <w:tc>
          <w:tcPr>
            <w:tcW w:w="609" w:type="dxa"/>
          </w:tcPr>
          <w:p>
            <w:pPr>
              <w:jc w:val="center"/>
            </w:pPr>
            <w:r>
              <w:t>4</w:t>
            </w:r>
          </w:p>
        </w:tc>
        <w:tc>
          <w:tcPr>
            <w:tcW w:w="609" w:type="dxa"/>
          </w:tcPr>
          <w:p>
            <w:pPr>
              <w:jc w:val="center"/>
            </w:pPr>
            <w:r>
              <w:t>1331.6</w:t>
            </w:r>
          </w:p>
        </w:tc>
        <w:tc>
          <w:tcPr>
            <w:tcW w:w="609" w:type="dxa"/>
          </w:tcPr>
          <w:p>
            <w:pPr>
              <w:jc w:val="center"/>
            </w:pPr>
            <w:r>
              <w:t>OOM</w:t>
            </w:r>
          </w:p>
        </w:tc>
        <w:tc>
          <w:tcPr>
            <w:tcW w:w="609" w:type="dxa"/>
          </w:tcPr>
          <w:p>
            <w:pPr>
              <w:jc w:val="center"/>
            </w:pPr>
            <w:r>
              <w:t>OOM</w:t>
            </w:r>
          </w:p>
        </w:tc>
        <w:tc>
          <w:tcPr>
            <w:tcW w:w="609" w:type="dxa"/>
          </w:tcPr>
          <w:p>
            <w:pPr>
              <w:jc w:val="center"/>
            </w:pPr>
            <w:r>
              <w:t>944.2</w:t>
            </w:r>
          </w:p>
        </w:tc>
        <w:tc>
          <w:tcPr>
            <w:tcW w:w="609" w:type="dxa"/>
          </w:tcPr>
          <w:p>
            <w:pPr>
              <w:jc w:val="center"/>
            </w:pPr>
            <w:r>
              <w:rPr>
                <w:b/>
                <w:bCs/>
              </w:rPr>
              <w:t>1684.9</w:t>
            </w:r>
          </w:p>
        </w:tc>
        <w:tc>
          <w:tcPr>
            <w:tcW w:w="609" w:type="dxa"/>
          </w:tcPr>
          <w:p>
            <w:pPr>
              <w:jc w:val="center"/>
            </w:pPr>
            <w:r>
              <w:t>45.1</w:t>
            </w:r>
          </w:p>
        </w:tc>
        <w:tc>
          <w:tcPr>
            <w:tcW w:w="609" w:type="dxa"/>
          </w:tcPr>
          <w:p>
            <w:pPr>
              <w:jc w:val="center"/>
            </w:pPr>
            <w:r>
              <w:t>OOM</w:t>
            </w:r>
          </w:p>
        </w:tc>
        <w:tc>
          <w:tcPr>
            <w:tcW w:w="609" w:type="dxa"/>
          </w:tcPr>
          <w:p>
            <w:pPr>
              <w:jc w:val="center"/>
            </w:pPr>
            <w:r>
              <w:t>OOM</w:t>
            </w:r>
          </w:p>
        </w:tc>
        <w:tc>
          <w:tcPr>
            <w:tcW w:w="609" w:type="dxa"/>
          </w:tcPr>
          <w:p>
            <w:pPr>
              <w:jc w:val="center"/>
            </w:pPr>
            <w:r>
              <w:t>39</w:t>
            </w:r>
          </w:p>
        </w:tc>
        <w:tc>
          <w:tcPr>
            <w:tcW w:w="609" w:type="dxa"/>
          </w:tcPr>
          <w:p>
            <w:pPr>
              <w:jc w:val="center"/>
            </w:pPr>
            <w:r>
              <w:t>44.5</w:t>
            </w:r>
          </w:p>
        </w:tc>
      </w:tr>
      <w:bookmarkEnd w:id="12"/>
    </w:tbl>
    <w:p>
      <w:bookmarkStart w:id="13" w:name="tab:perform_nvlink"/>
      <w:bookmarkEnd w:id="13"/>
    </w:p>
    <w:bookmarkEnd w:id="11"/>
    <w:p>
      <w:pPr>
        <w:pStyle w:val="2"/>
      </w:pPr>
      <w:bookmarkStart w:id="14" w:name="evaluation"/>
      <w:r>
        <w:t>6 Evaluation</w:t>
      </w:r>
    </w:p>
    <w:p>
      <w:bookmarkStart w:id="15" w:name="tab:perform_pcie"/>
      <w:r>
        <w:t>Throughput and peak memory of training the LLama-style model on 16 GPUs with PCIe and Ethernet connections. Due to the limitation of memory, for ZB strategies, G is set to 4 if S=4096 and G=1 if S=8192 or 16384.</w:t>
      </w:r>
    </w:p>
    <w:p>
      <w:pPr>
        <w:pStyle w:val="31"/>
        <w:jc w:val="center"/>
      </w:pPr>
      <w:r>
        <w:t>Table 3. Throughput and peak memory of training the LLama-style model on 16 GPUs with PCIe and Ethernet connections. Due to the limitation of memory, for ZB strategies, G is set to 4 if S=4096 and G=1 if S=8192 or 16384.</w:t>
      </w:r>
    </w:p>
    <w:tbl>
      <w:tblPr>
        <w:tblStyle w:val="19"/>
        <w:tblW w:w="7920" w:type="dxa"/>
        <w:tblInd w:w="0" w:type="dxa"/>
        <w:tblLayout w:type="fixed"/>
        <w:tblCellMar>
          <w:top w:w="0" w:type="dxa"/>
          <w:left w:w="108" w:type="dxa"/>
          <w:bottom w:w="0" w:type="dxa"/>
          <w:right w:w="108" w:type="dxa"/>
        </w:tblCellMar>
      </w:tblPr>
      <w:tblGrid>
        <w:gridCol w:w="990"/>
        <w:gridCol w:w="990"/>
        <w:gridCol w:w="990"/>
        <w:gridCol w:w="990"/>
        <w:gridCol w:w="990"/>
        <w:gridCol w:w="990"/>
        <w:gridCol w:w="990"/>
        <w:gridCol w:w="990"/>
      </w:tblGrid>
      <w:tr>
        <w:tblPrEx>
          <w:tblLayout w:type="fixed"/>
          <w:tblCellMar>
            <w:top w:w="0" w:type="dxa"/>
            <w:left w:w="108" w:type="dxa"/>
            <w:bottom w:w="0" w:type="dxa"/>
            <w:right w:w="108" w:type="dxa"/>
          </w:tblCellMar>
        </w:tblPrEx>
        <w:tc>
          <w:tcPr>
            <w:tcW w:w="2970" w:type="dxa"/>
            <w:gridSpan w:val="3"/>
          </w:tcPr>
          <w:p>
            <w:pPr>
              <w:jc w:val="center"/>
            </w:pPr>
            <w:r>
              <w:t>Model Config</w:t>
            </w:r>
          </w:p>
        </w:tc>
        <w:tc>
          <w:tcPr>
            <w:tcW w:w="4950" w:type="dxa"/>
            <w:gridSpan w:val="5"/>
          </w:tcPr>
          <w:p>
            <w:pPr>
              <w:jc w:val="center"/>
            </w:pPr>
            <w:r>
              <w:t>Throughput(Tokens/second/GPU)</w:t>
            </w:r>
          </w:p>
        </w:tc>
      </w:tr>
      <w:tr>
        <w:tblPrEx>
          <w:tblLayout w:type="fixed"/>
          <w:tblCellMar>
            <w:top w:w="0" w:type="dxa"/>
            <w:left w:w="108" w:type="dxa"/>
            <w:bottom w:w="0" w:type="dxa"/>
            <w:right w:w="108" w:type="dxa"/>
          </w:tblCellMar>
        </w:tblPrEx>
        <w:tc>
          <w:tcPr>
            <w:tcW w:w="990" w:type="dxa"/>
          </w:tcPr>
          <w:p>
            <w:pPr>
              <w:jc w:val="center"/>
            </w:pPr>
            <w:r>
              <w:t>H</w:t>
            </w:r>
          </w:p>
        </w:tc>
        <w:tc>
          <w:tcPr>
            <w:tcW w:w="990" w:type="dxa"/>
          </w:tcPr>
          <w:p>
            <w:pPr>
              <w:jc w:val="center"/>
            </w:pPr>
            <w:r>
              <w:t>S</w:t>
            </w:r>
          </w:p>
        </w:tc>
        <w:tc>
          <w:tcPr>
            <w:tcW w:w="990" w:type="dxa"/>
          </w:tcPr>
          <w:p>
            <w:pPr>
              <w:jc w:val="center"/>
            </w:pPr>
            <w:r>
              <w:t>G</w:t>
            </w:r>
          </w:p>
        </w:tc>
        <w:tc>
          <w:tcPr>
            <w:tcW w:w="990" w:type="dxa"/>
          </w:tcPr>
          <w:p>
            <w:pPr>
              <w:jc w:val="center"/>
            </w:pPr>
            <w:r>
              <w:t>1F1B</w:t>
            </w:r>
          </w:p>
        </w:tc>
        <w:tc>
          <w:tcPr>
            <w:tcW w:w="990" w:type="dxa"/>
          </w:tcPr>
          <w:p>
            <w:pPr>
              <w:jc w:val="center"/>
            </w:pPr>
            <w:r>
              <w:t>ZB1</w:t>
            </w:r>
          </w:p>
        </w:tc>
        <w:tc>
          <w:tcPr>
            <w:tcW w:w="990" w:type="dxa"/>
          </w:tcPr>
          <w:p>
            <w:pPr>
              <w:jc w:val="center"/>
            </w:pPr>
            <w:r>
              <w:t>ZB2</w:t>
            </w:r>
          </w:p>
        </w:tc>
        <w:tc>
          <w:tcPr>
            <w:tcW w:w="990" w:type="dxa"/>
          </w:tcPr>
          <w:p>
            <w:pPr>
              <w:jc w:val="center"/>
            </w:pPr>
            <w:r>
              <w:t>FSDP</w:t>
            </w:r>
          </w:p>
        </w:tc>
        <w:tc>
          <w:tcPr>
            <w:tcW w:w="990" w:type="dxa"/>
          </w:tcPr>
          <w:p>
            <w:pPr>
              <w:jc w:val="center"/>
            </w:pPr>
            <w:r>
              <w:t>WeiPipe</w:t>
            </w:r>
          </w:p>
        </w:tc>
      </w:tr>
      <w:tr>
        <w:tblPrEx>
          <w:tblLayout w:type="fixed"/>
          <w:tblCellMar>
            <w:top w:w="0" w:type="dxa"/>
            <w:left w:w="108" w:type="dxa"/>
            <w:bottom w:w="0" w:type="dxa"/>
            <w:right w:w="108" w:type="dxa"/>
          </w:tblCellMar>
        </w:tblPrEx>
        <w:tc>
          <w:tcPr>
            <w:tcW w:w="990" w:type="dxa"/>
            <w:vMerge w:val="restart"/>
          </w:tcPr>
          <w:p>
            <w:pPr>
              <w:jc w:val="center"/>
            </w:pPr>
            <w:r>
              <w:t>1k</w:t>
            </w:r>
          </w:p>
        </w:tc>
        <w:tc>
          <w:tcPr>
            <w:tcW w:w="990" w:type="dxa"/>
          </w:tcPr>
          <w:p>
            <w:pPr>
              <w:jc w:val="center"/>
            </w:pPr>
            <w:r>
              <w:t>4k</w:t>
            </w:r>
          </w:p>
        </w:tc>
        <w:tc>
          <w:tcPr>
            <w:tcW w:w="990" w:type="dxa"/>
          </w:tcPr>
          <w:p>
            <w:pPr>
              <w:jc w:val="center"/>
            </w:pPr>
            <w:r>
              <w:t>16</w:t>
            </w:r>
          </w:p>
        </w:tc>
        <w:tc>
          <w:tcPr>
            <w:tcW w:w="990" w:type="dxa"/>
          </w:tcPr>
          <w:p>
            <w:pPr>
              <w:jc w:val="left"/>
            </w:pPr>
            <w:r>
              <w:t>8193</w:t>
            </w:r>
          </w:p>
        </w:tc>
        <w:tc>
          <w:tcPr>
            <w:tcW w:w="990" w:type="dxa"/>
          </w:tcPr>
          <w:p>
            <w:pPr>
              <w:jc w:val="left"/>
            </w:pPr>
            <w:r>
              <w:t>7708</w:t>
            </w:r>
          </w:p>
        </w:tc>
        <w:tc>
          <w:tcPr>
            <w:tcW w:w="990" w:type="dxa"/>
          </w:tcPr>
          <w:p>
            <w:pPr>
              <w:jc w:val="left"/>
            </w:pPr>
            <w:r>
              <w:t>7952</w:t>
            </w:r>
          </w:p>
        </w:tc>
        <w:tc>
          <w:tcPr>
            <w:tcW w:w="990" w:type="dxa"/>
          </w:tcPr>
          <w:p>
            <w:pPr>
              <w:jc w:val="left"/>
            </w:pPr>
            <w:r>
              <w:t>11545</w:t>
            </w:r>
          </w:p>
        </w:tc>
        <w:tc>
          <w:tcPr>
            <w:tcW w:w="990" w:type="dxa"/>
          </w:tcPr>
          <w:p>
            <w:pPr>
              <w:jc w:val="left"/>
            </w:pPr>
            <w:r>
              <w:rPr>
                <w:b/>
                <w:bCs/>
              </w:rPr>
              <w:t>13847</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5394</w:t>
            </w:r>
          </w:p>
        </w:tc>
        <w:tc>
          <w:tcPr>
            <w:tcW w:w="990" w:type="dxa"/>
          </w:tcPr>
          <w:p>
            <w:pPr>
              <w:jc w:val="left"/>
            </w:pPr>
            <w:r>
              <w:t>4583</w:t>
            </w:r>
          </w:p>
        </w:tc>
        <w:tc>
          <w:tcPr>
            <w:tcW w:w="990" w:type="dxa"/>
          </w:tcPr>
          <w:p>
            <w:pPr>
              <w:jc w:val="left"/>
            </w:pPr>
            <w:r>
              <w:t>4630</w:t>
            </w:r>
          </w:p>
        </w:tc>
        <w:tc>
          <w:tcPr>
            <w:tcW w:w="990" w:type="dxa"/>
          </w:tcPr>
          <w:p>
            <w:pPr>
              <w:jc w:val="left"/>
            </w:pPr>
            <w:r>
              <w:t>6764</w:t>
            </w:r>
          </w:p>
        </w:tc>
        <w:tc>
          <w:tcPr>
            <w:tcW w:w="990" w:type="dxa"/>
          </w:tcPr>
          <w:p>
            <w:pPr>
              <w:jc w:val="left"/>
            </w:pPr>
            <w:r>
              <w:rPr>
                <w:b/>
                <w:bCs/>
              </w:rPr>
              <w:t>7551</w:t>
            </w:r>
          </w:p>
        </w:tc>
      </w:tr>
      <w:tr>
        <w:tblPrEx>
          <w:tblLayout w:type="fixed"/>
          <w:tblCellMar>
            <w:top w:w="0" w:type="dxa"/>
            <w:left w:w="108" w:type="dxa"/>
            <w:bottom w:w="0" w:type="dxa"/>
            <w:right w:w="108" w:type="dxa"/>
          </w:tblCellMar>
        </w:tblPrEx>
        <w:tc>
          <w:tcPr>
            <w:tcW w:w="990" w:type="dxa"/>
            <w:vMerge w:val="restart"/>
          </w:tcPr>
          <w:p>
            <w:pPr>
              <w:jc w:val="center"/>
            </w:pPr>
            <w:r>
              <w:t>2k</w:t>
            </w:r>
          </w:p>
        </w:tc>
        <w:tc>
          <w:tcPr>
            <w:tcW w:w="990" w:type="dxa"/>
          </w:tcPr>
          <w:p>
            <w:pPr>
              <w:jc w:val="center"/>
            </w:pPr>
            <w:r>
              <w:t>4k</w:t>
            </w:r>
          </w:p>
        </w:tc>
        <w:tc>
          <w:tcPr>
            <w:tcW w:w="990" w:type="dxa"/>
          </w:tcPr>
          <w:p>
            <w:pPr>
              <w:jc w:val="center"/>
            </w:pPr>
            <w:r>
              <w:t>16</w:t>
            </w:r>
          </w:p>
        </w:tc>
        <w:tc>
          <w:tcPr>
            <w:tcW w:w="990" w:type="dxa"/>
          </w:tcPr>
          <w:p>
            <w:pPr>
              <w:jc w:val="left"/>
            </w:pPr>
            <w:r>
              <w:t>4030</w:t>
            </w:r>
          </w:p>
        </w:tc>
        <w:tc>
          <w:tcPr>
            <w:tcW w:w="990" w:type="dxa"/>
          </w:tcPr>
          <w:p>
            <w:pPr>
              <w:jc w:val="left"/>
            </w:pPr>
            <w:r>
              <w:t>3701</w:t>
            </w:r>
          </w:p>
        </w:tc>
        <w:tc>
          <w:tcPr>
            <w:tcW w:w="990" w:type="dxa"/>
          </w:tcPr>
          <w:p>
            <w:pPr>
              <w:jc w:val="left"/>
            </w:pPr>
            <w:r>
              <w:t>OOM</w:t>
            </w:r>
          </w:p>
        </w:tc>
        <w:tc>
          <w:tcPr>
            <w:tcW w:w="990" w:type="dxa"/>
          </w:tcPr>
          <w:p>
            <w:pPr>
              <w:jc w:val="left"/>
            </w:pPr>
            <w:r>
              <w:t>4205</w:t>
            </w:r>
          </w:p>
        </w:tc>
        <w:tc>
          <w:tcPr>
            <w:tcW w:w="990" w:type="dxa"/>
          </w:tcPr>
          <w:p>
            <w:pPr>
              <w:jc w:val="left"/>
            </w:pPr>
            <w:r>
              <w:rPr>
                <w:b/>
                <w:bCs/>
              </w:rPr>
              <w:t>5587</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2907</w:t>
            </w:r>
          </w:p>
        </w:tc>
        <w:tc>
          <w:tcPr>
            <w:tcW w:w="990" w:type="dxa"/>
          </w:tcPr>
          <w:p>
            <w:pPr>
              <w:jc w:val="left"/>
            </w:pPr>
            <w:r>
              <w:t>2638</w:t>
            </w:r>
          </w:p>
        </w:tc>
        <w:tc>
          <w:tcPr>
            <w:tcW w:w="990" w:type="dxa"/>
          </w:tcPr>
          <w:p>
            <w:pPr>
              <w:jc w:val="left"/>
            </w:pPr>
            <w:r>
              <w:t>OOM</w:t>
            </w:r>
          </w:p>
        </w:tc>
        <w:tc>
          <w:tcPr>
            <w:tcW w:w="990" w:type="dxa"/>
          </w:tcPr>
          <w:p>
            <w:pPr>
              <w:jc w:val="left"/>
            </w:pPr>
            <w:r>
              <w:t>3150</w:t>
            </w:r>
          </w:p>
        </w:tc>
        <w:tc>
          <w:tcPr>
            <w:tcW w:w="990" w:type="dxa"/>
          </w:tcPr>
          <w:p>
            <w:pPr>
              <w:jc w:val="left"/>
            </w:pPr>
            <w:r>
              <w:rPr>
                <w:b/>
                <w:bCs/>
              </w:rPr>
              <w:t>4151</w:t>
            </w:r>
          </w:p>
        </w:tc>
      </w:tr>
      <w:tr>
        <w:tblPrEx>
          <w:tblLayout w:type="fixed"/>
          <w:tblCellMar>
            <w:top w:w="0" w:type="dxa"/>
            <w:left w:w="108" w:type="dxa"/>
            <w:bottom w:w="0" w:type="dxa"/>
            <w:right w:w="108" w:type="dxa"/>
          </w:tblCellMar>
        </w:tblPrEx>
        <w:tc>
          <w:tcPr>
            <w:tcW w:w="990" w:type="dxa"/>
            <w:vMerge w:val="restart"/>
          </w:tcPr>
          <w:p>
            <w:pPr>
              <w:jc w:val="center"/>
            </w:pPr>
            <w:r>
              <w:t>4k</w:t>
            </w:r>
          </w:p>
        </w:tc>
        <w:tc>
          <w:tcPr>
            <w:tcW w:w="990" w:type="dxa"/>
          </w:tcPr>
          <w:p>
            <w:pPr>
              <w:jc w:val="center"/>
            </w:pPr>
            <w:r>
              <w:t>4k</w:t>
            </w:r>
          </w:p>
        </w:tc>
        <w:tc>
          <w:tcPr>
            <w:tcW w:w="990" w:type="dxa"/>
          </w:tcPr>
          <w:p>
            <w:pPr>
              <w:jc w:val="center"/>
            </w:pPr>
            <w:r>
              <w:t>16</w:t>
            </w:r>
          </w:p>
        </w:tc>
        <w:tc>
          <w:tcPr>
            <w:tcW w:w="990" w:type="dxa"/>
          </w:tcPr>
          <w:p>
            <w:pPr>
              <w:jc w:val="left"/>
            </w:pPr>
            <w:r>
              <w:rPr>
                <w:b/>
                <w:bCs/>
              </w:rPr>
              <w:t>1530</w:t>
            </w:r>
          </w:p>
        </w:tc>
        <w:tc>
          <w:tcPr>
            <w:tcW w:w="990" w:type="dxa"/>
          </w:tcPr>
          <w:p>
            <w:pPr>
              <w:jc w:val="left"/>
            </w:pPr>
            <w:r>
              <w:t>OOM</w:t>
            </w:r>
          </w:p>
        </w:tc>
        <w:tc>
          <w:tcPr>
            <w:tcW w:w="990" w:type="dxa"/>
          </w:tcPr>
          <w:p>
            <w:pPr>
              <w:jc w:val="left"/>
            </w:pPr>
            <w:r>
              <w:t>OOM</w:t>
            </w:r>
          </w:p>
        </w:tc>
        <w:tc>
          <w:tcPr>
            <w:tcW w:w="990" w:type="dxa"/>
          </w:tcPr>
          <w:p>
            <w:pPr>
              <w:jc w:val="left"/>
            </w:pPr>
            <w:r>
              <w:t>1186</w:t>
            </w:r>
          </w:p>
        </w:tc>
        <w:tc>
          <w:tcPr>
            <w:tcW w:w="990" w:type="dxa"/>
          </w:tcPr>
          <w:p>
            <w:pPr>
              <w:jc w:val="left"/>
            </w:pPr>
            <w:r>
              <w:t>1402</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left"/>
            </w:pPr>
            <w:r>
              <w:t>1232</w:t>
            </w:r>
          </w:p>
        </w:tc>
        <w:tc>
          <w:tcPr>
            <w:tcW w:w="990" w:type="dxa"/>
          </w:tcPr>
          <w:p>
            <w:pPr>
              <w:jc w:val="left"/>
            </w:pPr>
            <w:r>
              <w:t>OOM</w:t>
            </w:r>
          </w:p>
        </w:tc>
        <w:tc>
          <w:tcPr>
            <w:tcW w:w="990" w:type="dxa"/>
          </w:tcPr>
          <w:p>
            <w:pPr>
              <w:jc w:val="left"/>
            </w:pPr>
            <w:r>
              <w:t>OOM</w:t>
            </w:r>
          </w:p>
        </w:tc>
        <w:tc>
          <w:tcPr>
            <w:tcW w:w="990" w:type="dxa"/>
          </w:tcPr>
          <w:p>
            <w:pPr>
              <w:jc w:val="left"/>
            </w:pPr>
            <w:r>
              <w:t>966</w:t>
            </w:r>
          </w:p>
        </w:tc>
        <w:tc>
          <w:tcPr>
            <w:tcW w:w="990" w:type="dxa"/>
          </w:tcPr>
          <w:p>
            <w:pPr>
              <w:jc w:val="left"/>
            </w:pPr>
            <w:r>
              <w:rPr>
                <w:b/>
                <w:bCs/>
              </w:rPr>
              <w:t>1505</w:t>
            </w:r>
          </w:p>
        </w:tc>
      </w:tr>
      <w:bookmarkEnd w:id="15"/>
    </w:tbl>
    <w:p>
      <w:bookmarkStart w:id="16" w:name="tab:perform_pcie"/>
      <w:bookmarkEnd w:id="16"/>
    </w:p>
    <w:p>
      <w:pPr>
        <w:pStyle w:val="3"/>
      </w:pPr>
      <w:bookmarkStart w:id="17" w:name="experimental-setup"/>
      <w:r>
        <w:t>6.1 Experimental Setup</w:t>
      </w:r>
    </w:p>
    <w:p>
      <w:r>
        <w:t xml:space="preserve">We evaluate our implementation on models based on the open-source LLama-2 structure[20] (also GPT-style models). In our experiments, we fix the head number as 32 and the layer number </w:t>
      </w:r>
      <m:oMath>
        <m:r>
          <m:t>L</m:t>
        </m:r>
      </m:oMath>
      <w:r>
        <w:t xml:space="preserve"> as 32. We change the hidden dimension size </w:t>
      </w:r>
      <m:oMath>
        <m:r>
          <m:t>H</m:t>
        </m:r>
      </m:oMath>
      <w:r>
        <w:t xml:space="preserve">, token length </w:t>
      </w:r>
      <m:oMath>
        <m:r>
          <m:t>S</m:t>
        </m:r>
      </m:oMath>
      <w:r>
        <w:t xml:space="preserve">, micro-batch size </w:t>
      </w:r>
      <m:oMath>
        <m:r>
          <m:t>G</m:t>
        </m:r>
      </m:oMath>
      <w:r>
        <w:t xml:space="preserve">, and the number of micro-batches </w:t>
      </w:r>
      <m:oMath>
        <m:r>
          <m:t>N</m:t>
        </m:r>
      </m:oMath>
      <w:r>
        <w:t xml:space="preserve"> in an iteration to obtain models with various scales. We compare the WeiPipe-Interleave against widely used 1F1B, state-of-the-art zero-bubble 1 &amp; 2, and FSDP under different communication infrastructures in terms of throughput, memory consumption and scalability. The 1F1B and zero-bubble strategies are implemented through Megatron-LM, while FSDP is achieved by the ZeRO-3 optimization in DeepSpeed. All strategies are applied with the same model configuration, micro-batch size, mixed-precision settings, recomputation, flash-attention, and hardware environment.</w:t>
      </w:r>
    </w:p>
    <w:p>
      <w:r>
        <w:t>We choose Colossal Cloud with A800 GPUs as the experimental hardware environment. The A800 has 80GB HBM and 312 TFlops fp16/bf16 tensor cores. However, compared to the A100 GPUs, the A800 limits NVLink bandwidth from 600GB/s to 400GB/s. To evaluate the communication effectiveness of WeiPipe, we conducted experiments using two different communication infrastructures. The first setup involves 16 A800 GPUs in two clusters with NVLink[41] connections. The second setup features 32 A800 GPUs across 4 clusters with PCIe connections within each cluster. The clusters are connected by 10Gb Ethernet. We utilized the NCCL as the underlying communication library. The NCCL chooses ring-based implementation for collective primitives including reduce-scatter and all-gather that are used in FSDP by default, and tree algorithms are not adopted in our experiments. Therefore, we maintain a ring topology for all parallel strategies that appeared in the experiments.</w:t>
      </w:r>
    </w:p>
    <w:bookmarkEnd w:id="17"/>
    <w:p>
      <w:pPr>
        <w:pStyle w:val="3"/>
      </w:pPr>
      <w:bookmarkStart w:id="18" w:name="throughput-and-memory-consumption"/>
      <w:r>
        <w:t>6.2 Throughput and Memory Consumption</w:t>
      </w:r>
    </w:p>
    <w:p>
      <w:r>
        <w:t xml:space="preserve">For the NVLink environment, the performance and maximum memory consumption of WeiPipe and other strategies are shown in Table </w:t>
      </w:r>
      <w:r>
        <w:fldChar w:fldCharType="begin"/>
      </w:r>
      <w:r>
        <w:instrText xml:space="preserve"> HYPERLINK \l "tab:perform_nvlink" \h </w:instrText>
      </w:r>
      <w:r>
        <w:fldChar w:fldCharType="separate"/>
      </w:r>
      <w:r>
        <w:rPr>
          <w:rStyle w:val="16"/>
        </w:rPr>
        <w:t>1</w:t>
      </w:r>
      <w:r>
        <w:rPr>
          <w:rStyle w:val="16"/>
        </w:rPr>
        <w:fldChar w:fldCharType="end"/>
      </w:r>
      <w:r>
        <w:t xml:space="preserve">. In this experiment, the hidden dimension size ranges from 4096 to 16384 combined with sequence length of 4096, 8192 and 16384 to get 9 different models, covering scenarios with long context. The model size ranges from 384M to 6.1B, unifying the batch size to 64. Among all configurations, WeiPipe demonstrates higher performance compared to other strategies. Specifically, when </w:t>
      </w:r>
      <m:oMath>
        <m:r>
          <m:t>H</m:t>
        </m:r>
        <m:r>
          <m:rPr>
            <m:sty m:val="p"/>
          </m:rPr>
          <m:t>=</m:t>
        </m:r>
        <m:r>
          <m:t>4096</m:t>
        </m:r>
      </m:oMath>
      <w:r>
        <w:t xml:space="preserve"> and </w:t>
      </w:r>
      <m:oMath>
        <m:r>
          <m:t>S</m:t>
        </m:r>
        <m:r>
          <m:rPr>
            <m:sty m:val="p"/>
          </m:rPr>
          <m:t>=</m:t>
        </m:r>
        <m:r>
          <m:t>16384</m:t>
        </m:r>
      </m:oMath>
      <w:r>
        <w:t>, WeiPipe achieves 22.3% and 78.4% improvement of throughput compared to 1F1B and FSDP respectively.</w:t>
      </w:r>
    </w:p>
    <w:p>
      <w:bookmarkStart w:id="19" w:name="tab:only_nvlink"/>
      <w:r>
        <w:t>Throughput of training the LLama-style model on 8 GPUs with NVLink connections with layer number as 16. For ZB strategies, G is set to 4 if S=4096 and G=1 if S=8192 or 16384.</w:t>
      </w:r>
    </w:p>
    <w:p>
      <w:pPr>
        <w:pStyle w:val="31"/>
        <w:jc w:val="center"/>
      </w:pPr>
      <w:r>
        <w:t>Table 4. Throughput of training the LLama-style model on 8 GPUs with NVLink connections with layer number as 16. For ZB strategies, G is set to 4 if S=4096 and G=1 if S=8192 or 16384.</w:t>
      </w:r>
    </w:p>
    <w:tbl>
      <w:tblPr>
        <w:tblStyle w:val="19"/>
        <w:tblW w:w="7920" w:type="dxa"/>
        <w:tblInd w:w="0" w:type="dxa"/>
        <w:tblLayout w:type="fixed"/>
        <w:tblCellMar>
          <w:top w:w="0" w:type="dxa"/>
          <w:left w:w="108" w:type="dxa"/>
          <w:bottom w:w="0" w:type="dxa"/>
          <w:right w:w="108" w:type="dxa"/>
        </w:tblCellMar>
      </w:tblPr>
      <w:tblGrid>
        <w:gridCol w:w="990"/>
        <w:gridCol w:w="990"/>
        <w:gridCol w:w="990"/>
        <w:gridCol w:w="990"/>
        <w:gridCol w:w="990"/>
        <w:gridCol w:w="990"/>
        <w:gridCol w:w="990"/>
        <w:gridCol w:w="990"/>
      </w:tblGrid>
      <w:tr>
        <w:tblPrEx>
          <w:tblLayout w:type="fixed"/>
          <w:tblCellMar>
            <w:top w:w="0" w:type="dxa"/>
            <w:left w:w="108" w:type="dxa"/>
            <w:bottom w:w="0" w:type="dxa"/>
            <w:right w:w="108" w:type="dxa"/>
          </w:tblCellMar>
        </w:tblPrEx>
        <w:tc>
          <w:tcPr>
            <w:tcW w:w="2970" w:type="dxa"/>
            <w:gridSpan w:val="3"/>
          </w:tcPr>
          <w:p>
            <w:pPr>
              <w:jc w:val="center"/>
            </w:pPr>
            <w:r>
              <w:t>Model Config</w:t>
            </w:r>
          </w:p>
        </w:tc>
        <w:tc>
          <w:tcPr>
            <w:tcW w:w="4950" w:type="dxa"/>
            <w:gridSpan w:val="5"/>
          </w:tcPr>
          <w:p>
            <w:pPr>
              <w:jc w:val="center"/>
            </w:pPr>
            <w:r>
              <w:t>Throughput(Kilo Tokens/second/GPU)</w:t>
            </w:r>
          </w:p>
        </w:tc>
      </w:tr>
      <w:tr>
        <w:tblPrEx>
          <w:tblLayout w:type="fixed"/>
          <w:tblCellMar>
            <w:top w:w="0" w:type="dxa"/>
            <w:left w:w="108" w:type="dxa"/>
            <w:bottom w:w="0" w:type="dxa"/>
            <w:right w:w="108" w:type="dxa"/>
          </w:tblCellMar>
        </w:tblPrEx>
        <w:tc>
          <w:tcPr>
            <w:tcW w:w="990" w:type="dxa"/>
          </w:tcPr>
          <w:p>
            <w:pPr>
              <w:jc w:val="center"/>
            </w:pPr>
            <w:r>
              <w:t>H</w:t>
            </w:r>
          </w:p>
        </w:tc>
        <w:tc>
          <w:tcPr>
            <w:tcW w:w="990" w:type="dxa"/>
          </w:tcPr>
          <w:p>
            <w:pPr>
              <w:jc w:val="center"/>
            </w:pPr>
            <w:r>
              <w:t>S</w:t>
            </w:r>
          </w:p>
        </w:tc>
        <w:tc>
          <w:tcPr>
            <w:tcW w:w="990" w:type="dxa"/>
          </w:tcPr>
          <w:p>
            <w:pPr>
              <w:jc w:val="center"/>
            </w:pPr>
            <w:r>
              <w:t>G</w:t>
            </w:r>
          </w:p>
        </w:tc>
        <w:tc>
          <w:tcPr>
            <w:tcW w:w="990" w:type="dxa"/>
          </w:tcPr>
          <w:p>
            <w:pPr>
              <w:jc w:val="center"/>
            </w:pPr>
            <w:r>
              <w:t>1F1B</w:t>
            </w:r>
          </w:p>
        </w:tc>
        <w:tc>
          <w:tcPr>
            <w:tcW w:w="990" w:type="dxa"/>
          </w:tcPr>
          <w:p>
            <w:pPr>
              <w:jc w:val="center"/>
            </w:pPr>
            <w:r>
              <w:t>ZB1</w:t>
            </w:r>
          </w:p>
        </w:tc>
        <w:tc>
          <w:tcPr>
            <w:tcW w:w="990" w:type="dxa"/>
          </w:tcPr>
          <w:p>
            <w:pPr>
              <w:jc w:val="center"/>
            </w:pPr>
            <w:r>
              <w:t>ZB2</w:t>
            </w:r>
          </w:p>
        </w:tc>
        <w:tc>
          <w:tcPr>
            <w:tcW w:w="990" w:type="dxa"/>
          </w:tcPr>
          <w:p>
            <w:pPr>
              <w:jc w:val="center"/>
            </w:pPr>
            <w:r>
              <w:t>FSDP</w:t>
            </w:r>
          </w:p>
        </w:tc>
        <w:tc>
          <w:tcPr>
            <w:tcW w:w="990" w:type="dxa"/>
          </w:tcPr>
          <w:p>
            <w:pPr>
              <w:jc w:val="center"/>
            </w:pPr>
            <w:r>
              <w:t>WeiPipe</w:t>
            </w:r>
          </w:p>
        </w:tc>
      </w:tr>
      <w:tr>
        <w:tblPrEx>
          <w:tblLayout w:type="fixed"/>
          <w:tblCellMar>
            <w:top w:w="0" w:type="dxa"/>
            <w:left w:w="108" w:type="dxa"/>
            <w:bottom w:w="0" w:type="dxa"/>
            <w:right w:w="108" w:type="dxa"/>
          </w:tblCellMar>
        </w:tblPrEx>
        <w:tc>
          <w:tcPr>
            <w:tcW w:w="990" w:type="dxa"/>
            <w:vMerge w:val="restart"/>
          </w:tcPr>
          <w:p>
            <w:pPr>
              <w:jc w:val="center"/>
            </w:pPr>
            <w:r>
              <w:t>1k</w:t>
            </w:r>
          </w:p>
        </w:tc>
        <w:tc>
          <w:tcPr>
            <w:tcW w:w="990" w:type="dxa"/>
          </w:tcPr>
          <w:p>
            <w:pPr>
              <w:jc w:val="center"/>
            </w:pPr>
            <w:r>
              <w:t>4k</w:t>
            </w:r>
          </w:p>
        </w:tc>
        <w:tc>
          <w:tcPr>
            <w:tcW w:w="990" w:type="dxa"/>
          </w:tcPr>
          <w:p>
            <w:pPr>
              <w:jc w:val="center"/>
            </w:pPr>
            <w:r>
              <w:t>16</w:t>
            </w:r>
          </w:p>
        </w:tc>
        <w:tc>
          <w:tcPr>
            <w:tcW w:w="990" w:type="dxa"/>
          </w:tcPr>
          <w:p>
            <w:pPr>
              <w:jc w:val="center"/>
            </w:pPr>
            <w:r>
              <w:t>32.0</w:t>
            </w:r>
          </w:p>
        </w:tc>
        <w:tc>
          <w:tcPr>
            <w:tcW w:w="990" w:type="dxa"/>
          </w:tcPr>
          <w:p>
            <w:pPr>
              <w:jc w:val="center"/>
            </w:pPr>
            <w:r>
              <w:t>45.8</w:t>
            </w:r>
          </w:p>
        </w:tc>
        <w:tc>
          <w:tcPr>
            <w:tcW w:w="990" w:type="dxa"/>
          </w:tcPr>
          <w:p>
            <w:pPr>
              <w:jc w:val="center"/>
            </w:pPr>
            <w:r>
              <w:rPr>
                <w:b/>
                <w:bCs/>
              </w:rPr>
              <w:t>46.5</w:t>
            </w:r>
          </w:p>
        </w:tc>
        <w:tc>
          <w:tcPr>
            <w:tcW w:w="990" w:type="dxa"/>
          </w:tcPr>
          <w:p>
            <w:pPr>
              <w:jc w:val="center"/>
            </w:pPr>
            <w:r>
              <w:t>37.9</w:t>
            </w:r>
          </w:p>
        </w:tc>
        <w:tc>
          <w:tcPr>
            <w:tcW w:w="990" w:type="dxa"/>
          </w:tcPr>
          <w:p>
            <w:pPr>
              <w:jc w:val="center"/>
            </w:pPr>
            <w:r>
              <w:t>31.3</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15.9</w:t>
            </w:r>
          </w:p>
        </w:tc>
        <w:tc>
          <w:tcPr>
            <w:tcW w:w="990" w:type="dxa"/>
          </w:tcPr>
          <w:p>
            <w:pPr>
              <w:jc w:val="center"/>
            </w:pPr>
            <w:r>
              <w:t>22.0</w:t>
            </w:r>
          </w:p>
        </w:tc>
        <w:tc>
          <w:tcPr>
            <w:tcW w:w="990" w:type="dxa"/>
          </w:tcPr>
          <w:p>
            <w:pPr>
              <w:jc w:val="center"/>
            </w:pPr>
            <w:r>
              <w:rPr>
                <w:b/>
                <w:bCs/>
              </w:rPr>
              <w:t>22.1</w:t>
            </w:r>
          </w:p>
        </w:tc>
        <w:tc>
          <w:tcPr>
            <w:tcW w:w="990" w:type="dxa"/>
          </w:tcPr>
          <w:p>
            <w:pPr>
              <w:jc w:val="center"/>
            </w:pPr>
            <w:r>
              <w:t>17.8</w:t>
            </w:r>
          </w:p>
        </w:tc>
        <w:tc>
          <w:tcPr>
            <w:tcW w:w="990" w:type="dxa"/>
          </w:tcPr>
          <w:p>
            <w:pPr>
              <w:jc w:val="center"/>
            </w:pPr>
            <w:r>
              <w:t>16.9</w:t>
            </w:r>
          </w:p>
        </w:tc>
      </w:tr>
      <w:tr>
        <w:tblPrEx>
          <w:tblLayout w:type="fixed"/>
          <w:tblCellMar>
            <w:top w:w="0" w:type="dxa"/>
            <w:left w:w="108" w:type="dxa"/>
            <w:bottom w:w="0" w:type="dxa"/>
            <w:right w:w="108" w:type="dxa"/>
          </w:tblCellMar>
        </w:tblPrEx>
        <w:tc>
          <w:tcPr>
            <w:tcW w:w="990" w:type="dxa"/>
            <w:vMerge w:val="restart"/>
          </w:tcPr>
          <w:p>
            <w:pPr>
              <w:jc w:val="center"/>
            </w:pPr>
            <w:r>
              <w:t>2k</w:t>
            </w:r>
          </w:p>
        </w:tc>
        <w:tc>
          <w:tcPr>
            <w:tcW w:w="990" w:type="dxa"/>
          </w:tcPr>
          <w:p>
            <w:pPr>
              <w:jc w:val="center"/>
            </w:pPr>
            <w:r>
              <w:t>4k</w:t>
            </w:r>
          </w:p>
        </w:tc>
        <w:tc>
          <w:tcPr>
            <w:tcW w:w="990" w:type="dxa"/>
          </w:tcPr>
          <w:p>
            <w:pPr>
              <w:jc w:val="center"/>
            </w:pPr>
            <w:r>
              <w:t>16</w:t>
            </w:r>
          </w:p>
        </w:tc>
        <w:tc>
          <w:tcPr>
            <w:tcW w:w="990" w:type="dxa"/>
          </w:tcPr>
          <w:p>
            <w:pPr>
              <w:jc w:val="center"/>
            </w:pPr>
            <w:r>
              <w:t>15.0</w:t>
            </w:r>
          </w:p>
        </w:tc>
        <w:tc>
          <w:tcPr>
            <w:tcW w:w="990" w:type="dxa"/>
          </w:tcPr>
          <w:p>
            <w:pPr>
              <w:jc w:val="center"/>
            </w:pPr>
            <w:r>
              <w:rPr>
                <w:b/>
                <w:bCs/>
              </w:rPr>
              <w:t>22.4</w:t>
            </w:r>
          </w:p>
        </w:tc>
        <w:tc>
          <w:tcPr>
            <w:tcW w:w="990" w:type="dxa"/>
          </w:tcPr>
          <w:p>
            <w:pPr>
              <w:jc w:val="center"/>
            </w:pPr>
            <w:r>
              <w:t>OOM</w:t>
            </w:r>
          </w:p>
        </w:tc>
        <w:tc>
          <w:tcPr>
            <w:tcW w:w="990" w:type="dxa"/>
          </w:tcPr>
          <w:p>
            <w:pPr>
              <w:jc w:val="center"/>
            </w:pPr>
            <w:r>
              <w:t>17.0</w:t>
            </w:r>
          </w:p>
        </w:tc>
        <w:tc>
          <w:tcPr>
            <w:tcW w:w="990" w:type="dxa"/>
          </w:tcPr>
          <w:p>
            <w:pPr>
              <w:jc w:val="center"/>
            </w:pPr>
            <w:r>
              <w:t>14.2</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9.4</w:t>
            </w:r>
          </w:p>
        </w:tc>
        <w:tc>
          <w:tcPr>
            <w:tcW w:w="990" w:type="dxa"/>
          </w:tcPr>
          <w:p>
            <w:pPr>
              <w:jc w:val="center"/>
            </w:pPr>
            <w:r>
              <w:t>12.8</w:t>
            </w:r>
          </w:p>
        </w:tc>
        <w:tc>
          <w:tcPr>
            <w:tcW w:w="990" w:type="dxa"/>
          </w:tcPr>
          <w:p>
            <w:pPr>
              <w:jc w:val="center"/>
            </w:pPr>
            <w:r>
              <w:t>OOM</w:t>
            </w:r>
          </w:p>
        </w:tc>
        <w:tc>
          <w:tcPr>
            <w:tcW w:w="990" w:type="dxa"/>
          </w:tcPr>
          <w:p>
            <w:pPr>
              <w:jc w:val="center"/>
            </w:pPr>
            <w:r>
              <w:t>10.1</w:t>
            </w:r>
          </w:p>
        </w:tc>
        <w:tc>
          <w:tcPr>
            <w:tcW w:w="990" w:type="dxa"/>
          </w:tcPr>
          <w:p>
            <w:pPr>
              <w:jc w:val="center"/>
            </w:pPr>
            <w:r>
              <w:t>9.7</w:t>
            </w:r>
          </w:p>
        </w:tc>
      </w:tr>
      <w:tr>
        <w:tblPrEx>
          <w:tblLayout w:type="fixed"/>
          <w:tblCellMar>
            <w:top w:w="0" w:type="dxa"/>
            <w:left w:w="108" w:type="dxa"/>
            <w:bottom w:w="0" w:type="dxa"/>
            <w:right w:w="108" w:type="dxa"/>
          </w:tblCellMar>
        </w:tblPrEx>
        <w:tc>
          <w:tcPr>
            <w:tcW w:w="990" w:type="dxa"/>
            <w:vMerge w:val="restart"/>
          </w:tcPr>
          <w:p>
            <w:pPr>
              <w:jc w:val="center"/>
            </w:pPr>
            <w:r>
              <w:t>4k</w:t>
            </w:r>
          </w:p>
        </w:tc>
        <w:tc>
          <w:tcPr>
            <w:tcW w:w="990" w:type="dxa"/>
          </w:tcPr>
          <w:p>
            <w:pPr>
              <w:jc w:val="center"/>
            </w:pPr>
            <w:r>
              <w:t>4k</w:t>
            </w:r>
          </w:p>
        </w:tc>
        <w:tc>
          <w:tcPr>
            <w:tcW w:w="990" w:type="dxa"/>
          </w:tcPr>
          <w:p>
            <w:pPr>
              <w:jc w:val="center"/>
            </w:pPr>
            <w:r>
              <w:t>16</w:t>
            </w:r>
          </w:p>
        </w:tc>
        <w:tc>
          <w:tcPr>
            <w:tcW w:w="990" w:type="dxa"/>
          </w:tcPr>
          <w:p>
            <w:pPr>
              <w:jc w:val="center"/>
            </w:pPr>
            <w:r>
              <w:t>5.2</w:t>
            </w:r>
          </w:p>
        </w:tc>
        <w:tc>
          <w:tcPr>
            <w:tcW w:w="990" w:type="dxa"/>
          </w:tcPr>
          <w:p>
            <w:pPr>
              <w:jc w:val="center"/>
            </w:pPr>
            <w:r>
              <w:t>OOM</w:t>
            </w:r>
          </w:p>
        </w:tc>
        <w:tc>
          <w:tcPr>
            <w:tcW w:w="990" w:type="dxa"/>
          </w:tcPr>
          <w:p>
            <w:pPr>
              <w:jc w:val="center"/>
            </w:pPr>
            <w:r>
              <w:t>OOM</w:t>
            </w:r>
          </w:p>
        </w:tc>
        <w:tc>
          <w:tcPr>
            <w:tcW w:w="990" w:type="dxa"/>
          </w:tcPr>
          <w:p>
            <w:pPr>
              <w:jc w:val="center"/>
            </w:pPr>
            <w:r>
              <w:rPr>
                <w:b/>
                <w:bCs/>
              </w:rPr>
              <w:t>6.0</w:t>
            </w:r>
          </w:p>
        </w:tc>
        <w:tc>
          <w:tcPr>
            <w:tcW w:w="990" w:type="dxa"/>
          </w:tcPr>
          <w:p>
            <w:pPr>
              <w:jc w:val="center"/>
            </w:pPr>
            <w:r>
              <w:t>4.9</w:t>
            </w:r>
          </w:p>
        </w:tc>
      </w:tr>
      <w:tr>
        <w:tblPrEx>
          <w:tblLayout w:type="fixed"/>
          <w:tblCellMar>
            <w:top w:w="0" w:type="dxa"/>
            <w:left w:w="108" w:type="dxa"/>
            <w:bottom w:w="0" w:type="dxa"/>
            <w:right w:w="108" w:type="dxa"/>
          </w:tblCellMar>
        </w:tblPrEx>
        <w:tc>
          <w:tcPr>
            <w:tcW w:w="990" w:type="dxa"/>
            <w:vMerge w:val="continue"/>
          </w:tcPr>
          <w:p/>
        </w:tc>
        <w:tc>
          <w:tcPr>
            <w:tcW w:w="990" w:type="dxa"/>
          </w:tcPr>
          <w:p>
            <w:pPr>
              <w:jc w:val="center"/>
            </w:pPr>
            <w:r>
              <w:t>16k</w:t>
            </w:r>
          </w:p>
        </w:tc>
        <w:tc>
          <w:tcPr>
            <w:tcW w:w="990" w:type="dxa"/>
          </w:tcPr>
          <w:p>
            <w:pPr>
              <w:jc w:val="center"/>
            </w:pPr>
            <w:r>
              <w:t>4</w:t>
            </w:r>
          </w:p>
        </w:tc>
        <w:tc>
          <w:tcPr>
            <w:tcW w:w="990" w:type="dxa"/>
          </w:tcPr>
          <w:p>
            <w:pPr>
              <w:jc w:val="center"/>
            </w:pPr>
            <w:r>
              <w:t>3.7</w:t>
            </w:r>
          </w:p>
        </w:tc>
        <w:tc>
          <w:tcPr>
            <w:tcW w:w="990" w:type="dxa"/>
          </w:tcPr>
          <w:p>
            <w:pPr>
              <w:jc w:val="center"/>
            </w:pPr>
            <w:r>
              <w:t>OOM</w:t>
            </w:r>
          </w:p>
        </w:tc>
        <w:tc>
          <w:tcPr>
            <w:tcW w:w="990" w:type="dxa"/>
          </w:tcPr>
          <w:p>
            <w:pPr>
              <w:jc w:val="center"/>
            </w:pPr>
            <w:r>
              <w:t>OOM</w:t>
            </w:r>
          </w:p>
        </w:tc>
        <w:tc>
          <w:tcPr>
            <w:tcW w:w="990" w:type="dxa"/>
          </w:tcPr>
          <w:p>
            <w:pPr>
              <w:jc w:val="center"/>
            </w:pPr>
            <w:r>
              <w:rPr>
                <w:b/>
                <w:bCs/>
              </w:rPr>
              <w:t>3.8</w:t>
            </w:r>
          </w:p>
        </w:tc>
        <w:tc>
          <w:tcPr>
            <w:tcW w:w="990" w:type="dxa"/>
          </w:tcPr>
          <w:p>
            <w:pPr>
              <w:jc w:val="center"/>
            </w:pPr>
            <w:r>
              <w:t>3.6</w:t>
            </w:r>
          </w:p>
        </w:tc>
      </w:tr>
      <w:bookmarkEnd w:id="19"/>
    </w:tbl>
    <w:p>
      <w:bookmarkStart w:id="20" w:name="tab:only_nvlink"/>
      <w:bookmarkEnd w:id="20"/>
    </w:p>
    <w:p>
      <w:r>
        <w:t xml:space="preserve">Table </w:t>
      </w:r>
      <w:r>
        <w:fldChar w:fldCharType="begin"/>
      </w:r>
      <w:r>
        <w:instrText xml:space="preserve"> HYPERLINK \l "tab:perform_nvlink" \h </w:instrText>
      </w:r>
      <w:r>
        <w:fldChar w:fldCharType="separate"/>
      </w:r>
      <w:r>
        <w:rPr>
          <w:rStyle w:val="16"/>
        </w:rPr>
        <w:t>1</w:t>
      </w:r>
      <w:r>
        <w:rPr>
          <w:rStyle w:val="16"/>
        </w:rPr>
        <w:fldChar w:fldCharType="end"/>
      </w:r>
      <w:r>
        <w:t xml:space="preserve"> also presents the maximum memory usage of each strategy. 1F1B has the smallest memory usage among all pipeline strategies. Recomputation and Flash Attention notably reduce memory usage for 1F1B and the earlier workers in the zero-bubble strategy. However, the zero-bubble method incurs significantly higher memory consumption compared to the 1F1B method, making it prone to out-of-memory (OOM) errors in long context scenarios, partially contradicting the conclusions reported in [13] that ZB1’s memory consumption is not higher than 1F1B, and ZB2’s memory consumption is twice that of 1F1B. This discrepancy arises because the original method employs neither flash-attention nor recomputation; activations in the forward pass are mainly generated by attention computations. During the B Pass, this portion of the memory is released while gradients of the remaining activations are generated. Compared to the size of the eliminated activations, this memory overhead is minimal, so the overall peak memory still occurs before the first backward pass of the first Rank begins. However, after enabling flash-attention, the activations generated by the attention process are greatly reduced. At this point, the forward activations are mainly produced by the computations of the FFN, and the size of the gradients produced during the B pass is approximately equal to the size of the activations generated in one forward pass. Consequently, the peak memory appears before the first W Pass of the last Rank and is about twice the peak of the first Rank. Therefore, although zero-bubble pipeline parallelism can theoretically significantly reduce the computation bubble rate, the high memory consumption necessitates the use of smaller batch sizes, which to some extent compromises computational efficiency.</w:t>
      </w:r>
    </w:p>
    <w:p>
      <w:r>
        <w:t xml:space="preserve">Conventional activation-passing PP typically use small micro-batch sizes due to the potentially large size of </w:t>
      </w:r>
      <m:oMath>
        <m:r>
          <m:t>G</m:t>
        </m:r>
        <m:sSub>
          <m:sSubPr/>
          <m:e>
            <m:r>
              <m:t>M</m:t>
            </m:r>
          </m:e>
          <m:sub>
            <m:r>
              <m:t>A</m:t>
            </m:r>
          </m:sub>
        </m:sSub>
      </m:oMath>
      <w:r>
        <w:t xml:space="preserve">. However, with the adoption of Flash Attention and recomputation, memory consumption can be significantly reduced, allowing for larger micro-batch sizes and highlighting the advantages of WeiPipe. The memory usage for WeiPipe is slightly higher compared to FSDP due to the additional buffer requirements for communication. In WeiPipe-Interleave, each worker allocates three buffers to receive </w:t>
      </w:r>
      <m:oMath>
        <m:r>
          <m:t>W</m:t>
        </m:r>
      </m:oMath>
      <w:r>
        <w:t xml:space="preserve">s and </w:t>
      </w:r>
      <m:oMath>
        <m:r>
          <m:t>D</m:t>
        </m:r>
      </m:oMath>
      <w:r>
        <w:t>s and three buffers to send. In contrast, FSDP’s implementation creates buffers on an operator-wise granularity, which may result in smaller and more fragmented buffers.</w:t>
      </w:r>
    </w:p>
    <w:p>
      <w:r>
        <w:t xml:space="preserve">Table </w:t>
      </w:r>
      <w:r>
        <w:fldChar w:fldCharType="begin"/>
      </w:r>
      <w:r>
        <w:instrText xml:space="preserve"> HYPERLINK \l "tab:perform_pcie" \h </w:instrText>
      </w:r>
      <w:r>
        <w:fldChar w:fldCharType="separate"/>
      </w:r>
      <w:r>
        <w:rPr>
          <w:rStyle w:val="16"/>
        </w:rPr>
        <w:t>2</w:t>
      </w:r>
      <w:r>
        <w:rPr>
          <w:rStyle w:val="16"/>
        </w:rPr>
        <w:fldChar w:fldCharType="end"/>
      </w:r>
      <w:r>
        <w:t xml:space="preserve"> presents the throughput in PCIe and Ethernet environment with 16 A800 GPUs from 2 clusters. Compared to NVLink, this environment further increases the communication pressure of large-context training. From Table </w:t>
      </w:r>
      <w:r>
        <w:fldChar w:fldCharType="begin"/>
      </w:r>
      <w:r>
        <w:instrText xml:space="preserve"> HYPERLINK \l "tab:perform_pcie" \h </w:instrText>
      </w:r>
      <w:r>
        <w:fldChar w:fldCharType="separate"/>
      </w:r>
      <w:r>
        <w:rPr>
          <w:rStyle w:val="16"/>
        </w:rPr>
        <w:t>2</w:t>
      </w:r>
      <w:r>
        <w:rPr>
          <w:rStyle w:val="16"/>
        </w:rPr>
        <w:fldChar w:fldCharType="end"/>
      </w:r>
      <w:r>
        <w:t xml:space="preserve">, we can see that WeiPipe-Interleave achieves 31.7% and 22.2% improvement of throughput compared to the best performance of other strategies when </w:t>
      </w:r>
      <m:oMath>
        <m:r>
          <m:t>S</m:t>
        </m:r>
        <m:r>
          <m:rPr>
            <m:sty m:val="p"/>
          </m:rPr>
          <m:t>=</m:t>
        </m:r>
        <m:r>
          <m:t>16384</m:t>
        </m:r>
      </m:oMath>
      <w:r>
        <w:t xml:space="preserve"> and </w:t>
      </w:r>
      <m:oMath>
        <m:r>
          <m:t>H</m:t>
        </m:r>
        <m:r>
          <m:rPr>
            <m:sty m:val="p"/>
          </m:rPr>
          <m:t>=</m:t>
        </m:r>
        <m:r>
          <m:t>2048</m:t>
        </m:r>
        <m:r>
          <m:rPr>
            <m:sty m:val="p"/>
          </m:rPr>
          <m:t>,</m:t>
        </m:r>
        <m:r>
          <m:t>4096</m:t>
        </m:r>
      </m:oMath>
      <w:r>
        <w:t>.</w:t>
      </w:r>
    </w:p>
    <w:p>
      <w:r>
        <w:t xml:space="preserve">The two experiments above are both in the presence of communication bottlenecks, where the low bandwidth of Ethernet makes a significantly impact. The results show that WeiPipe allows LLM training to be less dependent on high-bandwidth techniques. Similarly to DP, WeiPipe is well-suited for optimizations that overlap communication and computation. In our experiments, we implement layer-wise latency hiding in WeiPipe. However, in activation-passing methods, the previous layer must complete its computations before passing activations during the forward pass, and similarly during the backward pass. Communication hiding is constrained by data dependencies, while WeiPipe can transmit weights concurrently with computations. As a result, even in scenarios without long contexts, WeiPipe can still outperform current PP methods. We also conducted an experiment using eight A800 GPUs connected solely via NVLink, where communication constraints are less significant. The results in Table </w:t>
      </w:r>
      <w:r>
        <w:fldChar w:fldCharType="begin"/>
      </w:r>
      <w:r>
        <w:instrText xml:space="preserve"> HYPERLINK \l "tab:only_nvlink" \h </w:instrText>
      </w:r>
      <w:r>
        <w:fldChar w:fldCharType="separate"/>
      </w:r>
      <w:r>
        <w:rPr>
          <w:rStyle w:val="16"/>
        </w:rPr>
        <w:t>3</w:t>
      </w:r>
      <w:r>
        <w:rPr>
          <w:rStyle w:val="16"/>
        </w:rPr>
        <w:fldChar w:fldCharType="end"/>
      </w:r>
      <w:r>
        <w:t xml:space="preserve"> indicate that in this environment, conventional methods may have advantages.</w:t>
      </w:r>
    </w:p>
    <w:bookmarkEnd w:id="18"/>
    <w:p>
      <w:pPr>
        <w:pStyle w:val="3"/>
      </w:pPr>
      <w:bookmarkStart w:id="21" w:name="weak-scaling"/>
      <w:r>
        <w:t>6.3 Weak Scaling</w:t>
      </w:r>
    </w:p>
    <w:p>
      <w:r>
        <w:t xml:space="preserve">Weak scaling assesses how well a strategy preserves efficiency as both the number of workers and the size of tasks grow. We examine WeiPipe’s ability of weak scaling by keeping the workload per worker constant while progressively increasing the number of workers from 8 to 32, and batch size from 128 to 512. The scalability experiments are performed on the 32 A800 GPUs from 4 clusters with PCIe connections within each cluster. We fixed the sequence length as 16384 and the layer number as 32. The results are shown in Figure </w:t>
      </w:r>
      <w:r>
        <w:fldChar w:fldCharType="begin"/>
      </w:r>
      <w:r>
        <w:instrText xml:space="preserve"> HYPERLINK \l "fig:weipipe-weak" \h </w:instrText>
      </w:r>
      <w:r>
        <w:fldChar w:fldCharType="separate"/>
      </w:r>
      <w:r>
        <w:rPr>
          <w:rStyle w:val="16"/>
        </w:rPr>
        <w:t>6</w:t>
      </w:r>
      <w:r>
        <w:rPr>
          <w:rStyle w:val="16"/>
        </w:rPr>
        <w:fldChar w:fldCharType="end"/>
      </w:r>
      <w:r>
        <w:t>, which reveals that the overall performance of WeiPipe scales proportionally to the increase in GPUs.</w:t>
      </w:r>
    </w:p>
    <w:p>
      <w:pPr>
        <w:jc w:val="center"/>
      </w:pPr>
      <w:r>
        <w:drawing>
          <wp:inline distT="0" distB="0" distL="114300" distR="114300">
            <wp:extent cx="4177030" cy="2637155"/>
            <wp:effectExtent l="0" t="0" r="0" b="0"/>
            <wp:docPr id="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pic:cNvPicPr>
                      <a:picLocks noChangeAspect="1" noChangeArrowheads="1"/>
                    </pic:cNvPicPr>
                  </pic:nvPicPr>
                  <pic:blipFill>
                    <a:blip r:embed="rId10"/>
                    <a:stretch>
                      <a:fillRect/>
                    </a:stretch>
                  </pic:blipFill>
                  <pic:spPr>
                    <a:xfrm>
                      <a:off x="0" y="0"/>
                      <a:ext cx="4177334" cy="2637585"/>
                    </a:xfrm>
                    <a:prstGeom prst="rect">
                      <a:avLst/>
                    </a:prstGeom>
                    <a:noFill/>
                    <a:ln w="9525">
                      <a:noFill/>
                    </a:ln>
                  </pic:spPr>
                </pic:pic>
              </a:graphicData>
            </a:graphic>
          </wp:inline>
        </w:drawing>
      </w:r>
    </w:p>
    <w:p>
      <w:pPr>
        <w:pStyle w:val="33"/>
        <w:jc w:val="center"/>
      </w:pPr>
      <w:r>
        <w:t>Figure 6. Weak scaling of different strategies. The number of GPUs scales from 8 to 32, and the batch size increases proportionally. The left coordinates correspond to the overall throughput as represented by the bar chart, while the coordinates on the right indicate tokens per second per GPU.</w:t>
      </w:r>
    </w:p>
    <w:p>
      <w:r>
        <w:t>It can be seen there is a lower performance with PCIe connections of WeiPipe-Interleave, especially compared to FSDP. Through profiling, we found that the primary inefficiency in WeiPipe-Interleave occurs during the tail of the last backward pass. Worker 0 has to wait for other workers to complete the pipeline while still transferring large blocks of data. In contrast, FSDP divides communication into many fine-grained blocks, and high-bandwidth NVLink does not effectively reduce the frequency of interruptions. This result also suggests that further optimization of communication in WeiPipe is necessary to achieve ideal performance.</w:t>
      </w:r>
    </w:p>
    <w:bookmarkEnd w:id="21"/>
    <w:p>
      <w:pPr>
        <w:pStyle w:val="3"/>
      </w:pPr>
      <w:bookmarkStart w:id="22" w:name="strong-scaling"/>
      <w:r>
        <w:t>6.4 Strong Scaling</w:t>
      </w:r>
    </w:p>
    <w:p>
      <w:r>
        <w:t xml:space="preserve">Unlike weak scaling, strong scaling measures scalability by keeping the task size constant while expanding the number of workers. In our experiments, the model configuration is the same as weak-scaling experiments, also increasing the number of GPUs from 8 to 32 but fix the batch size to 128. The result can be found in Figure </w:t>
      </w:r>
      <w:r>
        <w:fldChar w:fldCharType="begin"/>
      </w:r>
      <w:r>
        <w:instrText xml:space="preserve"> HYPERLINK \l "fig:weipipe-strong" \h </w:instrText>
      </w:r>
      <w:r>
        <w:fldChar w:fldCharType="separate"/>
      </w:r>
      <w:r>
        <w:rPr>
          <w:rStyle w:val="16"/>
        </w:rPr>
        <w:t>7</w:t>
      </w:r>
      <w:r>
        <w:rPr>
          <w:rStyle w:val="16"/>
        </w:rPr>
        <w:fldChar w:fldCharType="end"/>
      </w:r>
      <w:r>
        <w:t>, which shows that WeiPipe exhibits superior scalability compared to other strategies. This result reveals that WeiPipe has the potential to utilize more GPUs to achieve greater speed-up. The large token length and low-bandwidth communication infrastructure cause serious troubles for conventional PP approaches with increasing communication pressure.</w:t>
      </w:r>
    </w:p>
    <w:p>
      <w:pPr>
        <w:jc w:val="center"/>
      </w:pPr>
      <w:r>
        <w:drawing>
          <wp:inline distT="0" distB="0" distL="114300" distR="114300">
            <wp:extent cx="4318635" cy="275399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1"/>
                    <a:stretch>
                      <a:fillRect/>
                    </a:stretch>
                  </pic:blipFill>
                  <pic:spPr>
                    <a:xfrm>
                      <a:off x="0" y="0"/>
                      <a:ext cx="4319080" cy="2754317"/>
                    </a:xfrm>
                    <a:prstGeom prst="rect">
                      <a:avLst/>
                    </a:prstGeom>
                    <a:noFill/>
                    <a:ln w="9525">
                      <a:noFill/>
                    </a:ln>
                  </pic:spPr>
                </pic:pic>
              </a:graphicData>
            </a:graphic>
          </wp:inline>
        </w:drawing>
      </w:r>
    </w:p>
    <w:p>
      <w:pPr>
        <w:pStyle w:val="33"/>
        <w:jc w:val="center"/>
      </w:pPr>
      <w:r>
        <w:t>Figure 7. Strong scaling of different strategies. The number of GPUs scales from 8 to 32, but the batch size remains 128.</w:t>
      </w:r>
    </w:p>
    <w:bookmarkEnd w:id="14"/>
    <w:bookmarkEnd w:id="22"/>
    <w:p>
      <w:pPr>
        <w:pStyle w:val="2"/>
      </w:pPr>
      <w:bookmarkStart w:id="23" w:name="conclusions"/>
      <w:r>
        <w:t>7 Conclusions</w:t>
      </w:r>
    </w:p>
    <w:p>
      <w:r>
        <w:t>In this work, we introduce a novel pipeline parallelism strategy aimed at reducing communication overhead in LLM training by shifting from activation-based to weight-based communication. We have developed and implemented the WeiPipe-Interleave to minimize the weight-passing overhead, reducing the bubble ratio and balancing memory usage. To further explore the potential of weight-passing pipelines, we discussed WeiPipe-zero-bubble methods to achieve nearly no-vacancy pipelining. Our experiments demonstrate that WeiPipe-Interleave can outperform current PP approaches and FSDP. WeiPipe extends the prospect of training large-context models with PP and reduces the reliance on expensive high-bandwidth communication infrastructure.</w:t>
      </w:r>
    </w:p>
    <w:p>
      <w:pPr>
        <w:rPr>
          <w:rFonts w:hint="default" w:ascii="Times New Roman" w:hAnsi="Times New Roman" w:eastAsia="宋体" w:cs="Times New Roman"/>
          <w:b/>
          <w:bCs/>
          <w:kern w:val="44"/>
          <w:sz w:val="44"/>
          <w:szCs w:val="44"/>
          <w:lang w:val="en-US" w:eastAsia="zh-CN" w:bidi="ar-SA"/>
        </w:rPr>
      </w:pPr>
      <w:bookmarkStart w:id="24" w:name="ref-vaswani2023attention"/>
      <w:bookmarkStart w:id="25" w:name="refs"/>
      <w:r>
        <w:rPr>
          <w:rFonts w:hint="eastAsia" w:ascii="Times New Roman" w:hAnsi="Times New Roman" w:eastAsia="宋体" w:cs="Times New Roman"/>
          <w:b/>
          <w:bCs/>
          <w:kern w:val="44"/>
          <w:sz w:val="44"/>
          <w:szCs w:val="44"/>
          <w:lang w:val="en-US" w:eastAsia="zh-CN" w:bidi="ar-SA"/>
        </w:rPr>
        <w:t>Reference</w:t>
      </w:r>
    </w:p>
    <w:p/>
    <w:p>
      <w:r>
        <w:t xml:space="preserve">[1] </w:t>
      </w:r>
      <w:r>
        <w:tab/>
      </w:r>
      <w:r>
        <w:t xml:space="preserve">A. Vaswani </w:t>
      </w:r>
      <w:r>
        <w:rPr>
          <w:i/>
          <w:iCs/>
        </w:rPr>
        <w:t>et al.</w:t>
      </w:r>
      <w:r>
        <w:t>, “Attention is all y</w:t>
      </w:r>
      <w:bookmarkStart w:id="66" w:name="_GoBack"/>
      <w:bookmarkEnd w:id="66"/>
      <w:r>
        <w:t xml:space="preserve">ou need.” 2023. Available: </w:t>
      </w:r>
      <w:r>
        <w:fldChar w:fldCharType="begin"/>
      </w:r>
      <w:r>
        <w:instrText xml:space="preserve"> HYPERLINK "https://arxiv.org/abs/1706.03762" \h </w:instrText>
      </w:r>
      <w:r>
        <w:fldChar w:fldCharType="separate"/>
      </w:r>
      <w:r>
        <w:rPr>
          <w:rStyle w:val="16"/>
        </w:rPr>
        <w:t>https://arxiv.org/abs/1706.03762</w:t>
      </w:r>
      <w:r>
        <w:rPr>
          <w:rStyle w:val="16"/>
        </w:rPr>
        <w:fldChar w:fldCharType="end"/>
      </w:r>
    </w:p>
    <w:bookmarkEnd w:id="24"/>
    <w:p>
      <w:bookmarkStart w:id="26" w:name="ref-kaplan2020scalinglawsneurallanguage"/>
      <w:r>
        <w:t xml:space="preserve">[2] </w:t>
      </w:r>
      <w:r>
        <w:tab/>
      </w:r>
      <w:r>
        <w:t xml:space="preserve">J. Kaplan </w:t>
      </w:r>
      <w:r>
        <w:rPr>
          <w:i/>
          <w:iCs/>
        </w:rPr>
        <w:t>et al.</w:t>
      </w:r>
      <w:r>
        <w:t xml:space="preserve">, “Scaling laws for neural language models.” 2020. Available: </w:t>
      </w:r>
      <w:r>
        <w:fldChar w:fldCharType="begin"/>
      </w:r>
      <w:r>
        <w:instrText xml:space="preserve"> HYPERLINK "https://arxiv.org/abs/2001.08361" \h </w:instrText>
      </w:r>
      <w:r>
        <w:fldChar w:fldCharType="separate"/>
      </w:r>
      <w:r>
        <w:rPr>
          <w:rStyle w:val="16"/>
        </w:rPr>
        <w:t>https://arxiv.org/abs/2001.08361</w:t>
      </w:r>
      <w:r>
        <w:rPr>
          <w:rStyle w:val="16"/>
        </w:rPr>
        <w:fldChar w:fldCharType="end"/>
      </w:r>
    </w:p>
    <w:bookmarkEnd w:id="26"/>
    <w:p>
      <w:bookmarkStart w:id="27" w:name="ref-shoeybi2019megatron"/>
      <w:r>
        <w:t xml:space="preserve">[3] </w:t>
      </w:r>
      <w:r>
        <w:tab/>
      </w:r>
      <w:r>
        <w:t xml:space="preserve">M. Shoeybi, M. Patwary, R. Puri, P. LeGresley, J. Casper, and B. Catanzaro, “Megatron-lm: Training multi-billion parameter language models using model parallelism,” </w:t>
      </w:r>
      <w:r>
        <w:rPr>
          <w:i/>
          <w:iCs/>
        </w:rPr>
        <w:t>arXiv preprint arXiv:1909.08053</w:t>
      </w:r>
      <w:r>
        <w:t>, 2019.</w:t>
      </w:r>
    </w:p>
    <w:bookmarkEnd w:id="27"/>
    <w:p>
      <w:bookmarkStart w:id="28" w:name="ref-xu2021efficient"/>
      <w:r>
        <w:t xml:space="preserve">[4] </w:t>
      </w:r>
      <w:r>
        <w:tab/>
      </w:r>
      <w:r>
        <w:t xml:space="preserve">Q. Xu, S. Li, C. Gong, and Y. You, “An efficient 2d method for training super-large deep learning models,” </w:t>
      </w:r>
      <w:r>
        <w:rPr>
          <w:i/>
          <w:iCs/>
        </w:rPr>
        <w:t>arXiv preprint arXiv:2104.05343</w:t>
      </w:r>
      <w:r>
        <w:t>, 2021.</w:t>
      </w:r>
    </w:p>
    <w:bookmarkEnd w:id="28"/>
    <w:p>
      <w:bookmarkStart w:id="29" w:name="ref-wang2022tesseract"/>
      <w:r>
        <w:t xml:space="preserve">[5] </w:t>
      </w:r>
      <w:r>
        <w:tab/>
      </w:r>
      <w:r>
        <w:t xml:space="preserve">B. Wang, Q. Xu, Z. Bian, and Y. You, “Tesseract: Parallelize the tensor parallelism efficiently,” in </w:t>
      </w:r>
      <w:r>
        <w:rPr>
          <w:i/>
          <w:iCs/>
        </w:rPr>
        <w:t>Proceedings of the 51st international conference on parallel processing</w:t>
      </w:r>
      <w:r>
        <w:t>, 2022, pp. 1–11.</w:t>
      </w:r>
    </w:p>
    <w:bookmarkEnd w:id="29"/>
    <w:p>
      <w:bookmarkStart w:id="30" w:name="Xff7d54e13bd80d55da24d873867b4237fad38aa"/>
      <w:r>
        <w:t xml:space="preserve">[6] </w:t>
      </w:r>
      <w:r>
        <w:tab/>
      </w:r>
      <w:r>
        <w:t xml:space="preserve">S. Li </w:t>
      </w:r>
      <w:r>
        <w:rPr>
          <w:i/>
          <w:iCs/>
        </w:rPr>
        <w:t>et al.</w:t>
      </w:r>
      <w:r>
        <w:t xml:space="preserve">, “Automated tensor model parallelism with overlapped communication for efficient foundation model training.” 2023. Available: </w:t>
      </w:r>
      <w:r>
        <w:fldChar w:fldCharType="begin"/>
      </w:r>
      <w:r>
        <w:instrText xml:space="preserve"> HYPERLINK "https://arxiv.org/abs/2305.16121" \h </w:instrText>
      </w:r>
      <w:r>
        <w:fldChar w:fldCharType="separate"/>
      </w:r>
      <w:r>
        <w:rPr>
          <w:rStyle w:val="16"/>
        </w:rPr>
        <w:t>https://arxiv.org/abs/2305.16121</w:t>
      </w:r>
      <w:r>
        <w:rPr>
          <w:rStyle w:val="16"/>
        </w:rPr>
        <w:fldChar w:fldCharType="end"/>
      </w:r>
    </w:p>
    <w:bookmarkEnd w:id="30"/>
    <w:p>
      <w:bookmarkStart w:id="31" w:name="Xa3d16181b8422698948db62e80c25128669476d"/>
      <w:r>
        <w:t xml:space="preserve">[7] </w:t>
      </w:r>
      <w:r>
        <w:tab/>
      </w:r>
      <w:r>
        <w:t xml:space="preserve">S. Cheng, Z. Liu, J. Du, and Y. You, “ATP: Adaptive tensor parallelism for foundation models.” 2023. Available: </w:t>
      </w:r>
      <w:r>
        <w:fldChar w:fldCharType="begin"/>
      </w:r>
      <w:r>
        <w:instrText xml:space="preserve"> HYPERLINK "https://arxiv.org/abs/2301.08658" \h </w:instrText>
      </w:r>
      <w:r>
        <w:fldChar w:fldCharType="separate"/>
      </w:r>
      <w:r>
        <w:rPr>
          <w:rStyle w:val="16"/>
        </w:rPr>
        <w:t>https://arxiv.org/abs/2301.08658</w:t>
      </w:r>
      <w:r>
        <w:rPr>
          <w:rStyle w:val="16"/>
        </w:rPr>
        <w:fldChar w:fldCharType="end"/>
      </w:r>
    </w:p>
    <w:bookmarkEnd w:id="31"/>
    <w:p>
      <w:bookmarkStart w:id="32" w:name="ref-gems"/>
      <w:r>
        <w:t xml:space="preserve">[8] </w:t>
      </w:r>
      <w:r>
        <w:tab/>
      </w:r>
      <w:r>
        <w:t xml:space="preserve">A. Jain </w:t>
      </w:r>
      <w:r>
        <w:rPr>
          <w:i/>
          <w:iCs/>
        </w:rPr>
        <w:t>et al.</w:t>
      </w:r>
      <w:r>
        <w:t xml:space="preserve">, “GEMS: GPU-enabled memory-aware model-parallelism system for distributed DNN training,” in </w:t>
      </w:r>
      <w:r>
        <w:rPr>
          <w:i/>
          <w:iCs/>
        </w:rPr>
        <w:t>SC20: International conference for high performance computing, networking, storage and analysis</w:t>
      </w:r>
      <w:r>
        <w:t xml:space="preserve">, 2020, pp. 1–15. doi: </w:t>
      </w:r>
      <w:r>
        <w:fldChar w:fldCharType="begin"/>
      </w:r>
      <w:r>
        <w:instrText xml:space="preserve"> HYPERLINK "https://doi.org/10.1109/SC41405.2020.00049" \h </w:instrText>
      </w:r>
      <w:r>
        <w:fldChar w:fldCharType="separate"/>
      </w:r>
      <w:r>
        <w:rPr>
          <w:rStyle w:val="16"/>
        </w:rPr>
        <w:t>10.1109/SC41405.2020.00049</w:t>
      </w:r>
      <w:r>
        <w:rPr>
          <w:rStyle w:val="16"/>
        </w:rPr>
        <w:fldChar w:fldCharType="end"/>
      </w:r>
      <w:r>
        <w:t>.</w:t>
      </w:r>
    </w:p>
    <w:bookmarkEnd w:id="32"/>
    <w:p>
      <w:bookmarkStart w:id="33" w:name="ref-gpipe"/>
      <w:r>
        <w:t xml:space="preserve">[9] </w:t>
      </w:r>
      <w:r>
        <w:tab/>
      </w:r>
      <w:r>
        <w:t xml:space="preserve">Y. Huang </w:t>
      </w:r>
      <w:r>
        <w:rPr>
          <w:i/>
          <w:iCs/>
        </w:rPr>
        <w:t>et al.</w:t>
      </w:r>
      <w:r>
        <w:t xml:space="preserve">, “GPipe: Efficient training of giant neural networks using pipeline parallelism.” arXiv, 2018. doi: </w:t>
      </w:r>
      <w:r>
        <w:fldChar w:fldCharType="begin"/>
      </w:r>
      <w:r>
        <w:instrText xml:space="preserve"> HYPERLINK "https://doi.org/10.48550/ARXIV.1811.06965" \h </w:instrText>
      </w:r>
      <w:r>
        <w:fldChar w:fldCharType="separate"/>
      </w:r>
      <w:r>
        <w:rPr>
          <w:rStyle w:val="16"/>
        </w:rPr>
        <w:t>10.48550/ARXIV.1811.06965</w:t>
      </w:r>
      <w:r>
        <w:rPr>
          <w:rStyle w:val="16"/>
        </w:rPr>
        <w:fldChar w:fldCharType="end"/>
      </w:r>
      <w:r>
        <w:t>.</w:t>
      </w:r>
    </w:p>
    <w:bookmarkEnd w:id="33"/>
    <w:p>
      <w:bookmarkStart w:id="34" w:name="ref-dapple"/>
      <w:r>
        <w:t xml:space="preserve">[10] </w:t>
      </w:r>
      <w:r>
        <w:tab/>
      </w:r>
      <w:r>
        <w:t xml:space="preserve">S. Fan </w:t>
      </w:r>
      <w:r>
        <w:rPr>
          <w:i/>
          <w:iCs/>
        </w:rPr>
        <w:t>et al.</w:t>
      </w:r>
      <w:r>
        <w:t xml:space="preserve">, “DAPPLE: A pipelined data parallel approach for training large models.” arXiv, 2020. doi: </w:t>
      </w:r>
      <w:r>
        <w:fldChar w:fldCharType="begin"/>
      </w:r>
      <w:r>
        <w:instrText xml:space="preserve"> HYPERLINK "https://doi.org/10.48550/ARXIV.2007.01045" \h </w:instrText>
      </w:r>
      <w:r>
        <w:fldChar w:fldCharType="separate"/>
      </w:r>
      <w:r>
        <w:rPr>
          <w:rStyle w:val="16"/>
        </w:rPr>
        <w:t>10.48550/ARXIV.2007.01045</w:t>
      </w:r>
      <w:r>
        <w:rPr>
          <w:rStyle w:val="16"/>
        </w:rPr>
        <w:fldChar w:fldCharType="end"/>
      </w:r>
      <w:r>
        <w:t>.</w:t>
      </w:r>
    </w:p>
    <w:bookmarkEnd w:id="34"/>
    <w:p>
      <w:bookmarkStart w:id="35" w:name="ref-li2021chimera"/>
      <w:r>
        <w:t xml:space="preserve">[11] </w:t>
      </w:r>
      <w:r>
        <w:tab/>
      </w:r>
      <w:r>
        <w:t xml:space="preserve">S. Li and T. Hoefler, “Chimera: Efficiently training large-scale neural networks with bidirectional pipelines,” in </w:t>
      </w:r>
      <w:r>
        <w:rPr>
          <w:i/>
          <w:iCs/>
        </w:rPr>
        <w:t>Proceedings of the international conference for high performance computing, networking, storage and analysis</w:t>
      </w:r>
      <w:r>
        <w:t>, 2021, pp. 1–14.</w:t>
      </w:r>
    </w:p>
    <w:bookmarkEnd w:id="35"/>
    <w:p>
      <w:bookmarkStart w:id="36" w:name="ref-hanayo"/>
      <w:r>
        <w:t xml:space="preserve">[12] </w:t>
      </w:r>
      <w:r>
        <w:tab/>
      </w:r>
      <w:r>
        <w:t xml:space="preserve">Z. Liu, S. Cheng, H. Zhou, and Y. You, “Hanayo: Harnessing wave-like pipeline parallelism for enhanced large model training efficiency,” in </w:t>
      </w:r>
      <w:r>
        <w:rPr>
          <w:i/>
          <w:iCs/>
        </w:rPr>
        <w:t>Proceedings of the international conference for high performance computing, networking, storage and analysis</w:t>
      </w:r>
      <w:r>
        <w:t xml:space="preserve">, in SC ’23. New York, NY, USA: Association for Computing Machinery, 2023. doi: </w:t>
      </w:r>
      <w:r>
        <w:fldChar w:fldCharType="begin"/>
      </w:r>
      <w:r>
        <w:instrText xml:space="preserve"> HYPERLINK "https://doi.org/10.1145/3581784.3607073" \h </w:instrText>
      </w:r>
      <w:r>
        <w:fldChar w:fldCharType="separate"/>
      </w:r>
      <w:r>
        <w:rPr>
          <w:rStyle w:val="16"/>
        </w:rPr>
        <w:t>10.1145/3581784.3607073</w:t>
      </w:r>
      <w:r>
        <w:rPr>
          <w:rStyle w:val="16"/>
        </w:rPr>
        <w:fldChar w:fldCharType="end"/>
      </w:r>
      <w:r>
        <w:t>.</w:t>
      </w:r>
    </w:p>
    <w:bookmarkEnd w:id="36"/>
    <w:p>
      <w:bookmarkStart w:id="37" w:name="ref-qi2023zerobubblepipelineparallelism"/>
      <w:r>
        <w:t xml:space="preserve">[13] </w:t>
      </w:r>
      <w:r>
        <w:tab/>
      </w:r>
      <w:r>
        <w:t xml:space="preserve">P. Qi, X. Wan, G. Huang, and M. Lin, “Zero bubble pipeline parallelism.” 2023. Available: </w:t>
      </w:r>
      <w:r>
        <w:fldChar w:fldCharType="begin"/>
      </w:r>
      <w:r>
        <w:instrText xml:space="preserve"> HYPERLINK "https://arxiv.org/abs/2401.10241" \h </w:instrText>
      </w:r>
      <w:r>
        <w:fldChar w:fldCharType="separate"/>
      </w:r>
      <w:r>
        <w:rPr>
          <w:rStyle w:val="16"/>
        </w:rPr>
        <w:t>https://arxiv.org/abs/2401.10241</w:t>
      </w:r>
      <w:r>
        <w:rPr>
          <w:rStyle w:val="16"/>
        </w:rPr>
        <w:fldChar w:fldCharType="end"/>
      </w:r>
    </w:p>
    <w:bookmarkEnd w:id="37"/>
    <w:p>
      <w:bookmarkStart w:id="38" w:name="ref-li2022sequence"/>
      <w:r>
        <w:t xml:space="preserve">[14] </w:t>
      </w:r>
      <w:r>
        <w:tab/>
      </w:r>
      <w:r>
        <w:t xml:space="preserve">S. Li, F. Xue, C. Baranwal, Y. Li, and Y. You, “Sequence parallelism: Long sequence training from system perspective.” 2022. Available: </w:t>
      </w:r>
      <w:r>
        <w:fldChar w:fldCharType="begin"/>
      </w:r>
      <w:r>
        <w:instrText xml:space="preserve"> HYPERLINK "https://arxiv.org/abs/2105.13120" \h </w:instrText>
      </w:r>
      <w:r>
        <w:fldChar w:fldCharType="separate"/>
      </w:r>
      <w:r>
        <w:rPr>
          <w:rStyle w:val="16"/>
        </w:rPr>
        <w:t>https://arxiv.org/abs/2105.13120</w:t>
      </w:r>
      <w:r>
        <w:rPr>
          <w:rStyle w:val="16"/>
        </w:rPr>
        <w:fldChar w:fldCharType="end"/>
      </w:r>
    </w:p>
    <w:bookmarkEnd w:id="38"/>
    <w:p>
      <w:bookmarkStart w:id="39" w:name="ref-jacobs2023Ulysses"/>
      <w:r>
        <w:t xml:space="preserve">[15] </w:t>
      </w:r>
      <w:r>
        <w:tab/>
      </w:r>
      <w:r>
        <w:t xml:space="preserve">S. A. Jacobs </w:t>
      </w:r>
      <w:r>
        <w:rPr>
          <w:i/>
          <w:iCs/>
        </w:rPr>
        <w:t>et al.</w:t>
      </w:r>
      <w:r>
        <w:t xml:space="preserve">, “DeepSpeed ulysses: System optimizations for enabling training of extreme long sequence transformer models.” 2023. Available: </w:t>
      </w:r>
      <w:r>
        <w:fldChar w:fldCharType="begin"/>
      </w:r>
      <w:r>
        <w:instrText xml:space="preserve"> HYPERLINK "https://arxiv.org/abs/2309.14509" \h </w:instrText>
      </w:r>
      <w:r>
        <w:fldChar w:fldCharType="separate"/>
      </w:r>
      <w:r>
        <w:rPr>
          <w:rStyle w:val="16"/>
        </w:rPr>
        <w:t>https://arxiv.org/abs/2309.14509</w:t>
      </w:r>
      <w:r>
        <w:rPr>
          <w:rStyle w:val="16"/>
        </w:rPr>
        <w:fldChar w:fldCharType="end"/>
      </w:r>
    </w:p>
    <w:bookmarkEnd w:id="39"/>
    <w:p>
      <w:bookmarkStart w:id="40" w:name="ref-liu2023ring"/>
      <w:r>
        <w:t xml:space="preserve">[16] </w:t>
      </w:r>
      <w:r>
        <w:tab/>
      </w:r>
      <w:r>
        <w:t xml:space="preserve">H. Liu, M. Zaharia, and P. Abbeel, “Ring attention with blockwise transformers for near-infinite context.” 2023. Available: </w:t>
      </w:r>
      <w:r>
        <w:fldChar w:fldCharType="begin"/>
      </w:r>
      <w:r>
        <w:instrText xml:space="preserve"> HYPERLINK "https://arxiv.org/abs/2310.01889" \h </w:instrText>
      </w:r>
      <w:r>
        <w:fldChar w:fldCharType="separate"/>
      </w:r>
      <w:r>
        <w:rPr>
          <w:rStyle w:val="16"/>
        </w:rPr>
        <w:t>https://arxiv.org/abs/2310.01889</w:t>
      </w:r>
      <w:r>
        <w:rPr>
          <w:rStyle w:val="16"/>
        </w:rPr>
        <w:fldChar w:fldCharType="end"/>
      </w:r>
    </w:p>
    <w:bookmarkEnd w:id="40"/>
    <w:p>
      <w:bookmarkStart w:id="41" w:name="X487b4936dab1e53a5d23fbd9a04e0a74e7b6a33"/>
      <w:r>
        <w:t xml:space="preserve">[17] </w:t>
      </w:r>
      <w:r>
        <w:tab/>
      </w:r>
      <w:r>
        <w:t xml:space="preserve">D. Gu </w:t>
      </w:r>
      <w:r>
        <w:rPr>
          <w:i/>
          <w:iCs/>
        </w:rPr>
        <w:t>et al.</w:t>
      </w:r>
      <w:r>
        <w:t xml:space="preserve">, “LoongTrain: Efficient training of long-sequence LLMs with head-context parallelism.” 2024. Available: </w:t>
      </w:r>
      <w:r>
        <w:fldChar w:fldCharType="begin"/>
      </w:r>
      <w:r>
        <w:instrText xml:space="preserve"> HYPERLINK "https://arxiv.org/abs/2406.18485" \h </w:instrText>
      </w:r>
      <w:r>
        <w:fldChar w:fldCharType="separate"/>
      </w:r>
      <w:r>
        <w:rPr>
          <w:rStyle w:val="16"/>
        </w:rPr>
        <w:t>https://arxiv.org/abs/2406.18485</w:t>
      </w:r>
      <w:r>
        <w:rPr>
          <w:rStyle w:val="16"/>
        </w:rPr>
        <w:fldChar w:fldCharType="end"/>
      </w:r>
    </w:p>
    <w:bookmarkEnd w:id="41"/>
    <w:p>
      <w:bookmarkStart w:id="42" w:name="X571301511ef09e02501bb272c51413dcb941a10"/>
      <w:r>
        <w:t xml:space="preserve">[18] </w:t>
      </w:r>
      <w:r>
        <w:tab/>
      </w:r>
      <w:r>
        <w:t xml:space="preserve">Z. Liu </w:t>
      </w:r>
      <w:r>
        <w:rPr>
          <w:i/>
          <w:iCs/>
        </w:rPr>
        <w:t>et al.</w:t>
      </w:r>
      <w:r>
        <w:t xml:space="preserve">, “WallFacer: Guiding transformer model training out of the long-context dark forest with n-body problem.” 2024. Available: </w:t>
      </w:r>
      <w:r>
        <w:fldChar w:fldCharType="begin"/>
      </w:r>
      <w:r>
        <w:instrText xml:space="preserve"> HYPERLINK "https://arxiv.org/abs/2407.00611" \h </w:instrText>
      </w:r>
      <w:r>
        <w:fldChar w:fldCharType="separate"/>
      </w:r>
      <w:r>
        <w:rPr>
          <w:rStyle w:val="16"/>
        </w:rPr>
        <w:t>https://arxiv.org/abs/2407.00611</w:t>
      </w:r>
      <w:r>
        <w:rPr>
          <w:rStyle w:val="16"/>
        </w:rPr>
        <w:fldChar w:fldCharType="end"/>
      </w:r>
    </w:p>
    <w:bookmarkEnd w:id="42"/>
    <w:p>
      <w:bookmarkStart w:id="43" w:name="X781aa079974df27b979585038ff4f562e0ade33"/>
      <w:r>
        <w:t xml:space="preserve">[19] </w:t>
      </w:r>
      <w:r>
        <w:tab/>
      </w:r>
      <w:r>
        <w:t xml:space="preserve">P. Micikevicius </w:t>
      </w:r>
      <w:r>
        <w:rPr>
          <w:i/>
          <w:iCs/>
        </w:rPr>
        <w:t>et al.</w:t>
      </w:r>
      <w:r>
        <w:t xml:space="preserve">, “Mixed precision training.” 2018. Available: </w:t>
      </w:r>
      <w:r>
        <w:fldChar w:fldCharType="begin"/>
      </w:r>
      <w:r>
        <w:instrText xml:space="preserve"> HYPERLINK "https://arxiv.org/abs/1710.03740" \h </w:instrText>
      </w:r>
      <w:r>
        <w:fldChar w:fldCharType="separate"/>
      </w:r>
      <w:r>
        <w:rPr>
          <w:rStyle w:val="16"/>
        </w:rPr>
        <w:t>https://arxiv.org/abs/1710.03740</w:t>
      </w:r>
      <w:r>
        <w:rPr>
          <w:rStyle w:val="16"/>
        </w:rPr>
        <w:fldChar w:fldCharType="end"/>
      </w:r>
    </w:p>
    <w:bookmarkEnd w:id="43"/>
    <w:p>
      <w:bookmarkStart w:id="44" w:name="ref-touvron2023llama2openfoundation"/>
      <w:r>
        <w:t xml:space="preserve">[20] </w:t>
      </w:r>
      <w:r>
        <w:tab/>
      </w:r>
      <w:r>
        <w:t xml:space="preserve">H. Touvron </w:t>
      </w:r>
      <w:r>
        <w:rPr>
          <w:i/>
          <w:iCs/>
        </w:rPr>
        <w:t>et al.</w:t>
      </w:r>
      <w:r>
        <w:t xml:space="preserve">, “Llama 2: Open foundation and fine-tuned chat models.” 2023. Available: </w:t>
      </w:r>
      <w:r>
        <w:fldChar w:fldCharType="begin"/>
      </w:r>
      <w:r>
        <w:instrText xml:space="preserve"> HYPERLINK "https://arxiv.org/abs/2307.09288" \h </w:instrText>
      </w:r>
      <w:r>
        <w:fldChar w:fldCharType="separate"/>
      </w:r>
      <w:r>
        <w:rPr>
          <w:rStyle w:val="16"/>
        </w:rPr>
        <w:t>https://arxiv.org/abs/2307.09288</w:t>
      </w:r>
      <w:r>
        <w:rPr>
          <w:rStyle w:val="16"/>
        </w:rPr>
        <w:fldChar w:fldCharType="end"/>
      </w:r>
    </w:p>
    <w:bookmarkEnd w:id="44"/>
    <w:p>
      <w:bookmarkStart w:id="45" w:name="ref-brown2020language"/>
      <w:r>
        <w:t xml:space="preserve">[21] </w:t>
      </w:r>
      <w:r>
        <w:tab/>
      </w:r>
      <w:r>
        <w:t xml:space="preserve">T. Brown </w:t>
      </w:r>
      <w:r>
        <w:rPr>
          <w:i/>
          <w:iCs/>
        </w:rPr>
        <w:t>et al.</w:t>
      </w:r>
      <w:r>
        <w:t xml:space="preserve">, “Language models are few-shot learners,” </w:t>
      </w:r>
      <w:r>
        <w:rPr>
          <w:i/>
          <w:iCs/>
        </w:rPr>
        <w:t>Advances in neural information processing systems</w:t>
      </w:r>
      <w:r>
        <w:t>, vol. 33, pp. 1877–1901, 2020.</w:t>
      </w:r>
    </w:p>
    <w:bookmarkEnd w:id="45"/>
    <w:p>
      <w:bookmarkStart w:id="46" w:name="ref-devlin2018bert"/>
      <w:r>
        <w:t xml:space="preserve">[22] </w:t>
      </w:r>
      <w:r>
        <w:tab/>
      </w:r>
      <w:r>
        <w:t xml:space="preserve">J. Devlin, M.-W. Chang, K. Lee, and K. Toutanova, “Bert: Pre-training of deep bidirectional transformers for language understanding,” </w:t>
      </w:r>
      <w:r>
        <w:rPr>
          <w:i/>
          <w:iCs/>
        </w:rPr>
        <w:t>arXiv preprint arXiv:1810.04805</w:t>
      </w:r>
      <w:r>
        <w:t>, 2018.</w:t>
      </w:r>
    </w:p>
    <w:bookmarkEnd w:id="46"/>
    <w:p>
      <w:bookmarkStart w:id="47" w:name="ref-touvron2023llama"/>
      <w:r>
        <w:t xml:space="preserve">[23] </w:t>
      </w:r>
      <w:r>
        <w:tab/>
      </w:r>
      <w:r>
        <w:t xml:space="preserve">H. Touvron </w:t>
      </w:r>
      <w:r>
        <w:rPr>
          <w:i/>
          <w:iCs/>
        </w:rPr>
        <w:t>et al.</w:t>
      </w:r>
      <w:r>
        <w:t xml:space="preserve">, “LLaMA: Open and efficient foundation language models.” 2023. Available: </w:t>
      </w:r>
      <w:r>
        <w:fldChar w:fldCharType="begin"/>
      </w:r>
      <w:r>
        <w:instrText xml:space="preserve"> HYPERLINK "https://arxiv.org/abs/2302.13971" \h </w:instrText>
      </w:r>
      <w:r>
        <w:fldChar w:fldCharType="separate"/>
      </w:r>
      <w:r>
        <w:rPr>
          <w:rStyle w:val="16"/>
        </w:rPr>
        <w:t>https://arxiv.org/abs/2302.13971</w:t>
      </w:r>
      <w:r>
        <w:rPr>
          <w:rStyle w:val="16"/>
        </w:rPr>
        <w:fldChar w:fldCharType="end"/>
      </w:r>
    </w:p>
    <w:bookmarkEnd w:id="47"/>
    <w:p>
      <w:bookmarkStart w:id="48" w:name="Xb35042220d7c78610bcfe665d22aaf45ede1ac0"/>
      <w:r>
        <w:t xml:space="preserve">[24] </w:t>
      </w:r>
      <w:r>
        <w:tab/>
      </w:r>
      <w:r>
        <w:t xml:space="preserve">W. Peebles and S. Xie, “Scalable diffusion models with transformers.” 2023. Available: </w:t>
      </w:r>
      <w:r>
        <w:fldChar w:fldCharType="begin"/>
      </w:r>
      <w:r>
        <w:instrText xml:space="preserve"> HYPERLINK "https://arxiv.org/abs/2212.09748" \h </w:instrText>
      </w:r>
      <w:r>
        <w:fldChar w:fldCharType="separate"/>
      </w:r>
      <w:r>
        <w:rPr>
          <w:rStyle w:val="16"/>
        </w:rPr>
        <w:t>https://arxiv.org/abs/2212.09748</w:t>
      </w:r>
      <w:r>
        <w:rPr>
          <w:rStyle w:val="16"/>
        </w:rPr>
        <w:fldChar w:fldCharType="end"/>
      </w:r>
    </w:p>
    <w:bookmarkEnd w:id="48"/>
    <w:p>
      <w:bookmarkStart w:id="49" w:name="ref-dosovitskiy2021vit"/>
      <w:r>
        <w:t xml:space="preserve">[25] </w:t>
      </w:r>
      <w:r>
        <w:tab/>
      </w:r>
      <w:r>
        <w:t xml:space="preserve">A. Dosovitskiy </w:t>
      </w:r>
      <w:r>
        <w:rPr>
          <w:i/>
          <w:iCs/>
        </w:rPr>
        <w:t>et al.</w:t>
      </w:r>
      <w:r>
        <w:t xml:space="preserve">, “An image is worth 16x16 words: Transformers for image recognition at scale.” 2021. Available: </w:t>
      </w:r>
      <w:r>
        <w:fldChar w:fldCharType="begin"/>
      </w:r>
      <w:r>
        <w:instrText xml:space="preserve"> HYPERLINK "https://arxiv.org/abs/2010.11929" \h </w:instrText>
      </w:r>
      <w:r>
        <w:fldChar w:fldCharType="separate"/>
      </w:r>
      <w:r>
        <w:rPr>
          <w:rStyle w:val="16"/>
        </w:rPr>
        <w:t>https://arxiv.org/abs/2010.11929</w:t>
      </w:r>
      <w:r>
        <w:rPr>
          <w:rStyle w:val="16"/>
        </w:rPr>
        <w:fldChar w:fldCharType="end"/>
      </w:r>
    </w:p>
    <w:bookmarkEnd w:id="49"/>
    <w:p>
      <w:bookmarkStart w:id="50" w:name="ref-dubey2024llama3herdmodels"/>
      <w:r>
        <w:t xml:space="preserve">[26] </w:t>
      </w:r>
      <w:r>
        <w:tab/>
      </w:r>
      <w:r>
        <w:t xml:space="preserve">A. Dubey </w:t>
      </w:r>
      <w:r>
        <w:rPr>
          <w:i/>
          <w:iCs/>
        </w:rPr>
        <w:t>et al.</w:t>
      </w:r>
      <w:r>
        <w:t xml:space="preserve">, “The llama 3 herd of models.” 2024. Available: </w:t>
      </w:r>
      <w:r>
        <w:fldChar w:fldCharType="begin"/>
      </w:r>
      <w:r>
        <w:instrText xml:space="preserve"> HYPERLINK "https://arxiv.org/abs/2407.21783" \h </w:instrText>
      </w:r>
      <w:r>
        <w:fldChar w:fldCharType="separate"/>
      </w:r>
      <w:r>
        <w:rPr>
          <w:rStyle w:val="16"/>
        </w:rPr>
        <w:t>https://arxiv.org/abs/2407.21783</w:t>
      </w:r>
      <w:r>
        <w:rPr>
          <w:rStyle w:val="16"/>
        </w:rPr>
        <w:fldChar w:fldCharType="end"/>
      </w:r>
    </w:p>
    <w:bookmarkEnd w:id="50"/>
    <w:p>
      <w:bookmarkStart w:id="51" w:name="ref-openai2023gpt4"/>
      <w:r>
        <w:t xml:space="preserve">[27] </w:t>
      </w:r>
      <w:r>
        <w:tab/>
      </w:r>
      <w:r>
        <w:t xml:space="preserve">J. Achiam </w:t>
      </w:r>
      <w:r>
        <w:rPr>
          <w:i/>
          <w:iCs/>
        </w:rPr>
        <w:t>et al.</w:t>
      </w:r>
      <w:r>
        <w:t xml:space="preserve">, “GPT-4 technical report.” 2023. Available: </w:t>
      </w:r>
      <w:r>
        <w:fldChar w:fldCharType="begin"/>
      </w:r>
      <w:r>
        <w:instrText xml:space="preserve"> HYPERLINK "https://arxiv.org/abs/2303.08774" \h </w:instrText>
      </w:r>
      <w:r>
        <w:fldChar w:fldCharType="separate"/>
      </w:r>
      <w:r>
        <w:rPr>
          <w:rStyle w:val="16"/>
        </w:rPr>
        <w:t>https://arxiv.org/abs/2303.08774</w:t>
      </w:r>
      <w:r>
        <w:rPr>
          <w:rStyle w:val="16"/>
        </w:rPr>
        <w:fldChar w:fldCharType="end"/>
      </w:r>
    </w:p>
    <w:bookmarkEnd w:id="51"/>
    <w:p>
      <w:bookmarkStart w:id="52" w:name="ref-Koh2022AnES"/>
      <w:r>
        <w:t xml:space="preserve">[28] </w:t>
      </w:r>
      <w:r>
        <w:tab/>
      </w:r>
      <w:r>
        <w:t xml:space="preserve">H. Y. Koh, J. Ju, M. Liu, and S. Pan, “An empirical survey on long document summarization: Datasets, models, and metrics,” </w:t>
      </w:r>
      <w:r>
        <w:rPr>
          <w:i/>
          <w:iCs/>
        </w:rPr>
        <w:t>ACM Computing Surveys</w:t>
      </w:r>
      <w:r>
        <w:t xml:space="preserve">, vol. 55, pp. 1–35, 2022, Available: </w:t>
      </w:r>
      <w:r>
        <w:fldChar w:fldCharType="begin"/>
      </w:r>
      <w:r>
        <w:instrText xml:space="preserve"> HYPERLINK "https://api.semanticscholar.org/CorpusID:250118028" \h </w:instrText>
      </w:r>
      <w:r>
        <w:fldChar w:fldCharType="separate"/>
      </w:r>
      <w:r>
        <w:rPr>
          <w:rStyle w:val="16"/>
        </w:rPr>
        <w:t>https://api.semanticscholar.org/CorpusID:250118028</w:t>
      </w:r>
      <w:r>
        <w:rPr>
          <w:rStyle w:val="16"/>
        </w:rPr>
        <w:fldChar w:fldCharType="end"/>
      </w:r>
    </w:p>
    <w:bookmarkEnd w:id="52"/>
    <w:p>
      <w:bookmarkStart w:id="53" w:name="ref-beltagy2020longformer"/>
      <w:r>
        <w:t xml:space="preserve">[29] </w:t>
      </w:r>
      <w:r>
        <w:tab/>
      </w:r>
      <w:r>
        <w:t xml:space="preserve">I. Beltagy, M. E. Peters, and A. Cohan, “Longformer: The long-document transformer.” 2020. Available: </w:t>
      </w:r>
      <w:r>
        <w:fldChar w:fldCharType="begin"/>
      </w:r>
      <w:r>
        <w:instrText xml:space="preserve"> HYPERLINK "https://arxiv.org/abs/2004.05150" \h </w:instrText>
      </w:r>
      <w:r>
        <w:fldChar w:fldCharType="separate"/>
      </w:r>
      <w:r>
        <w:rPr>
          <w:rStyle w:val="16"/>
        </w:rPr>
        <w:t>https://arxiv.org/abs/2004.05150</w:t>
      </w:r>
      <w:r>
        <w:rPr>
          <w:rStyle w:val="16"/>
        </w:rPr>
        <w:fldChar w:fldCharType="end"/>
      </w:r>
    </w:p>
    <w:bookmarkEnd w:id="53"/>
    <w:p>
      <w:bookmarkStart w:id="54" w:name="ref-li2023starcodersourceyou"/>
      <w:r>
        <w:t xml:space="preserve">[30] </w:t>
      </w:r>
      <w:r>
        <w:tab/>
      </w:r>
      <w:r>
        <w:t xml:space="preserve">R. Li </w:t>
      </w:r>
      <w:r>
        <w:rPr>
          <w:i/>
          <w:iCs/>
        </w:rPr>
        <w:t>et al.</w:t>
      </w:r>
      <w:r>
        <w:t xml:space="preserve">, “StarCoder: May the source be with you!” 2023. Available: </w:t>
      </w:r>
      <w:r>
        <w:fldChar w:fldCharType="begin"/>
      </w:r>
      <w:r>
        <w:instrText xml:space="preserve"> HYPERLINK "https://arxiv.org/abs/2305.06161" \h </w:instrText>
      </w:r>
      <w:r>
        <w:fldChar w:fldCharType="separate"/>
      </w:r>
      <w:r>
        <w:rPr>
          <w:rStyle w:val="16"/>
        </w:rPr>
        <w:t>https://arxiv.org/abs/2305.06161</w:t>
      </w:r>
      <w:r>
        <w:rPr>
          <w:rStyle w:val="16"/>
        </w:rPr>
        <w:fldChar w:fldCharType="end"/>
      </w:r>
    </w:p>
    <w:bookmarkEnd w:id="54"/>
    <w:p>
      <w:bookmarkStart w:id="55" w:name="ref-rozière2024codellamaopenfoundation"/>
      <w:r>
        <w:t xml:space="preserve">[31] </w:t>
      </w:r>
      <w:r>
        <w:tab/>
      </w:r>
      <w:r>
        <w:t xml:space="preserve">B. Rozière </w:t>
      </w:r>
      <w:r>
        <w:rPr>
          <w:i/>
          <w:iCs/>
        </w:rPr>
        <w:t>et al.</w:t>
      </w:r>
      <w:r>
        <w:t xml:space="preserve">, “Code llama: Open foundation models for code.” 2024. Available: </w:t>
      </w:r>
      <w:r>
        <w:fldChar w:fldCharType="begin"/>
      </w:r>
      <w:r>
        <w:instrText xml:space="preserve"> HYPERLINK "https://arxiv.org/abs/2308.12950" \h </w:instrText>
      </w:r>
      <w:r>
        <w:fldChar w:fldCharType="separate"/>
      </w:r>
      <w:r>
        <w:rPr>
          <w:rStyle w:val="16"/>
        </w:rPr>
        <w:t>https://arxiv.org/abs/2308.12950</w:t>
      </w:r>
      <w:r>
        <w:rPr>
          <w:rStyle w:val="16"/>
        </w:rPr>
        <w:fldChar w:fldCharType="end"/>
      </w:r>
    </w:p>
    <w:bookmarkEnd w:id="55"/>
    <w:p>
      <w:bookmarkStart w:id="56" w:name="X51fc3511331c37cbd86402694ea18f1b893ced8"/>
      <w:r>
        <w:t xml:space="preserve">[32] </w:t>
      </w:r>
      <w:r>
        <w:tab/>
      </w:r>
      <w:r>
        <w:t xml:space="preserve">A. Chowdhery </w:t>
      </w:r>
      <w:r>
        <w:rPr>
          <w:i/>
          <w:iCs/>
        </w:rPr>
        <w:t>et al.</w:t>
      </w:r>
      <w:r>
        <w:t xml:space="preserve">, “PaLM: Scaling language modeling with pathways.” 2022. Available: </w:t>
      </w:r>
      <w:r>
        <w:fldChar w:fldCharType="begin"/>
      </w:r>
      <w:r>
        <w:instrText xml:space="preserve"> HYPERLINK "https://arxiv.org/abs/2204.02311" \h </w:instrText>
      </w:r>
      <w:r>
        <w:fldChar w:fldCharType="separate"/>
      </w:r>
      <w:r>
        <w:rPr>
          <w:rStyle w:val="16"/>
        </w:rPr>
        <w:t>https://arxiv.org/abs/2204.02311</w:t>
      </w:r>
      <w:r>
        <w:rPr>
          <w:rStyle w:val="16"/>
        </w:rPr>
        <w:fldChar w:fldCharType="end"/>
      </w:r>
    </w:p>
    <w:bookmarkEnd w:id="56"/>
    <w:p>
      <w:bookmarkStart w:id="57" w:name="ref-Brooks_2024"/>
      <w:r>
        <w:t xml:space="preserve">[33] </w:t>
      </w:r>
      <w:r>
        <w:tab/>
      </w:r>
      <w:r>
        <w:t xml:space="preserve">T. Brooks </w:t>
      </w:r>
      <w:r>
        <w:rPr>
          <w:i/>
          <w:iCs/>
        </w:rPr>
        <w:t>et al.</w:t>
      </w:r>
      <w:r>
        <w:t xml:space="preserve">, </w:t>
      </w:r>
      <w:r>
        <w:rPr>
          <w:i/>
          <w:iCs/>
        </w:rPr>
        <w:t>Video generation models as world simulators</w:t>
      </w:r>
      <w:r>
        <w:t xml:space="preserve">. openai, Feb. 2024. Available: </w:t>
      </w:r>
      <w:r>
        <w:fldChar w:fldCharType="begin"/>
      </w:r>
      <w:r>
        <w:instrText xml:space="preserve"> HYPERLINK "https://openai.com/research/video-generation-models-as-world-simulators" \h </w:instrText>
      </w:r>
      <w:r>
        <w:fldChar w:fldCharType="separate"/>
      </w:r>
      <w:r>
        <w:rPr>
          <w:rStyle w:val="16"/>
        </w:rPr>
        <w:t>https://openai.com/research/video-generation-models-as-world-simulators</w:t>
      </w:r>
      <w:r>
        <w:rPr>
          <w:rStyle w:val="16"/>
        </w:rPr>
        <w:fldChar w:fldCharType="end"/>
      </w:r>
    </w:p>
    <w:bookmarkEnd w:id="57"/>
    <w:p>
      <w:bookmarkStart w:id="58" w:name="ref-peebles2023scalable"/>
      <w:r>
        <w:t xml:space="preserve">[34] </w:t>
      </w:r>
      <w:r>
        <w:tab/>
      </w:r>
      <w:r>
        <w:t xml:space="preserve">W. Peebles and S. Xie, “Scalable diffusion models with transformers.” 2023. Available: </w:t>
      </w:r>
      <w:r>
        <w:fldChar w:fldCharType="begin"/>
      </w:r>
      <w:r>
        <w:instrText xml:space="preserve"> HYPERLINK "https://arxiv.org/abs/2212.09748" \h </w:instrText>
      </w:r>
      <w:r>
        <w:fldChar w:fldCharType="separate"/>
      </w:r>
      <w:r>
        <w:rPr>
          <w:rStyle w:val="16"/>
        </w:rPr>
        <w:t>https://arxiv.org/abs/2212.09748</w:t>
      </w:r>
      <w:r>
        <w:rPr>
          <w:rStyle w:val="16"/>
        </w:rPr>
        <w:fldChar w:fldCharType="end"/>
      </w:r>
    </w:p>
    <w:bookmarkEnd w:id="58"/>
    <w:p>
      <w:bookmarkStart w:id="59" w:name="ref-Jumper2021Alphafold"/>
      <w:r>
        <w:t xml:space="preserve">[35] </w:t>
      </w:r>
      <w:r>
        <w:tab/>
      </w:r>
      <w:r>
        <w:t xml:space="preserve">J. M. Jumper </w:t>
      </w:r>
      <w:r>
        <w:rPr>
          <w:i/>
          <w:iCs/>
        </w:rPr>
        <w:t>et al.</w:t>
      </w:r>
      <w:r>
        <w:t xml:space="preserve">, “Highly accurate protein structure prediction with AlphaFold,” </w:t>
      </w:r>
      <w:r>
        <w:rPr>
          <w:i/>
          <w:iCs/>
        </w:rPr>
        <w:t>Nature</w:t>
      </w:r>
      <w:r>
        <w:t xml:space="preserve">, vol. 596, pp. 583–589, 2021, Available: </w:t>
      </w:r>
      <w:r>
        <w:fldChar w:fldCharType="begin"/>
      </w:r>
      <w:r>
        <w:instrText xml:space="preserve"> HYPERLINK "https://api.semanticscholar.org/CorpusID:235959867" \h </w:instrText>
      </w:r>
      <w:r>
        <w:fldChar w:fldCharType="separate"/>
      </w:r>
      <w:r>
        <w:rPr>
          <w:rStyle w:val="16"/>
        </w:rPr>
        <w:t>https://api.semanticscholar.org/CorpusID:235959867</w:t>
      </w:r>
      <w:r>
        <w:rPr>
          <w:rStyle w:val="16"/>
        </w:rPr>
        <w:fldChar w:fldCharType="end"/>
      </w:r>
    </w:p>
    <w:bookmarkEnd w:id="59"/>
    <w:p>
      <w:bookmarkStart w:id="60" w:name="ref-cheng2023fastfold"/>
      <w:r>
        <w:t xml:space="preserve">[36] </w:t>
      </w:r>
      <w:r>
        <w:tab/>
      </w:r>
      <w:r>
        <w:t xml:space="preserve">S. Cheng </w:t>
      </w:r>
      <w:r>
        <w:rPr>
          <w:i/>
          <w:iCs/>
        </w:rPr>
        <w:t>et al.</w:t>
      </w:r>
      <w:r>
        <w:t xml:space="preserve">, “FastFold: Reducing AlphaFold training time from 11 days to 67 hours.” 2023. Available: </w:t>
      </w:r>
      <w:r>
        <w:fldChar w:fldCharType="begin"/>
      </w:r>
      <w:r>
        <w:instrText xml:space="preserve"> HYPERLINK "https://arxiv.org/abs/2203.00854" \h </w:instrText>
      </w:r>
      <w:r>
        <w:fldChar w:fldCharType="separate"/>
      </w:r>
      <w:r>
        <w:rPr>
          <w:rStyle w:val="16"/>
        </w:rPr>
        <w:t>https://arxiv.org/abs/2203.00854</w:t>
      </w:r>
      <w:r>
        <w:rPr>
          <w:rStyle w:val="16"/>
        </w:rPr>
        <w:fldChar w:fldCharType="end"/>
      </w:r>
    </w:p>
    <w:bookmarkEnd w:id="60"/>
    <w:p>
      <w:bookmarkStart w:id="61" w:name="X413cca689d8a294ec46d43615d1e390f3e2bd06"/>
      <w:r>
        <w:t xml:space="preserve">[37] </w:t>
      </w:r>
      <w:r>
        <w:tab/>
      </w:r>
      <w:r>
        <w:t xml:space="preserve">Y. Zhao </w:t>
      </w:r>
      <w:r>
        <w:rPr>
          <w:i/>
          <w:iCs/>
        </w:rPr>
        <w:t>et al.</w:t>
      </w:r>
      <w:r>
        <w:t xml:space="preserve">, “PyTorch FSDP: Experiences on scaling fully sharded data parallel.” 2023. Available: </w:t>
      </w:r>
      <w:r>
        <w:fldChar w:fldCharType="begin"/>
      </w:r>
      <w:r>
        <w:instrText xml:space="preserve"> HYPERLINK "https://arxiv.org/abs/2304.11277" \h </w:instrText>
      </w:r>
      <w:r>
        <w:fldChar w:fldCharType="separate"/>
      </w:r>
      <w:r>
        <w:rPr>
          <w:rStyle w:val="16"/>
        </w:rPr>
        <w:t>https://arxiv.org/abs/2304.11277</w:t>
      </w:r>
      <w:r>
        <w:rPr>
          <w:rStyle w:val="16"/>
        </w:rPr>
        <w:fldChar w:fldCharType="end"/>
      </w:r>
    </w:p>
    <w:bookmarkEnd w:id="61"/>
    <w:p>
      <w:bookmarkStart w:id="62" w:name="Xd2e91d0c30f42fd9c61877ba8e45e9b4a76f7ef"/>
      <w:r>
        <w:t xml:space="preserve">[38] </w:t>
      </w:r>
      <w:r>
        <w:tab/>
      </w:r>
      <w:r>
        <w:t xml:space="preserve">S. Rajbhandari, J. Rasley, O. Ruwase, and Y. He, “ZeRO: Memory optimizations toward training trillion parameter models.” 2020. Available: </w:t>
      </w:r>
      <w:r>
        <w:fldChar w:fldCharType="begin"/>
      </w:r>
      <w:r>
        <w:instrText xml:space="preserve"> HYPERLINK "https://arxiv.org/abs/1910.02054" \h </w:instrText>
      </w:r>
      <w:r>
        <w:fldChar w:fldCharType="separate"/>
      </w:r>
      <w:r>
        <w:rPr>
          <w:rStyle w:val="16"/>
        </w:rPr>
        <w:t>https://arxiv.org/abs/1910.02054</w:t>
      </w:r>
      <w:r>
        <w:rPr>
          <w:rStyle w:val="16"/>
        </w:rPr>
        <w:fldChar w:fldCharType="end"/>
      </w:r>
    </w:p>
    <w:bookmarkEnd w:id="62"/>
    <w:p>
      <w:bookmarkStart w:id="63" w:name="ref-pytorch"/>
      <w:r>
        <w:t xml:space="preserve">[39] </w:t>
      </w:r>
      <w:r>
        <w:tab/>
      </w:r>
      <w:r>
        <w:t xml:space="preserve">A. Paszke </w:t>
      </w:r>
      <w:r>
        <w:rPr>
          <w:i/>
          <w:iCs/>
        </w:rPr>
        <w:t>et al.</w:t>
      </w:r>
      <w:r>
        <w:t xml:space="preserve">, “PyTorch: An imperative style, high-performance deep learning library.” arXiv, 2019. doi: </w:t>
      </w:r>
      <w:r>
        <w:fldChar w:fldCharType="begin"/>
      </w:r>
      <w:r>
        <w:instrText xml:space="preserve"> HYPERLINK "https://doi.org/10.48550/ARXIV.1912.01703" \h </w:instrText>
      </w:r>
      <w:r>
        <w:fldChar w:fldCharType="separate"/>
      </w:r>
      <w:r>
        <w:rPr>
          <w:rStyle w:val="16"/>
        </w:rPr>
        <w:t>10.48550/ARXIV.1912.01703</w:t>
      </w:r>
      <w:r>
        <w:rPr>
          <w:rStyle w:val="16"/>
        </w:rPr>
        <w:fldChar w:fldCharType="end"/>
      </w:r>
      <w:r>
        <w:t>.</w:t>
      </w:r>
    </w:p>
    <w:bookmarkEnd w:id="63"/>
    <w:p>
      <w:bookmarkStart w:id="64" w:name="ref-dao2022flashattention"/>
      <w:r>
        <w:t xml:space="preserve">[40] </w:t>
      </w:r>
      <w:r>
        <w:tab/>
      </w:r>
      <w:r>
        <w:t xml:space="preserve">T. Dao, D. Y. Fu, S. Ermon, A. Rudra, and C. Ré, “FlashAttention: Fast and memory-efficient exact attention with IO-awareness.” 2022. Available: </w:t>
      </w:r>
      <w:r>
        <w:fldChar w:fldCharType="begin"/>
      </w:r>
      <w:r>
        <w:instrText xml:space="preserve"> HYPERLINK "https://arxiv.org/abs/2205.14135" \h </w:instrText>
      </w:r>
      <w:r>
        <w:fldChar w:fldCharType="separate"/>
      </w:r>
      <w:r>
        <w:rPr>
          <w:rStyle w:val="16"/>
        </w:rPr>
        <w:t>https://arxiv.org/abs/2205.14135</w:t>
      </w:r>
      <w:r>
        <w:rPr>
          <w:rStyle w:val="16"/>
        </w:rPr>
        <w:fldChar w:fldCharType="end"/>
      </w:r>
    </w:p>
    <w:bookmarkEnd w:id="64"/>
    <w:p>
      <w:bookmarkStart w:id="65" w:name="ref-nvlink"/>
      <w:r>
        <w:t xml:space="preserve">[41] </w:t>
      </w:r>
      <w:r>
        <w:tab/>
      </w:r>
      <w:r>
        <w:t xml:space="preserve">D. Foley and J. Danskin, “Ultra-performance pascal GPU and NVLink interconnect,” </w:t>
      </w:r>
      <w:r>
        <w:rPr>
          <w:i/>
          <w:iCs/>
        </w:rPr>
        <w:t>IEEE Micro</w:t>
      </w:r>
      <w:r>
        <w:t xml:space="preserve">, vol. 37, no. 2, pp. 7–17, 2017, doi: </w:t>
      </w:r>
      <w:r>
        <w:fldChar w:fldCharType="begin"/>
      </w:r>
      <w:r>
        <w:instrText xml:space="preserve"> HYPERLINK "https://doi.org/10.1109/MM.2017.37" \h </w:instrText>
      </w:r>
      <w:r>
        <w:fldChar w:fldCharType="separate"/>
      </w:r>
      <w:r>
        <w:rPr>
          <w:rStyle w:val="16"/>
        </w:rPr>
        <w:t>10.1109/MM.2017.37</w:t>
      </w:r>
      <w:r>
        <w:rPr>
          <w:rStyle w:val="16"/>
        </w:rPr>
        <w:fldChar w:fldCharType="end"/>
      </w:r>
      <w:r>
        <w:t>.</w:t>
      </w:r>
    </w:p>
    <w:bookmarkEnd w:id="23"/>
    <w:bookmarkEnd w:id="25"/>
    <w:bookmarkEnd w:id="65"/>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lear" w:pos="8306"/>
      </w:tabs>
      <w:spacing w:before="120" w:beforeLines="50"/>
      <w:ind w:left="15" w:leftChars="-250" w:right="312" w:hanging="540" w:hangingChars="300"/>
      <w:jc w:val="both"/>
      <w:rPr>
        <w:rFonts w:ascii="楷体_GB2312" w:eastAsia="楷体_GB2312"/>
        <w:color w:val="660066"/>
      </w:rPr>
    </w:pPr>
    <w:r>
      <w:rPr>
        <w:rFonts w:hint="eastAsia"/>
      </w:rPr>
      <w:t xml:space="preserve">      </w:t>
    </w:r>
    <w:r>
      <w:rPr>
        <w:rFonts w:hint="eastAsia" w:ascii="楷体_GB2312" w:eastAsia="楷体_GB2312"/>
        <w:color w:val="660066"/>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10071CED"/>
    <w:multiLevelType w:val="multilevel"/>
    <w:tmpl w:val="10071CED"/>
    <w:lvl w:ilvl="0" w:tentative="0">
      <w:start w:val="1"/>
      <w:numFmt w:val="none"/>
      <w:pStyle w:val="29"/>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2C27D2C"/>
    <w:multiLevelType w:val="multilevel"/>
    <w:tmpl w:val="32C27D2C"/>
    <w:lvl w:ilvl="0" w:tentative="0">
      <w:start w:val="1"/>
      <w:numFmt w:val="decimal"/>
      <w:pStyle w:val="35"/>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4DB54CE"/>
    <w:multiLevelType w:val="multilevel"/>
    <w:tmpl w:val="44DB54CE"/>
    <w:lvl w:ilvl="0" w:tentative="0">
      <w:start w:val="1"/>
      <w:numFmt w:val="none"/>
      <w:pStyle w:val="30"/>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5E4A9C"/>
    <w:rsid w:val="2A610656"/>
    <w:rsid w:val="3BB547AF"/>
    <w:rsid w:val="477810C3"/>
    <w:rsid w:val="52EE37AE"/>
    <w:rsid w:val="64DE3569"/>
    <w:rsid w:val="71872FF7"/>
    <w:rsid w:val="7F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0"/>
    <w:qFormat/>
    <w:uiPriority w:val="0"/>
    <w:pPr>
      <w:keepNext/>
      <w:keepLines/>
      <w:tabs>
        <w:tab w:val="left" w:pos="567"/>
      </w:tabs>
      <w:ind w:left="567" w:hanging="567"/>
      <w:outlineLvl w:val="1"/>
    </w:pPr>
    <w:rPr>
      <w:rFonts w:eastAsia="黑体"/>
      <w:b/>
      <w:szCs w:val="20"/>
    </w:rPr>
  </w:style>
  <w:style w:type="paragraph" w:styleId="4">
    <w:name w:val="heading 3"/>
    <w:basedOn w:val="1"/>
    <w:next w:val="1"/>
    <w:link w:val="41"/>
    <w:qFormat/>
    <w:uiPriority w:val="0"/>
    <w:pPr>
      <w:keepNext/>
      <w:keepLines/>
      <w:tabs>
        <w:tab w:val="left" w:pos="425"/>
      </w:tabs>
      <w:outlineLvl w:val="2"/>
    </w:pPr>
    <w:rPr>
      <w:b/>
      <w:szCs w:val="20"/>
    </w:rPr>
  </w:style>
  <w:style w:type="character" w:default="1" w:styleId="13">
    <w:name w:val="Default Paragraph Font"/>
    <w:semiHidden/>
    <w:unhideWhenUsed/>
    <w:qFormat/>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7"/>
    <w:uiPriority w:val="0"/>
    <w:rPr>
      <w:b/>
      <w:bCs/>
    </w:rPr>
  </w:style>
  <w:style w:type="paragraph" w:styleId="6">
    <w:name w:val="annotation text"/>
    <w:basedOn w:val="1"/>
    <w:link w:val="36"/>
    <w:uiPriority w:val="0"/>
    <w:pPr>
      <w:jc w:val="left"/>
    </w:pPr>
  </w:style>
  <w:style w:type="paragraph" w:styleId="7">
    <w:name w:val="Body Text Indent"/>
    <w:basedOn w:val="1"/>
    <w:link w:val="42"/>
    <w:qFormat/>
    <w:uiPriority w:val="0"/>
    <w:pPr>
      <w:spacing w:line="360" w:lineRule="auto"/>
      <w:ind w:firstLine="420"/>
      <w:jc w:val="left"/>
    </w:pPr>
    <w:rPr>
      <w:sz w:val="24"/>
    </w:rPr>
  </w:style>
  <w:style w:type="paragraph" w:styleId="8">
    <w:name w:val="Balloon Text"/>
    <w:basedOn w:val="1"/>
    <w:link w:val="38"/>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jc w:val="center"/>
    </w:pPr>
    <w:rPr>
      <w:sz w:val="18"/>
      <w:szCs w:val="18"/>
    </w:rPr>
  </w:style>
  <w:style w:type="paragraph" w:styleId="11">
    <w:name w:val="footnote text"/>
    <w:basedOn w:val="1"/>
    <w:link w:val="43"/>
    <w:qFormat/>
    <w:uiPriority w:val="0"/>
    <w:pPr>
      <w:snapToGrid w:val="0"/>
      <w:jc w:val="left"/>
    </w:pPr>
    <w:rPr>
      <w:sz w:val="18"/>
      <w:szCs w:val="18"/>
    </w:rPr>
  </w:style>
  <w:style w:type="paragraph" w:styleId="12">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4">
    <w:name w:val="Strong"/>
    <w:qFormat/>
    <w:uiPriority w:val="0"/>
    <w:rPr>
      <w:b/>
      <w:bCs/>
    </w:rPr>
  </w:style>
  <w:style w:type="character" w:styleId="15">
    <w:name w:val="page number"/>
    <w:basedOn w:val="13"/>
    <w:qFormat/>
    <w:uiPriority w:val="0"/>
  </w:style>
  <w:style w:type="character" w:styleId="16">
    <w:name w:val="Hyperlink"/>
    <w:qFormat/>
    <w:uiPriority w:val="0"/>
    <w:rPr>
      <w:color w:val="0000FF"/>
      <w:u w:val="single"/>
    </w:rPr>
  </w:style>
  <w:style w:type="character" w:styleId="17">
    <w:name w:val="annotation reference"/>
    <w:qFormat/>
    <w:uiPriority w:val="0"/>
    <w:rPr>
      <w:sz w:val="21"/>
      <w:szCs w:val="21"/>
    </w:rPr>
  </w:style>
  <w:style w:type="character" w:styleId="18">
    <w:name w:val="footnote reference"/>
    <w:uiPriority w:val="0"/>
    <w:rPr>
      <w:vertAlign w:val="superscript"/>
    </w:rPr>
  </w:style>
  <w:style w:type="paragraph" w:customStyle="1" w:styleId="20">
    <w:name w:val="修订1"/>
    <w:hidden/>
    <w:semiHidden/>
    <w:uiPriority w:val="99"/>
    <w:rPr>
      <w:rFonts w:ascii="Times New Roman" w:hAnsi="Times New Roman" w:eastAsia="宋体" w:cs="Times New Roman"/>
      <w:kern w:val="2"/>
      <w:sz w:val="21"/>
      <w:szCs w:val="24"/>
      <w:lang w:val="en-US" w:eastAsia="zh-CN" w:bidi="ar-SA"/>
    </w:rPr>
  </w:style>
  <w:style w:type="paragraph" w:customStyle="1" w:styleId="21">
    <w:name w:val="Chinese Title"/>
    <w:basedOn w:val="1"/>
    <w:next w:val="22"/>
    <w:qFormat/>
    <w:uiPriority w:val="0"/>
    <w:pPr>
      <w:spacing w:beforeLines="300" w:afterLines="150"/>
      <w:jc w:val="center"/>
    </w:pPr>
    <w:rPr>
      <w:rFonts w:ascii="黑体" w:eastAsia="黑体"/>
      <w:b/>
      <w:bCs/>
      <w:sz w:val="36"/>
    </w:rPr>
  </w:style>
  <w:style w:type="paragraph" w:customStyle="1" w:styleId="22">
    <w:name w:val="CAuthor"/>
    <w:basedOn w:val="1"/>
    <w:next w:val="23"/>
    <w:qFormat/>
    <w:uiPriority w:val="0"/>
    <w:pPr>
      <w:spacing w:beforeLines="50" w:afterLines="50"/>
      <w:jc w:val="center"/>
    </w:pPr>
    <w:rPr>
      <w:rFonts w:ascii="楷体_GB2312" w:eastAsia="楷体_GB2312"/>
      <w:sz w:val="28"/>
    </w:rPr>
  </w:style>
  <w:style w:type="paragraph" w:customStyle="1" w:styleId="23">
    <w:name w:val="CAffiliation"/>
    <w:basedOn w:val="1"/>
    <w:next w:val="24"/>
    <w:qFormat/>
    <w:uiPriority w:val="0"/>
    <w:pPr>
      <w:spacing w:beforeLines="50" w:afterLines="50"/>
      <w:jc w:val="center"/>
    </w:pPr>
    <w:rPr>
      <w:rFonts w:ascii="宋体" w:hAnsi="宋体"/>
      <w:sz w:val="15"/>
    </w:rPr>
  </w:style>
  <w:style w:type="paragraph" w:customStyle="1" w:styleId="24">
    <w:name w:val="CAbstract"/>
    <w:basedOn w:val="1"/>
    <w:next w:val="25"/>
    <w:qFormat/>
    <w:uiPriority w:val="0"/>
    <w:pPr>
      <w:spacing w:beforeLines="50" w:afterLines="50"/>
      <w:ind w:left="284" w:right="378" w:rightChars="180" w:firstLine="0"/>
    </w:pPr>
    <w:rPr>
      <w:sz w:val="18"/>
    </w:rPr>
  </w:style>
  <w:style w:type="paragraph" w:customStyle="1" w:styleId="25">
    <w:name w:val="CKeyWords"/>
    <w:basedOn w:val="1"/>
    <w:next w:val="26"/>
    <w:uiPriority w:val="0"/>
    <w:pPr>
      <w:spacing w:beforeLines="50" w:afterLines="50"/>
      <w:ind w:left="1257" w:leftChars="140" w:right="378" w:rightChars="180" w:hanging="963" w:hangingChars="535"/>
    </w:pPr>
    <w:rPr>
      <w:sz w:val="18"/>
    </w:rPr>
  </w:style>
  <w:style w:type="paragraph" w:customStyle="1" w:styleId="26">
    <w:name w:val="English Title"/>
    <w:basedOn w:val="1"/>
    <w:next w:val="27"/>
    <w:qFormat/>
    <w:uiPriority w:val="0"/>
    <w:pPr>
      <w:spacing w:beforeLines="250" w:afterLines="50"/>
      <w:jc w:val="center"/>
    </w:pPr>
    <w:rPr>
      <w:rFonts w:ascii="Arial" w:hAnsi="Arial" w:cs="Arial"/>
      <w:sz w:val="44"/>
    </w:rPr>
  </w:style>
  <w:style w:type="paragraph" w:customStyle="1" w:styleId="27">
    <w:name w:val="Author"/>
    <w:basedOn w:val="1"/>
    <w:next w:val="28"/>
    <w:qFormat/>
    <w:uiPriority w:val="0"/>
    <w:pPr>
      <w:jc w:val="center"/>
    </w:pPr>
    <w:rPr>
      <w:sz w:val="28"/>
    </w:rPr>
  </w:style>
  <w:style w:type="paragraph" w:customStyle="1" w:styleId="28">
    <w:name w:val="Affiliation"/>
    <w:basedOn w:val="1"/>
    <w:next w:val="29"/>
    <w:uiPriority w:val="0"/>
    <w:pPr>
      <w:spacing w:beforeLines="100" w:afterLines="100"/>
      <w:jc w:val="center"/>
    </w:pPr>
    <w:rPr>
      <w:sz w:val="15"/>
    </w:rPr>
  </w:style>
  <w:style w:type="paragraph" w:customStyle="1" w:styleId="29">
    <w:name w:val="Abstract"/>
    <w:basedOn w:val="1"/>
    <w:next w:val="30"/>
    <w:qFormat/>
    <w:uiPriority w:val="0"/>
    <w:pPr>
      <w:numPr>
        <w:ilvl w:val="0"/>
        <w:numId w:val="1"/>
      </w:numPr>
      <w:spacing w:beforeLines="50" w:afterLines="50"/>
      <w:ind w:left="0" w:firstLine="0"/>
    </w:pPr>
    <w:rPr>
      <w:rFonts w:cs="Arial"/>
      <w:sz w:val="18"/>
    </w:rPr>
  </w:style>
  <w:style w:type="paragraph" w:customStyle="1" w:styleId="30">
    <w:name w:val="key words"/>
    <w:basedOn w:val="1"/>
    <w:next w:val="1"/>
    <w:qFormat/>
    <w:uiPriority w:val="0"/>
    <w:pPr>
      <w:numPr>
        <w:ilvl w:val="0"/>
        <w:numId w:val="2"/>
      </w:numPr>
      <w:spacing w:beforeLines="50" w:afterLines="100"/>
      <w:ind w:left="1069" w:hanging="1069" w:hangingChars="594"/>
    </w:pPr>
    <w:rPr>
      <w:sz w:val="18"/>
    </w:rPr>
  </w:style>
  <w:style w:type="paragraph" w:customStyle="1" w:styleId="31">
    <w:name w:val="TableEHeading"/>
    <w:basedOn w:val="1"/>
    <w:next w:val="1"/>
    <w:qFormat/>
    <w:uiPriority w:val="0"/>
    <w:pPr>
      <w:spacing w:afterLines="50"/>
      <w:jc w:val="center"/>
    </w:pPr>
    <w:rPr>
      <w:rFonts w:eastAsia="黑体"/>
      <w:b/>
      <w:bCs/>
      <w:sz w:val="18"/>
      <w:szCs w:val="20"/>
    </w:rPr>
  </w:style>
  <w:style w:type="paragraph" w:customStyle="1" w:styleId="32">
    <w:name w:val="TableCHeading"/>
    <w:basedOn w:val="1"/>
    <w:next w:val="31"/>
    <w:uiPriority w:val="0"/>
    <w:pPr>
      <w:spacing w:beforeLines="100"/>
      <w:ind w:left="0" w:firstLine="0"/>
      <w:jc w:val="center"/>
    </w:pPr>
    <w:rPr>
      <w:rFonts w:eastAsia="黑体"/>
      <w:b/>
      <w:bCs/>
      <w:sz w:val="18"/>
      <w:szCs w:val="20"/>
    </w:rPr>
  </w:style>
  <w:style w:type="paragraph" w:customStyle="1" w:styleId="33">
    <w:name w:val="FigEHeading"/>
    <w:basedOn w:val="1"/>
    <w:next w:val="1"/>
    <w:qFormat/>
    <w:uiPriority w:val="0"/>
    <w:pPr>
      <w:spacing w:afterLines="50"/>
      <w:ind w:left="0" w:firstLine="0"/>
      <w:jc w:val="center"/>
    </w:pPr>
    <w:rPr>
      <w:rFonts w:eastAsia="黑体"/>
      <w:b/>
      <w:bCs/>
      <w:sz w:val="18"/>
      <w:szCs w:val="20"/>
    </w:rPr>
  </w:style>
  <w:style w:type="paragraph" w:customStyle="1" w:styleId="34">
    <w:name w:val="FigCHeading"/>
    <w:basedOn w:val="1"/>
    <w:next w:val="33"/>
    <w:uiPriority w:val="0"/>
    <w:pPr>
      <w:spacing w:beforeLines="50"/>
      <w:ind w:left="0" w:firstLine="0"/>
      <w:jc w:val="center"/>
    </w:pPr>
    <w:rPr>
      <w:rFonts w:eastAsia="黑体"/>
      <w:b/>
      <w:sz w:val="18"/>
      <w:szCs w:val="20"/>
    </w:rPr>
  </w:style>
  <w:style w:type="paragraph" w:customStyle="1" w:styleId="35">
    <w:name w:val="Reference"/>
    <w:basedOn w:val="1"/>
    <w:qFormat/>
    <w:uiPriority w:val="0"/>
    <w:pPr>
      <w:numPr>
        <w:ilvl w:val="0"/>
        <w:numId w:val="3"/>
      </w:numPr>
    </w:pPr>
    <w:rPr>
      <w:sz w:val="15"/>
    </w:rPr>
  </w:style>
  <w:style w:type="character" w:customStyle="1" w:styleId="36">
    <w:name w:val="批注文字 字符"/>
    <w:link w:val="6"/>
    <w:qFormat/>
    <w:uiPriority w:val="0"/>
    <w:rPr>
      <w:kern w:val="2"/>
      <w:sz w:val="21"/>
      <w:szCs w:val="24"/>
    </w:rPr>
  </w:style>
  <w:style w:type="character" w:customStyle="1" w:styleId="37">
    <w:name w:val="批注主题 字符"/>
    <w:link w:val="5"/>
    <w:qFormat/>
    <w:uiPriority w:val="0"/>
    <w:rPr>
      <w:b/>
      <w:bCs/>
      <w:kern w:val="2"/>
      <w:sz w:val="21"/>
      <w:szCs w:val="24"/>
    </w:rPr>
  </w:style>
  <w:style w:type="character" w:customStyle="1" w:styleId="38">
    <w:name w:val="批注框文本 字符"/>
    <w:link w:val="8"/>
    <w:uiPriority w:val="0"/>
    <w:rPr>
      <w:kern w:val="2"/>
      <w:sz w:val="18"/>
      <w:szCs w:val="18"/>
    </w:rPr>
  </w:style>
  <w:style w:type="character" w:customStyle="1" w:styleId="39">
    <w:name w:val="标题 1 字符"/>
    <w:link w:val="2"/>
    <w:uiPriority w:val="0"/>
    <w:rPr>
      <w:b/>
      <w:bCs/>
      <w:kern w:val="44"/>
      <w:sz w:val="44"/>
      <w:szCs w:val="44"/>
    </w:rPr>
  </w:style>
  <w:style w:type="character" w:customStyle="1" w:styleId="40">
    <w:name w:val="标题 2 字符"/>
    <w:link w:val="3"/>
    <w:uiPriority w:val="0"/>
    <w:rPr>
      <w:rFonts w:eastAsia="黑体"/>
      <w:b/>
      <w:kern w:val="2"/>
      <w:sz w:val="21"/>
    </w:rPr>
  </w:style>
  <w:style w:type="character" w:customStyle="1" w:styleId="41">
    <w:name w:val="标题 3 字符"/>
    <w:link w:val="4"/>
    <w:qFormat/>
    <w:uiPriority w:val="0"/>
    <w:rPr>
      <w:b/>
      <w:kern w:val="2"/>
      <w:sz w:val="21"/>
    </w:rPr>
  </w:style>
  <w:style w:type="character" w:customStyle="1" w:styleId="42">
    <w:name w:val="正文文本缩进 字符"/>
    <w:link w:val="7"/>
    <w:qFormat/>
    <w:uiPriority w:val="0"/>
    <w:rPr>
      <w:kern w:val="2"/>
      <w:sz w:val="24"/>
      <w:szCs w:val="24"/>
    </w:rPr>
  </w:style>
  <w:style w:type="character" w:customStyle="1" w:styleId="43">
    <w:name w:val="脚注文本 字符"/>
    <w:link w:val="11"/>
    <w:uiPriority w:val="0"/>
    <w:rPr>
      <w:kern w:val="2"/>
      <w:sz w:val="18"/>
      <w:szCs w:val="18"/>
    </w:rPr>
  </w:style>
  <w:style w:type="paragraph" w:customStyle="1" w:styleId="44">
    <w:name w:val="Source Code"/>
    <w:qFormat/>
    <w:uiPriority w:val="0"/>
    <w:pPr>
      <w:wordWrap w:val="0"/>
    </w:pPr>
    <w:rPr>
      <w:rFonts w:ascii="Times New Roman" w:hAnsi="Times New Roman" w:eastAsia="宋体" w:cs="Times New Roman"/>
      <w:lang w:val="en-US" w:eastAsia="zh-CN" w:bidi="ar-SA"/>
    </w:rPr>
  </w:style>
  <w:style w:type="character" w:customStyle="1" w:styleId="45">
    <w:name w:val="KeywordTok"/>
    <w:qFormat/>
    <w:uiPriority w:val="0"/>
    <w:rPr>
      <w:b/>
      <w:color w:val="007020"/>
    </w:rPr>
  </w:style>
  <w:style w:type="character" w:customStyle="1" w:styleId="46">
    <w:name w:val="DataTypeTok"/>
    <w:uiPriority w:val="0"/>
    <w:rPr>
      <w:color w:val="902000"/>
    </w:rPr>
  </w:style>
  <w:style w:type="character" w:customStyle="1" w:styleId="47">
    <w:name w:val="DecValTok"/>
    <w:qFormat/>
    <w:uiPriority w:val="0"/>
    <w:rPr>
      <w:color w:val="40A070"/>
    </w:rPr>
  </w:style>
  <w:style w:type="character" w:customStyle="1" w:styleId="48">
    <w:name w:val="BaseNTok"/>
    <w:qFormat/>
    <w:uiPriority w:val="0"/>
    <w:rPr>
      <w:color w:val="40A070"/>
    </w:rPr>
  </w:style>
  <w:style w:type="character" w:customStyle="1" w:styleId="49">
    <w:name w:val="FloatTok"/>
    <w:uiPriority w:val="0"/>
    <w:rPr>
      <w:color w:val="40A070"/>
    </w:rPr>
  </w:style>
  <w:style w:type="character" w:customStyle="1" w:styleId="50">
    <w:name w:val="ConstantTok"/>
    <w:qFormat/>
    <w:uiPriority w:val="0"/>
    <w:rPr>
      <w:color w:val="880000"/>
    </w:rPr>
  </w:style>
  <w:style w:type="character" w:customStyle="1" w:styleId="51">
    <w:name w:val="CharTok"/>
    <w:qFormat/>
    <w:uiPriority w:val="0"/>
    <w:rPr>
      <w:color w:val="4070A0"/>
    </w:rPr>
  </w:style>
  <w:style w:type="character" w:customStyle="1" w:styleId="52">
    <w:name w:val="SpecialCharTok"/>
    <w:uiPriority w:val="0"/>
    <w:rPr>
      <w:color w:val="4070A0"/>
    </w:rPr>
  </w:style>
  <w:style w:type="character" w:customStyle="1" w:styleId="53">
    <w:name w:val="StringTok"/>
    <w:qFormat/>
    <w:uiPriority w:val="0"/>
    <w:rPr>
      <w:color w:val="4070A0"/>
    </w:rPr>
  </w:style>
  <w:style w:type="character" w:customStyle="1" w:styleId="54">
    <w:name w:val="VerbatimStringTok"/>
    <w:qFormat/>
    <w:uiPriority w:val="0"/>
    <w:rPr>
      <w:color w:val="4070A0"/>
    </w:rPr>
  </w:style>
  <w:style w:type="character" w:customStyle="1" w:styleId="55">
    <w:name w:val="SpecialStringTok"/>
    <w:qFormat/>
    <w:uiPriority w:val="0"/>
    <w:rPr>
      <w:color w:val="BB6688"/>
    </w:rPr>
  </w:style>
  <w:style w:type="character" w:customStyle="1" w:styleId="56">
    <w:name w:val="ImportTok"/>
    <w:uiPriority w:val="0"/>
    <w:rPr>
      <w:b/>
      <w:color w:val="008000"/>
    </w:rPr>
  </w:style>
  <w:style w:type="character" w:customStyle="1" w:styleId="57">
    <w:name w:val="CommentTok"/>
    <w:qFormat/>
    <w:uiPriority w:val="0"/>
    <w:rPr>
      <w:i/>
      <w:color w:val="60A0B0"/>
    </w:rPr>
  </w:style>
  <w:style w:type="character" w:customStyle="1" w:styleId="58">
    <w:name w:val="DocumentationTok"/>
    <w:qFormat/>
    <w:uiPriority w:val="0"/>
    <w:rPr>
      <w:i/>
      <w:color w:val="BA2121"/>
    </w:rPr>
  </w:style>
  <w:style w:type="character" w:customStyle="1" w:styleId="59">
    <w:name w:val="AnnotationTok"/>
    <w:qFormat/>
    <w:uiPriority w:val="0"/>
    <w:rPr>
      <w:b/>
      <w:i/>
      <w:color w:val="60A0B0"/>
    </w:rPr>
  </w:style>
  <w:style w:type="character" w:customStyle="1" w:styleId="60">
    <w:name w:val="CommentVarTok"/>
    <w:qFormat/>
    <w:uiPriority w:val="0"/>
    <w:rPr>
      <w:b/>
      <w:i/>
      <w:color w:val="60A0B0"/>
    </w:rPr>
  </w:style>
  <w:style w:type="character" w:customStyle="1" w:styleId="61">
    <w:name w:val="OtherTok"/>
    <w:qFormat/>
    <w:uiPriority w:val="0"/>
    <w:rPr>
      <w:color w:val="007020"/>
    </w:rPr>
  </w:style>
  <w:style w:type="character" w:customStyle="1" w:styleId="62">
    <w:name w:val="FunctionTok"/>
    <w:qFormat/>
    <w:uiPriority w:val="0"/>
    <w:rPr>
      <w:color w:val="06287E"/>
    </w:rPr>
  </w:style>
  <w:style w:type="character" w:customStyle="1" w:styleId="63">
    <w:name w:val="VariableTok"/>
    <w:uiPriority w:val="0"/>
    <w:rPr>
      <w:color w:val="19177C"/>
    </w:rPr>
  </w:style>
  <w:style w:type="character" w:customStyle="1" w:styleId="64">
    <w:name w:val="ControlFlowTok"/>
    <w:uiPriority w:val="0"/>
    <w:rPr>
      <w:b/>
      <w:color w:val="007020"/>
    </w:rPr>
  </w:style>
  <w:style w:type="character" w:customStyle="1" w:styleId="65">
    <w:name w:val="OperatorTok"/>
    <w:qFormat/>
    <w:uiPriority w:val="0"/>
    <w:rPr>
      <w:color w:val="666666"/>
    </w:rPr>
  </w:style>
  <w:style w:type="character" w:customStyle="1" w:styleId="66">
    <w:name w:val="BuiltInTok"/>
    <w:qFormat/>
    <w:uiPriority w:val="0"/>
    <w:rPr>
      <w:color w:val="008000"/>
    </w:rPr>
  </w:style>
  <w:style w:type="character" w:customStyle="1" w:styleId="67">
    <w:name w:val="ExtensionTok"/>
    <w:qFormat/>
    <w:uiPriority w:val="0"/>
  </w:style>
  <w:style w:type="character" w:customStyle="1" w:styleId="68">
    <w:name w:val="PreprocessorTok"/>
    <w:qFormat/>
    <w:uiPriority w:val="0"/>
    <w:rPr>
      <w:color w:val="BC7A00"/>
    </w:rPr>
  </w:style>
  <w:style w:type="character" w:customStyle="1" w:styleId="69">
    <w:name w:val="AttributeTok"/>
    <w:qFormat/>
    <w:uiPriority w:val="0"/>
    <w:rPr>
      <w:color w:val="7D9029"/>
    </w:rPr>
  </w:style>
  <w:style w:type="character" w:customStyle="1" w:styleId="70">
    <w:name w:val="RegionMarkerTok"/>
    <w:qFormat/>
    <w:uiPriority w:val="0"/>
  </w:style>
  <w:style w:type="character" w:customStyle="1" w:styleId="71">
    <w:name w:val="InformationTok"/>
    <w:qFormat/>
    <w:uiPriority w:val="0"/>
    <w:rPr>
      <w:b/>
      <w:i/>
      <w:color w:val="60A0B0"/>
    </w:rPr>
  </w:style>
  <w:style w:type="character" w:customStyle="1" w:styleId="72">
    <w:name w:val="WarningTok"/>
    <w:qFormat/>
    <w:uiPriority w:val="0"/>
    <w:rPr>
      <w:b/>
      <w:i/>
      <w:color w:val="60A0B0"/>
    </w:rPr>
  </w:style>
  <w:style w:type="character" w:customStyle="1" w:styleId="73">
    <w:name w:val="AlertTok"/>
    <w:uiPriority w:val="0"/>
    <w:rPr>
      <w:b/>
      <w:color w:val="FF0000"/>
    </w:rPr>
  </w:style>
  <w:style w:type="character" w:customStyle="1" w:styleId="74">
    <w:name w:val="ErrorTok"/>
    <w:qFormat/>
    <w:uiPriority w:val="0"/>
    <w:rPr>
      <w:b/>
      <w:color w:val="FF0000"/>
    </w:rPr>
  </w:style>
  <w:style w:type="character" w:customStyle="1" w:styleId="75">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347</Words>
  <Characters>1980</Characters>
  <Lines>16</Lines>
  <Paragraphs>4</Paragraphs>
  <TotalTime>0</TotalTime>
  <ScaleCrop>false</ScaleCrop>
  <LinksUpToDate>false</LinksUpToDate>
  <CharactersWithSpaces>2323</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2026-04-23T15:12:00Z</dcterms:created>
  <dc:creator>Junfeng Lin; Ziming Liu; Yang You; Jun Wang; Weihao Zhang; Rong Zhao</dc:creator>
  <cp:lastModifiedBy>BJ-KD33</cp:lastModifiedBy>
  <dcterms:modified xsi:type="dcterms:W3CDTF">2026-04-23T18:17:33Z</dcterms:modified>
  <dc:title>WeiPipe: Weight Pipeline Parallelism for Communication-Effective Long-Context Large Model Training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a more balanced utilization by transmitting only weights and their gradients between workers in a pipeline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also shows greater scalability in communication-constrained scenarios compared to former pipeline methods.</vt:lpwstr>
  </property>
  <property fmtid="{D5CDD505-2E9C-101B-9397-08002B2CF9AE}" pid="3" name="bibliography">
    <vt:lpwstr>weipipe.bib</vt:lpwstr>
  </property>
  <property fmtid="{D5CDD505-2E9C-101B-9397-08002B2CF9AE}" pid="4" name="csl">
    <vt:lpwstr>/usr/share/citation-style-language/styles/ieee.csl</vt:lpwstr>
  </property>
  <property fmtid="{D5CDD505-2E9C-101B-9397-08002B2CF9AE}" pid="5" name="KSOProductBuildVer">
    <vt:lpwstr>2052-10.8.2.7090</vt:lpwstr>
  </property>
</Properties>
</file>