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snapToGrid w:val="0"/>
      </w:pPr>
      <w:r>
        <w:rPr>
          <w:rFonts w:ascii="Songti SC" w:hAnsi="Songti SC" w:eastAsia="Songti SC"/>
          <w:b/>
          <w:color w:val="000000"/>
          <w:sz w:val="40"/>
        </w:rPr>
        <w:t>内部审计整改流程优化与操作详解口播稿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第1页 内部审计整改流程优化与操作详解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各位领导、各位同事，大家好。下面就内部审计整改流程的优化内容和具体操作要求作汇报。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这次调整是在原有流程基础上，把问题发现以后的整改工作进一步细化。从责任部门接收任务，到分析原因、落实措施，再到验收和考核，每个环节都明确相应的责任和办理要求。今天结合这套安排，重点说明本次有哪些调整，以及业务、合规和稽核在实际办理中如何衔接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第2页 目录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先介绍本次调整的目标、主要变化和覆盖范围，再说明整体流程及各方分工。具体操作部分，会按任务办理的顺序，说明启动时点、风险分级、措施审批和验收等要求。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第3页 目标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本次流程优化主要围绕责任落实、成因分析、过程追踪、验收和考核展开。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围绕这些要求，本次在原有流程基础上进一步细化。分析原因时，要为后续措施找到依据。制定措施时，要把具体动作、责任人和完成期限写清楚。进入执行阶段以后，持续跟进进度，完成后再通过验收检查实际落实情况，并将整改结果纳入考核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操作上，进一步明确各环节的要求，形成标准化、可追踪的作业规范。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第4页 机制 整改流程前后对比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和原有流程相比，这次首先调整的是启动时间。整改与稽核报告、三函定稿相衔接，提前启动。任务下发时还要先判断风险等级，后续按等级匹配审批和检查要求。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成因分析和措施制定也作了细化。原来由业务分析、稽核收阅，现在增加合规参与和指导，从流程、系统、制度、管理和操作等方面分析原因。措施针对分析出的原因制定，将短期处置与系统优化、制度修订等长期措施结合起来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过程管理方面，三函事项纳入线上追踪，通过系统自动提醒进度。验收在原有项目组内部验收基础上，进一步明确稽核条线验收和问责室质检的分工。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另外新增了业审联动和合规考核加减分安排。业务、合规和稽核定期沟通，对重复、共性问题回溯原因，检查措施实施后的效果。考核则分别关注完成率和完成质量，把整改结果用于合规评价。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第5页 机制 覆盖范围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整改管理的范围，覆盖年度专项稽核、常规稽核项目发现的所有问题，以及指令函、警示函和知询函涉及的整改事项。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稽核项目由项目组发起，被审计单位责任人接收；三函事项由提交人，也就是主审发起，责任部门接收。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稽核项目发现的问题和三函涉及的整改事项，统一纳入整改闭环。三函线上化的系统改造已经完成，相关事项纳入线上追踪和管理。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第6页 目录 流程与职责介绍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明确管理范围以后，下面把各项工作和责任分工放在一起说明，重点看任务从发起到验收，各方分别承担什么工作。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第7页 流程介绍 明确各环节责任主体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从一项整改任务的办理过程来看，起点是项目组或三函主审下发任务。责任部门接收后组织成因分析，拟定整改措施，在五个工作日内反馈，分析结论随措施一并提交。措施按风险等级履行相应审批，整改完成期限原则上不超过三个月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措施执行期间，按月追踪进度，由整改责任人推进落实，系统提供提醒。完成整改后，先做好业务自验和材料提交，再由稽核条线验收。稽核验收安排在每月二十日，不合格的退回补充整改。问责室按季度开展质检，对检查不合格的事项予以通报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业审联动和考核还要定期开展。稽核条线与业务部门按月或每两个月沟通，问责室、法律合规部参与，对问题和措施持续回溯。考核按半年或年度组织，由法律合规部发起、问责室统筹。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第8页 职责划分 三道防线协同履责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在这套分工中，业务部门承担整改责任，法律合规部负责审核督导，稽核开展独立验收，问责室归口统筹。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业务部门接收任务后，指定整改责任人，主导成因分析并组织措施反馈。整改责任人拟定方案、推进执行，提交佐证材料，做好一级自验。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法律合规部参与成因分析和措施制定，审核方案的合理性、合规性，并开展整改督导。合规还参与业审联动，发起合规考核。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项目组、稽核条线和问责室则按分工承担任务下发、组织分析、定期追踪、验收质检和业审联动等工作。稽核条线负责二级验收，问责室负责三级质检并归口统筹，质检同时检查业务整改和稽核验收的落实情况。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第9页 目录 操作步骤详解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下面结合具体办理要求展开，先从任务何时发出、风险等级如何判断说起，再衔接措施制定、审批和后续检查。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第10页 任务下发 启动节点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任务什么时候下发，要按事项来源区分。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稽核项目在处罚小组结束后立即发送，由稽核项目组发起，被审计单位责任人接收。三函事项由提交人，也就是主审发起，责任部门接收。其中，指令函和警示函在评审会通过后发送，知询函在稽核部公邮发出时同步发送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任务下发后，责任部门在五个工作日内反馈《后续整改措施表》，成因分析与措施一并提交。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任务邮件同时抄送法律合规部负责人、稽核监察部负责人、稽核工作对接人、稽核条线负责人、问责规划室负责人和项目经理。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第11页 任务下发 风险分级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任务下发时，先判断问题的风险等级，再匹配对应的责任、审批、追踪和质检要求。以下情形作为判定参考，需要结合实务综合判断。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高风险主要关注公司级、外部监管或条线级影响，包括触碰监管红线，可能或已经引发监管处罚、行业通报，涉及反洗钱、消费者权益保护等敏感领域，以及跨条线、跨机构的系统性问题。核心系统改造或制度顶层缺陷影响战略落实、业务连续性的，也在这一参考范围内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还要关注反复检查仍反复发生，或者违规持续发生却未被发现、管理责任没有落实的情况。对于已经引发案件、损失金额超过一百万元等情形，要同时考虑潜在损失可能超过实际损失。高风险事项需要提级管理、升级审批，加大验收力度，并纳入重点考核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中风险主要是机构级或条线级问题，如流程不规范、局部管理漏洞、关键控制缺失或执行不到位。损失金额未超过一百万元但仍有风险隐患，或者尚无直接损失、但可能在未来一年内产生损失的，也属于中风险判定的参考情形，按标准流程整改验收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低风险主要是机构级或岗位级问题，如偶发操作失误，已有明确纠正措施并立即整改，隐患较低、未产生损失且预计不会发生风险，或者不违反强制性规定的新业务探索中的试错问题。此类事项由责任部门内部完成整改管理，并定期汇报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第12页 成因分析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成因分析的结论，要能够支持后面的措施制定，也要帮助判断问题具体由哪个层级解决。这个环节由业务部门主导，合规参与指导，稽核与合规推动机构和总部沟通。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分析时，从流程、系统、制度、管理和操作五个方面查找原因。流程和系统方面，检查办理环节是否缺失、衔接是否中断、设计是否合理，以及系统功能、权限和校验是否存在缺口。制度方面，关注标准是否缺失、滞后或口径不统一。涉及管理和操作的，要分别看监督、审核、督导及责任是否落实，以及执行中是否出现偏差、录入错误或未按规程操作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属于机构端机制落实、执行层面的问题，要明确机构能够执行的措施和责任人。涉及制度、系统或管理机制的问题，要推动总部与机构沟通，明确相应的治理措施。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成因分析结论作为制定措施的基础，与整改措施一并反馈。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第13页 措施制定 原则及目标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措施制定承接前面的成因分析，方案中要写清具体做什么、由谁负责、何时完成。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对于需要及时阻断的风险，可以根据事项情况采取暂停业务、自查、培训等措施，防止风险继续扩散。涉及系统优化、制度修订、清收挽损的，还要安排相应后续工作。短期处置和长期措施结合起来，共同对应前面查明的问题原因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责任人层级这次也作了明确：机构端整改责任人为中级及以上，总部端为初级及以上。合规对接方面，机构由合规部负责人对接，总部由合规管理室负责人，也就是郝瑞经理对接。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时间上需要区分措施反馈和整改完成。前面提到的五个工作日，是反馈措施的期限。整改完成期限则原则上不超过三个月，要在方案中写明；到期无法完成的，需要重新履行审批手续。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方案由业务部门提交，合规审核合理性和合规性，稽核收阅时关注措施是否全面。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第14页 措施审批与过程追踪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方案形成后，按问题风险等级履行审批。三类事项都由整改责任人提交，先经责任人上级审批。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中风险事项还需要合规对接人审批。高风险事项在上级和合规对接人审批后，进一步提交整改责任部门长或分管总审批。低风险事项经责任人上级审批。前面确定的风险等级，在这里就对应到具体审批层级。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审批可以采用邮件或签报形式，不建议通过快乐平安等非正式渠道沟通审批。整改审批材料要一并反馈稽核对接人，完善底稿管理。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整改责任人负责推进措施执行，系统定期通过邮件提醒整改进度和时效，对逾期事项发送通报邮件。到期无法完成的，按要求重新审批。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第15页 验收质检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措施完成以后，要结合实际执行情况和佐证材料判断整改是否到位。业务自验、稽核验收和问责室质检分别承担相应检查责任，最终由问责室归口统筹，对业务整改和稽核验收共同发挥监督作用。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一级自验由业务部门或项目组按职责完成，需要准备全套佐证材料，确保基础数据完整，自验完成后实时提交。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二级验收由稽核条线负责，对关键举措进行实质性复核，每月二十日开展验收。验收不合格的任务退回，补充完成整改。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三级质检由问责室按季度开展，抽检时回溯各环节的办理情况，既看业务整改，也看稽核验收。其中，高风险事项检查比例为百分之百，中风险事项抽检比例不低于百分之三十，不合格的予以通报。这里的两个比例，对应的是问责室的质检要求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验收把关的要求也很明确：佐证不全、措施无效，或者问题根源没有整改，均不通过，需要继续补充整改。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第16页 业审联动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业审联动是本次新增的长效治理安排，通过业务与稽核定期交流，评估问题整改的实际效果。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业审联动由稽核条线与业务部门共同推动，问责室、法律合规部参与，按月或每两个月，通过邮件和沟通会开展。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沟通时，先把近期稽核发现的高频、共性和典型问题集中起来，分析同类问题的原因，明确制度、系统等方面需要采取的措施。措施落实以后，继续看执行效果，回溯问题和治理情况，必要时作出调整。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对于机构层面难以推动解决或根治的问题，由总部协助推动落实。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第17页 考核安排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本次新增合规考核加减分项，分别评价整改任务的完成率和完成质量。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完成率对应减分项。达到百分之百，不扣分；达到百分之九十五但未达到百分之百，扣零点五分；达到百分之九十但未达到百分之九十五，扣一分；达到百分之八十五但未达到百分之九十，扣一点五分；低于百分之八十五，扣两分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完成质量对应加分项，主要有两类情况。一类是提前对重大风险开展整改，有效降低风险敞口、减少损失，或者实现挽损、为公司增加现金流。另一类是从单一产品或领域的问题出发，主动延伸到部门内其他产品或领域的风险防控，并落实至少一项流程或制度优化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考核由法律合规部发起，问责室统筹，监察、专项、远程团队配合，按半年或年度组织，范围为总部涉及整改的各部门。</w:t>
      </w:r>
    </w:p>
    <w:p>
      <w:pPr>
        <w:pStyle w:val="Heading1"/>
        <w:ind w:firstLine="0"/>
        <w:snapToGrid w:val="0"/>
      </w:pPr>
      <w:r>
        <w:rPr>
          <w:rFonts w:ascii="Songti SC" w:hAnsi="Songti SC" w:eastAsia="Songti SC"/>
          <w:b/>
          <w:color w:val="000000"/>
          <w:sz w:val="30"/>
        </w:rPr>
        <w:t>第18页 汇报完毕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以上是本次内部审计整改流程优化的安排和操作要求。</w:t>
      </w:r>
    </w:p>
    <w:p>
      <w:pPr>
        <w:keepNext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业务部门落实整改责任，合规参与分析、审核和督导，稽核做好追踪与验收，问责室开展质检并统筹相关工作。</w:t>
      </w:r>
    </w:p>
    <w:p>
      <w:pPr>
        <w:keepNext w:val="0"/>
        <w:keepLines/>
        <w:ind w:firstLine="560"/>
        <w:snapToGrid w:val="0"/>
      </w:pPr>
      <w:r>
        <w:rPr>
          <w:rFonts w:ascii="Songti SC" w:hAnsi="Songti SC" w:eastAsia="Songti SC"/>
          <w:b w:val="0"/>
          <w:color w:val="000000"/>
          <w:sz w:val="28"/>
        </w:rPr>
        <w:t>汇报完毕，谢谢大家。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/>
        <w:color w:val="5A5A5A"/>
        <w:sz w:val="18"/>
      </w:rPr>
      <w:t xml:space="preserve">文稿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160"/>
      <w:ind w:firstLine="560"/>
    </w:pPr>
    <w:rPr>
      <w:rFonts w:ascii="Songti SC" w:hAnsi="Songti SC" w:eastAsia="Songti SC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480" w:lineRule="exact"/>
      <w:outlineLvl w:val="0"/>
    </w:pPr>
    <w:rPr>
      <w:rFonts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520" w:lineRule="exact"/>
      <w:contextualSpacing/>
    </w:pPr>
    <w:rPr>
      <w:rFonts w:ascii="Songti SC" w:hAnsi="Songti SC" w:eastAsia="Song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内部审计整改流程优化与操作详解口播稿</dc:title>
  <dc:subject>领导汇报与条线流程宣贯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