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内部审计整改流程优化与操作详解口播稿</w:t>
      </w:r>
    </w:p>
    <w:p>
      <w:pPr>
        <w:pStyle w:val="Heading1"/>
      </w:pPr>
      <w:r>
        <w:t>第1页 内部审计整改流程优化与操作详解</w:t>
      </w:r>
    </w:p>
    <w:p>
      <w:pPr>
        <w:keepLines w:val="0"/>
        <w:spacing w:after="60" w:line="440" w:lineRule="exact"/>
      </w:pPr>
      <w:r>
        <w:t>各位领导、各位同事，大家好。今天汇报内部审计整改流程的调整情况和具体办理要求。</w:t>
      </w:r>
    </w:p>
    <w:p>
      <w:pPr>
        <w:keepLines w:val="0"/>
        <w:spacing w:after="60" w:line="440" w:lineRule="exact"/>
      </w:pPr>
      <w:r>
        <w:t>这次调整是在原有整改流程的基础上，进一步明确责任分工，细化成因分析、措施制定、进度追踪和验收要求，并将整改完成情况纳入合规考核。</w:t>
      </w:r>
    </w:p>
    <w:p>
      <w:pPr>
        <w:pStyle w:val="Heading1"/>
      </w:pPr>
      <w:r>
        <w:t>第2页 目录</w:t>
      </w:r>
    </w:p>
    <w:p>
      <w:pPr>
        <w:keepLines w:val="0"/>
        <w:spacing w:after="60" w:line="440" w:lineRule="exact"/>
      </w:pPr>
      <w:r>
        <w:t>先说这次调整的目标和涉及范围，再说明业务、合规和稽核如何分工，最后结合实际办理过程，把任务下发到整改考核的各项要求讲清楚。</w:t>
      </w:r>
    </w:p>
    <w:p>
      <w:pPr>
        <w:pStyle w:val="Heading1"/>
      </w:pPr>
      <w:r>
        <w:t>第3页 目标</w:t>
      </w:r>
    </w:p>
    <w:p>
      <w:pPr>
        <w:keepLines w:val="0"/>
        <w:spacing w:after="60" w:line="440" w:lineRule="exact"/>
      </w:pPr>
      <w:r>
        <w:t>发现问题以后，需要落实具体责任部门和责任人，明确采取什么措施、计划何时完成，并持续跟进执行情况。</w:t>
      </w:r>
    </w:p>
    <w:p>
      <w:pPr>
        <w:keepLines w:val="0"/>
        <w:spacing w:after="60" w:line="440" w:lineRule="exact"/>
      </w:pPr>
      <w:r>
        <w:t>在原有流程基础上，分析问题、制定措施、追踪进度和提交验收都有了更具体的要求。分析时要查清原因，措施要针对原因制定，执行中要跟进进度，验收时要有完整的材料说明措施已经落实。</w:t>
      </w:r>
    </w:p>
    <w:p>
      <w:pPr>
        <w:keepLines w:val="0"/>
        <w:spacing w:after="60" w:line="440" w:lineRule="exact"/>
      </w:pPr>
      <w:r>
        <w:t>任务反馈、措施审批、追踪和验收按统一要求办理，并保留相应记录，便于后续检查整改过程和结果。整改完成情况还要纳入合规考核。</w:t>
      </w:r>
    </w:p>
    <w:p>
      <w:pPr>
        <w:pStyle w:val="Heading1"/>
      </w:pPr>
      <w:r>
        <w:t>第4页 机制 整改流程前后对比</w:t>
      </w:r>
    </w:p>
    <w:p>
      <w:pPr>
        <w:keepLines w:val="0"/>
        <w:spacing w:after="60" w:line="440" w:lineRule="exact"/>
      </w:pPr>
      <w:r>
        <w:t>整改工作提前启动，与稽核报告、三函定稿衔接。不同来源的任务，按各自的发送节点办理。任务下发时，先判断问题的风险等级，再确定相应的审批、追踪和验收要求。</w:t>
      </w:r>
    </w:p>
    <w:p>
      <w:pPr>
        <w:keepLines w:val="0"/>
        <w:spacing w:after="60" w:line="440" w:lineRule="exact"/>
      </w:pPr>
      <w:r>
        <w:t>在成因分析上，由业务部门分析、稽核收阅，进一步增加合规部门参与和指导，从流程、系统、制度、管理和操作等方面查找原因。整改措施也要针对原因制定，将及时处理当前问题的措施，与系统优化、制度修订等后续工作结合起来。</w:t>
      </w:r>
    </w:p>
    <w:p>
      <w:pPr>
        <w:keepLines w:val="0"/>
        <w:spacing w:after="60" w:line="440" w:lineRule="exact"/>
      </w:pPr>
      <w:r>
        <w:t>在追踪管理上，三函涉及事项纳入线上管理，系统自动提醒整改进度。在验收上，除项目组内部验收外，进一步明确稽核条线验收、问责室质检的职责，检查整改是否到位。</w:t>
      </w:r>
    </w:p>
    <w:p>
      <w:pPr>
        <w:keepLines w:val="0"/>
        <w:spacing w:after="60" w:line="440" w:lineRule="exact"/>
      </w:pPr>
      <w:r>
        <w:t>业务、合规和稽核还需要定期沟通，对反复出现或具有共性的问题分析原因，并跟进措施执行效果。整改完成率和完成质量纳入合规考核加减分项。</w:t>
      </w:r>
    </w:p>
    <w:p>
      <w:pPr>
        <w:pStyle w:val="Heading1"/>
      </w:pPr>
      <w:r>
        <w:t>第5页 机制 覆盖范围</w:t>
      </w:r>
    </w:p>
    <w:p>
      <w:pPr>
        <w:keepLines w:val="0"/>
        <w:spacing w:after="60" w:line="440" w:lineRule="exact"/>
      </w:pPr>
      <w:r>
        <w:t>纳入本次整改管理的事项主要有两类。</w:t>
      </w:r>
    </w:p>
    <w:p>
      <w:pPr>
        <w:keepLines w:val="0"/>
        <w:spacing w:after="60" w:line="440" w:lineRule="exact"/>
      </w:pPr>
      <w:r>
        <w:t>一类是年度专项稽核和常规稽核项目发现的所有问题，由稽核项目组发起，被审计单位责任人接收。</w:t>
      </w:r>
    </w:p>
    <w:p>
      <w:pPr>
        <w:keepLines w:val="0"/>
        <w:spacing w:after="60" w:line="440" w:lineRule="exact"/>
      </w:pPr>
      <w:r>
        <w:t>另一类是指令函、警示函和知询函涉及的整改事项，由三函提交人，也就是主审发起，责任部门接收。</w:t>
      </w:r>
    </w:p>
    <w:p>
      <w:pPr>
        <w:keepLines w:val="0"/>
        <w:spacing w:after="60" w:line="440" w:lineRule="exact"/>
      </w:pPr>
      <w:r>
        <w:t>三函线上化的系统改造已完成，相关事项统一纳入线上追踪和管理。稽核项目和三函事项的发起人、接收对象及发送时间各有要求，办理时需要区分。</w:t>
      </w:r>
    </w:p>
    <w:p>
      <w:pPr>
        <w:pStyle w:val="Heading1"/>
      </w:pPr>
      <w:r>
        <w:t>第6页 目录 流程与职责介绍</w:t>
      </w:r>
    </w:p>
    <w:p>
      <w:pPr>
        <w:keepLines w:val="0"/>
        <w:spacing w:after="60" w:line="440" w:lineRule="exact"/>
      </w:pPr>
      <w:r>
        <w:t>整改工作涉及业务、合规和稽核多个部门，每个环节由谁负责、各方如何衔接，需要落实到具体分工。</w:t>
      </w:r>
    </w:p>
    <w:p>
      <w:pPr>
        <w:pStyle w:val="Heading1"/>
      </w:pPr>
      <w:r>
        <w:t>第7页 流程介绍 明确各环节责任主体</w:t>
      </w:r>
    </w:p>
    <w:p>
      <w:pPr>
        <w:keepLines w:val="0"/>
        <w:spacing w:after="60" w:line="440" w:lineRule="exact"/>
      </w:pPr>
      <w:r>
        <w:t>整改工作按照任务下发、成因分析、措施制定、过程追踪、验收质检、业审联动和考核这几项工作依次展开。</w:t>
      </w:r>
    </w:p>
    <w:p>
      <w:pPr>
        <w:keepLines w:val="0"/>
        <w:spacing w:after="60" w:line="440" w:lineRule="exact"/>
      </w:pPr>
      <w:r>
        <w:t>项目组或三函主审下发任务后，责任部门在五个工作日内反馈整改措施，成因分析一并提交。措施需要履行相应审核审批，整改完成期限原则上不超过三个月。</w:t>
      </w:r>
    </w:p>
    <w:p>
      <w:pPr>
        <w:keepLines w:val="0"/>
        <w:spacing w:after="60" w:line="440" w:lineRule="exact"/>
      </w:pPr>
      <w:r>
        <w:t>执行期间，按月追踪整改进度。完成整改后，业务部门开展自验并提交材料，稽核条线每月二十日组织验收，问责室按季度开展质检。稽核验收不合格的，需要退回补充整改；质检不合格的，予以通报。</w:t>
      </w:r>
    </w:p>
    <w:p>
      <w:pPr>
        <w:keepLines w:val="0"/>
        <w:spacing w:after="60" w:line="440" w:lineRule="exact"/>
      </w:pPr>
      <w:r>
        <w:t>对于需要持续沟通的问题，稽核条线与业务部门按月或每两个月开展业审联动，问责室和法律合规部参与。整改考核由法律合规部发起，问责室统筹，按半年或年度组织。</w:t>
      </w:r>
    </w:p>
    <w:p>
      <w:pPr>
        <w:pStyle w:val="Heading1"/>
      </w:pPr>
      <w:r>
        <w:t>第8页 职责划分 三道防线协同履责</w:t>
      </w:r>
    </w:p>
    <w:p>
      <w:pPr>
        <w:keepLines w:val="0"/>
        <w:spacing w:after="60" w:line="440" w:lineRule="exact"/>
      </w:pPr>
      <w:r>
        <w:t>业务部门负责落实整改，合规负责审核督导，稽核负责独立验收，问责室归口统筹。</w:t>
      </w:r>
    </w:p>
    <w:p>
      <w:pPr>
        <w:keepLines w:val="0"/>
        <w:spacing w:after="60" w:line="440" w:lineRule="exact"/>
      </w:pPr>
      <w:r>
        <w:t>业务部门和整改责任人承担第一道防线的工作。部门接收任务后，要指定责任人，主导问题成因分析，组织措施反馈，拟定整改方案并推进执行。完成整改后，提交佐证材料，做好自验。</w:t>
      </w:r>
    </w:p>
    <w:p>
      <w:pPr>
        <w:keepLines w:val="0"/>
        <w:spacing w:after="60" w:line="440" w:lineRule="exact"/>
      </w:pPr>
      <w:r>
        <w:t>法律合规部承担第二道防线的工作，参与成因分析和措施制定，审核方案的合理性、合规性，开展整改督导，并参与业务与稽核之间的沟通。整改结果纳入合规考核时，由法律合规部发起考核。</w:t>
      </w:r>
    </w:p>
    <w:p>
      <w:pPr>
        <w:keepLines w:val="0"/>
        <w:spacing w:after="60" w:line="440" w:lineRule="exact"/>
      </w:pPr>
      <w:r>
        <w:t>项目组、稽核条线和问责室按分工承担第三道防线的工作，包括下发任务、组织分析、定期追踪，以及验收、质检和业审联动。问责室归口统筹相关工作。</w:t>
      </w:r>
    </w:p>
    <w:p>
      <w:pPr>
        <w:keepLines w:val="0"/>
        <w:spacing w:after="60" w:line="440" w:lineRule="exact"/>
      </w:pPr>
      <w:r>
        <w:t>办理过程中，业务部门负责执行整改，合规和稽核按照各自职责审核、督导和检查，相关材料随办理进度及时反馈。</w:t>
      </w:r>
    </w:p>
    <w:p>
      <w:pPr>
        <w:pStyle w:val="Heading1"/>
      </w:pPr>
      <w:r>
        <w:t>第9页 目录 操作步骤详解</w:t>
      </w:r>
    </w:p>
    <w:p>
      <w:pPr>
        <w:keepLines w:val="0"/>
        <w:spacing w:after="60" w:line="440" w:lineRule="exact"/>
      </w:pPr>
      <w:r>
        <w:t>具体办理时，先从任务下发说起。任务由谁发起、发给谁，以及何时发送，都需要按事项来源区分。</w:t>
      </w:r>
    </w:p>
    <w:p>
      <w:pPr>
        <w:pStyle w:val="Heading1"/>
      </w:pPr>
      <w:r>
        <w:t>第10页 任务下发 启动节点</w:t>
      </w:r>
    </w:p>
    <w:p>
      <w:pPr>
        <w:keepLines w:val="0"/>
        <w:spacing w:after="60" w:line="440" w:lineRule="exact"/>
      </w:pPr>
      <w:r>
        <w:t>任务下发需要区分稽核项目和三函事项。</w:t>
      </w:r>
    </w:p>
    <w:p>
      <w:pPr>
        <w:keepLines w:val="0"/>
        <w:spacing w:after="60" w:line="440" w:lineRule="exact"/>
      </w:pPr>
      <w:r>
        <w:t>稽核项目由稽核项目组发起，被审计单位责任人接收，在处罚小组结束后立即发送。</w:t>
      </w:r>
    </w:p>
    <w:p>
      <w:pPr>
        <w:keepLines w:val="0"/>
        <w:spacing w:after="60" w:line="440" w:lineRule="exact"/>
      </w:pPr>
      <w:r>
        <w:t>三函事项由提交人，也就是主审发起，责任部门接收。其中，指令函和警示函在评审会通过后发送；知询函在稽核部公邮发出时同步发送。</w:t>
      </w:r>
    </w:p>
    <w:p>
      <w:pPr>
        <w:keepLines w:val="0"/>
        <w:spacing w:after="60" w:line="440" w:lineRule="exact"/>
      </w:pPr>
      <w:r>
        <w:t>任务下发后，责任部门需要在五个工作日内反馈《后续整改措施表》，成因分析随措施一并提交。因此，接收任务后要及时组织分析、拟定措施，并衔接审核工作。</w:t>
      </w:r>
    </w:p>
    <w:p>
      <w:pPr>
        <w:keepLines w:val="0"/>
        <w:spacing w:after="60" w:line="440" w:lineRule="exact"/>
      </w:pPr>
      <w:r>
        <w:t>任务邮件需要抄送法律合规部负责人、稽核监察部负责人、稽核工作对接人、稽核条线负责人、问责规划室负责人和项目经理，便于相关负责人和工作对接人了解任务及办理要求。</w:t>
      </w:r>
    </w:p>
    <w:p>
      <w:pPr>
        <w:pStyle w:val="Heading1"/>
      </w:pPr>
      <w:r>
        <w:t>第11页 任务下发 风险分级</w:t>
      </w:r>
    </w:p>
    <w:p>
      <w:pPr>
        <w:keepLines w:val="0"/>
        <w:spacing w:after="60" w:line="440" w:lineRule="exact"/>
      </w:pPr>
      <w:r>
        <w:t>任务下发时，还需要判断问题的风险等级，再确定责任、审批、追踪和质检要求。风险分级需要结合问题性质、影响范围和可能产生的后果综合判断，以下情形供判定时参考。</w:t>
      </w:r>
    </w:p>
    <w:p>
      <w:pPr>
        <w:keepLines w:val="0"/>
        <w:spacing w:after="60" w:line="440" w:lineRule="exact"/>
      </w:pPr>
      <w:r>
        <w:t>高风险主要涉及公司级、外部监管或条线级影响。比如，触碰监管红线，可能或已经引发监管处罚、行业通报；涉及反洗钱、消费者权益保护等敏感领域；跨条线、跨机构的系统性问题；核心系统改造或制度顶层缺陷影响战略落实、业务连续性等情况。</w:t>
      </w:r>
    </w:p>
    <w:p>
      <w:pPr>
        <w:keepLines w:val="0"/>
        <w:spacing w:after="60" w:line="440" w:lineRule="exact"/>
      </w:pPr>
      <w:r>
        <w:t>反复检查仍反复发生，或者违规持续发生而未被发现、管理责任未落实的情况，也在高风险判定参考范围内。对于已经引发案件、损失金额超过一百万元等情形，还要关注潜在损失可能超过实际损失。高风险事项需要提高管理和审批层级，加大验收力度，并纳入重点考核。</w:t>
      </w:r>
    </w:p>
    <w:p>
      <w:pPr>
        <w:keepLines w:val="0"/>
        <w:spacing w:after="60" w:line="440" w:lineRule="exact"/>
      </w:pPr>
      <w:r>
        <w:t>中风险主要涉及机构级或条线级问题，包括流程不规范、局部管理漏洞、关键控制缺失或执行不到位；损失金额未超过一百万元，但仍有风险隐患；或者没有直接损失，但可能在未来一年内产生损失。这类事项按标准流程整改和验收。</w:t>
      </w:r>
    </w:p>
    <w:p>
      <w:pPr>
        <w:keepLines w:val="0"/>
        <w:spacing w:after="60" w:line="440" w:lineRule="exact"/>
      </w:pPr>
      <w:r>
        <w:t>低风险主要涉及机构级或岗位级问题，包括偶发操作失误，已有明确纠正措施并立即整改；隐患较低、未产生损失，预计不会发生风险；或者不违反强制性规定的新业务探索中的试错问题。这类事项由责任部门内部完成整改管理，并定期汇报。</w:t>
      </w:r>
    </w:p>
    <w:p>
      <w:pPr>
        <w:pStyle w:val="Heading1"/>
      </w:pPr>
      <w:r>
        <w:t>第12页 成因分析</w:t>
      </w:r>
    </w:p>
    <w:p>
      <w:pPr>
        <w:keepLines w:val="0"/>
        <w:spacing w:after="60" w:line="440" w:lineRule="exact"/>
      </w:pPr>
      <w:r>
        <w:t>成因分析由业务部门主导，合规参与指导。主要从流程、系统、制度、管理和操作五个方面查找问题原因。</w:t>
      </w:r>
    </w:p>
    <w:p>
      <w:pPr>
        <w:keepLines w:val="0"/>
        <w:spacing w:after="60" w:line="440" w:lineRule="exact"/>
      </w:pPr>
      <w:r>
        <w:t>流程方面，检查是否存在环节缺失、衔接中断或设计不合理。系统方面，检查功能、权限和校验是否存在缺口。制度方面，检查标准是否缺失、滞后或口径不统一。管理方面，检查监督、审核、督导和责任落实是否到位。操作方面，检查是否存在执行偏差、录入错误或未按规程操作。</w:t>
      </w:r>
    </w:p>
    <w:p>
      <w:pPr>
        <w:keepLines w:val="0"/>
        <w:spacing w:after="60" w:line="440" w:lineRule="exact"/>
      </w:pPr>
      <w:r>
        <w:t>查清原因后，还要明确由哪个层级采取措施。属于机构执行层面的问题，需要明确机构能够落实的措施和责任人。涉及总部制度、系统或管理机制的问题，需要推动总部与机构沟通，明确相应的处理措施。</w:t>
      </w:r>
    </w:p>
    <w:p>
      <w:pPr>
        <w:keepLines w:val="0"/>
        <w:spacing w:after="60" w:line="440" w:lineRule="exact"/>
      </w:pPr>
      <w:r>
        <w:t>稽核与合规在这一过程中推动双方沟通，协助判断问题原因和整改层级。分析结论作为制定措施的基础，与整改措施一并反馈。</w:t>
      </w:r>
    </w:p>
    <w:p>
      <w:pPr>
        <w:pStyle w:val="Heading1"/>
      </w:pPr>
      <w:r>
        <w:t>第13页 措施制定 原则及目标</w:t>
      </w:r>
    </w:p>
    <w:p>
      <w:pPr>
        <w:keepLines w:val="0"/>
        <w:spacing w:after="60" w:line="440" w:lineRule="exact"/>
      </w:pPr>
      <w:r>
        <w:t>整改方案需要写清具体措施、责任人和完成时限。</w:t>
      </w:r>
    </w:p>
    <w:p>
      <w:pPr>
        <w:keepLines w:val="0"/>
        <w:spacing w:after="60" w:line="440" w:lineRule="exact"/>
      </w:pPr>
      <w:r>
        <w:t>具体措施要针对查明的原因制定。对于需要及时控制的风险，可以结合情况采取暂停业务、自查、培训等措施；对于需要进一步解决的制度、系统问题，以及需要清收挽损的事项，要安排相应后续工作，将短期处置与长期措施结合起来。</w:t>
      </w:r>
    </w:p>
    <w:p>
      <w:pPr>
        <w:keepLines w:val="0"/>
        <w:spacing w:after="60" w:line="440" w:lineRule="exact"/>
      </w:pPr>
      <w:r>
        <w:t>整改责任人方面，机构端要求为中级及以上，总部端要求为初级及以上。合规对接人方面，机构由合规部负责人对接，总部由合规管理室负责人，也就是郝瑞经理对接。</w:t>
      </w:r>
    </w:p>
    <w:p>
      <w:pPr>
        <w:keepLines w:val="0"/>
        <w:spacing w:after="60" w:line="440" w:lineRule="exact"/>
      </w:pPr>
      <w:r>
        <w:t>整改完成期限原则上不超过三个月。如果到期无法完成，需要重新履行审批手续。</w:t>
      </w:r>
    </w:p>
    <w:p>
      <w:pPr>
        <w:keepLines w:val="0"/>
        <w:spacing w:after="60" w:line="440" w:lineRule="exact"/>
      </w:pPr>
      <w:r>
        <w:t>方案由业务部门提交，合规审核合理性和合规性，稽核收阅时关注措施是否全面。</w:t>
      </w:r>
    </w:p>
    <w:p>
      <w:pPr>
        <w:pStyle w:val="Heading1"/>
      </w:pPr>
      <w:r>
        <w:t>第14页 措施审批与过程追踪</w:t>
      </w:r>
    </w:p>
    <w:p>
      <w:pPr>
        <w:keepLines w:val="0"/>
        <w:spacing w:after="60" w:line="440" w:lineRule="exact"/>
      </w:pPr>
      <w:r>
        <w:t>整改措施按问题风险等级，履行相应的审批流程。</w:t>
      </w:r>
    </w:p>
    <w:p>
      <w:pPr>
        <w:keepLines w:val="0"/>
        <w:spacing w:after="60" w:line="440" w:lineRule="exact"/>
      </w:pPr>
      <w:r>
        <w:t>高风险事项由整改责任人提交，依次经责任人上级、合规对接人审批，再提交整改责任部门长或分管总审批。</w:t>
      </w:r>
    </w:p>
    <w:p>
      <w:pPr>
        <w:keepLines w:val="0"/>
        <w:spacing w:after="60" w:line="440" w:lineRule="exact"/>
      </w:pPr>
      <w:r>
        <w:t>中风险事项由整改责任人提交，经责任人上级和合规对接人审批。低风险事项由整改责任人提交，经责任人上级审批。</w:t>
      </w:r>
    </w:p>
    <w:p>
      <w:pPr>
        <w:keepLines w:val="0"/>
        <w:spacing w:after="60" w:line="440" w:lineRule="exact"/>
      </w:pPr>
      <w:r>
        <w:t>审批可以采用邮件或签报形式，不建议通过快乐平安等非正式渠道沟通审批。整改审批材料需要一并反馈给稽核对接人，用于完善底稿管理。</w:t>
      </w:r>
    </w:p>
    <w:p>
      <w:pPr>
        <w:keepLines w:val="0"/>
        <w:spacing w:after="60" w:line="440" w:lineRule="exact"/>
      </w:pPr>
      <w:r>
        <w:t>措施执行期间，系统定期通过邮件提醒整改进度和时效，对逾期事项发送通报邮件。整改责任人按方案推进执行，相关人员结合职责跟进办理情况。到期无法完成的，需要重新审批。</w:t>
      </w:r>
    </w:p>
    <w:p>
      <w:pPr>
        <w:pStyle w:val="Heading1"/>
      </w:pPr>
      <w:r>
        <w:t>第15页 验收质检</w:t>
      </w:r>
    </w:p>
    <w:p>
      <w:pPr>
        <w:keepLines w:val="0"/>
        <w:spacing w:after="60" w:line="440" w:lineRule="exact"/>
      </w:pPr>
      <w:r>
        <w:t>整改验收和质量检查分为业务自验、稽核条线验收和问责室质检，最终由问责室归口统筹，同时检查业务整改和稽核验收的落实情况。</w:t>
      </w:r>
    </w:p>
    <w:p>
      <w:pPr>
        <w:keepLines w:val="0"/>
        <w:spacing w:after="60" w:line="440" w:lineRule="exact"/>
      </w:pPr>
      <w:r>
        <w:t>一级自验由业务部门或项目组按职责完成。需要准备全套佐证材料，确保基础数据完整，自验后实时提交。材料应当能够说明整改措施的实际执行情况，供后续复核。</w:t>
      </w:r>
    </w:p>
    <w:p>
      <w:pPr>
        <w:keepLines w:val="0"/>
        <w:spacing w:after="60" w:line="440" w:lineRule="exact"/>
      </w:pPr>
      <w:r>
        <w:t>二级验收由稽核条线负责，对关键举措进行实质性复核，每月二十日开展验收。不合格任务予以退回，补充完成整改。</w:t>
      </w:r>
    </w:p>
    <w:p>
      <w:pPr>
        <w:keepLines w:val="0"/>
        <w:spacing w:after="60" w:line="440" w:lineRule="exact"/>
      </w:pPr>
      <w:r>
        <w:t>三级质检由问责室开展，按季度抽检，并回溯各环节的办理情况。其中，高风险事项检查比例为百分之百，中风险事项抽检比例不低于百分之三十，检查不合格的予以通报。这两个比例对应问责室的质检要求。</w:t>
      </w:r>
    </w:p>
    <w:p>
      <w:pPr>
        <w:keepLines w:val="0"/>
        <w:spacing w:after="60" w:line="440" w:lineRule="exact"/>
      </w:pPr>
      <w:r>
        <w:t>验收时，要核查佐证是否完整、措施是否有效、问题根源是否得到整改。佐证不全、措施无效或者根源未改的，均不通过验收，需要继续补充整改。</w:t>
      </w:r>
    </w:p>
    <w:p>
      <w:pPr>
        <w:pStyle w:val="Heading1"/>
      </w:pPr>
      <w:r>
        <w:t>第16页 业审联动</w:t>
      </w:r>
    </w:p>
    <w:p>
      <w:pPr>
        <w:keepLines w:val="0"/>
        <w:spacing w:after="60" w:line="440" w:lineRule="exact"/>
      </w:pPr>
      <w:r>
        <w:t>业审联动主要是业务与稽核定期沟通，分析近期发现的问题，检查已经采取的措施是否有效。</w:t>
      </w:r>
    </w:p>
    <w:p>
      <w:pPr>
        <w:keepLines w:val="0"/>
        <w:spacing w:after="60" w:line="440" w:lineRule="exact"/>
      </w:pPr>
      <w:r>
        <w:t>这项工作由稽核条线与业务部门共同推动，问责室和法律合规部参与，按月或每两个月开展，通过邮件和沟通会交流。</w:t>
      </w:r>
    </w:p>
    <w:p>
      <w:pPr>
        <w:keepLines w:val="0"/>
        <w:spacing w:after="60" w:line="440" w:lineRule="exact"/>
      </w:pPr>
      <w:r>
        <w:t>沟通时，先总结近期发现的问题，重点关注重复出现的问题、共性问题和典型情况。对同类问题进一步分析原因，明确制度、系统等方面需要采取的措施。措施实施以后，持续跟进执行效果，必要时作出调整。</w:t>
      </w:r>
    </w:p>
    <w:p>
      <w:pPr>
        <w:keepLines w:val="0"/>
        <w:spacing w:after="60" w:line="440" w:lineRule="exact"/>
      </w:pPr>
      <w:r>
        <w:t>对于机构层面难以推动解决或根治的问题，由总部协助推动落实。</w:t>
      </w:r>
    </w:p>
    <w:p>
      <w:pPr>
        <w:pStyle w:val="Heading1"/>
      </w:pPr>
      <w:r>
        <w:t>第17页 考核安排</w:t>
      </w:r>
    </w:p>
    <w:p>
      <w:pPr>
        <w:keepLines w:val="0"/>
        <w:spacing w:after="60" w:line="440" w:lineRule="exact"/>
      </w:pPr>
      <w:r>
        <w:t>本次新增合规考核加减分项，分别评价整改任务的完成率和完成质量。</w:t>
      </w:r>
    </w:p>
    <w:p>
      <w:pPr>
        <w:keepLines w:val="0"/>
        <w:spacing w:after="60" w:line="440" w:lineRule="exact"/>
      </w:pPr>
      <w:r>
        <w:t>完成率对应减分项。完成率达到百分之百，不扣分；达到百分之九十五但未达到百分之百，扣零点五分；达到百分之九十但未达到百分之九十五，扣一分；达到百分之八十五但未达到百分之九十，扣一点五分；低于百分之八十五，扣两分。</w:t>
      </w:r>
    </w:p>
    <w:p>
      <w:pPr>
        <w:keepLines w:val="0"/>
        <w:spacing w:after="60" w:line="440" w:lineRule="exact"/>
      </w:pPr>
      <w:r>
        <w:t>完成质量对应加分项，主要包括两类情况。一类是提前对重大风险开展整改，有效降低风险敞口、减少损失，或者实现挽损、为公司增加现金流。另一类是从单一产品或领域的问题出发，主动延伸到部门内其他产品或领域的风险防控，并落实至少一项流程或制度优化。</w:t>
      </w:r>
    </w:p>
    <w:p>
      <w:pPr>
        <w:keepLines w:val="0"/>
        <w:spacing w:after="60" w:line="440" w:lineRule="exact"/>
      </w:pPr>
      <w:r>
        <w:t>考核由法律合规部发起，问责室统筹，监察、专项、远程团队配合，按半年或年度组织。考核范围为总部涉及整改的各部门。</w:t>
      </w:r>
    </w:p>
    <w:p>
      <w:pPr>
        <w:pStyle w:val="Heading1"/>
        <w:keepNext/>
      </w:pPr>
      <w:r>
        <w:t>第18页 汇报完毕</w:t>
      </w:r>
    </w:p>
    <w:p>
      <w:pPr>
        <w:keepNext/>
        <w:keepLines w:val="0"/>
        <w:spacing w:after="60" w:line="440" w:lineRule="exact"/>
      </w:pPr>
      <w:r>
        <w:t>以上是内部审计整改流程优化的相关安排和操作要求。</w:t>
      </w:r>
    </w:p>
    <w:p>
      <w:pPr>
        <w:keepNext/>
        <w:keepLines w:val="0"/>
        <w:spacing w:after="60" w:line="440" w:lineRule="exact"/>
      </w:pPr>
      <w:r>
        <w:t>实际办理中，请各相关部门按职责完成成因分析、措施制定、审核审批和整改执行，及时反馈进度及佐证材料。合规做好审核和督导，稽核条线做好追踪和验收，问责室开展质检并统筹相关工作。对于需要总部与机构共同处理的问题，通过定期沟通持续跟进。</w:t>
      </w:r>
    </w:p>
    <w:p>
      <w:pPr>
        <w:keepLines w:val="0"/>
        <w:spacing w:after="60" w:line="440" w:lineRule="exact"/>
      </w:pPr>
      <w:r>
        <w:t>汇报完毕，谢谢大家。</w:t>
      </w:r>
    </w:p>
    <w:sectPr w:rsidR="00FC693F" w:rsidRPr="0006063C" w:rsidSect="00034616">
      <w:footerReference w:type="default" r:id="rId9"/>
      <w:pgSz w:w="12240" w:h="15840"/>
      <w:pgMar w:top="1219" w:right="1304" w:bottom="1162" w:left="130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50" w:lineRule="exact" w:after="100"/>
      <w:ind w:firstLine="560"/>
    </w:pPr>
    <w:rPr>
      <w:rFonts w:ascii="宋体" w:hAnsi="宋体" w:eastAsia="宋体" w:cs="宋体"/>
      <w:b w:val="0"/>
      <w:color w:val="000000"/>
      <w:sz w:val="28"/>
      <w:szCs w:val="28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420" w:lineRule="exact"/>
      <w:ind w:firstLine="0"/>
      <w:outlineLvl w:val="0"/>
    </w:pPr>
    <w:rPr>
      <w:rFonts w:ascii="黑体" w:hAnsi="黑体" w:eastAsia="黑体" w:cs="黑体"/>
      <w:b/>
      <w:bCs/>
      <w:color w:val="000000"/>
      <w:sz w:val="30"/>
      <w:szCs w:val="30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540" w:lineRule="exact"/>
      <w:ind w:firstLine="0"/>
      <w:contextualSpacing/>
    </w:pPr>
    <w:rPr>
      <w:rFonts w:ascii="黑体" w:hAnsi="黑体" w:eastAsia="黑体" w:cs="黑体"/>
      <w:b/>
      <w:color w:val="000000"/>
      <w:spacing w:val="5"/>
      <w:kern w:val="28"/>
      <w:sz w:val="40"/>
      <w:szCs w:val="4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内部审计整改流程优化与操作详解口播稿</dc:title>
  <dc:subject>18页PPT配套口播</dc:subject>
  <dc:creator>专项稽核团队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