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8"/>
        </w:rPr>
      </w:pPr>
      <w:r>
        <w:rPr>
          <w:szCs w:val="28"/>
        </w:rPr>
        <w:t>Федеральное государственное бюджетное образовательное учреждение высшего образования</w:t>
      </w:r>
    </w:p>
    <w:p>
      <w:pPr>
        <w:pStyle w:val="Normal"/>
        <w:jc w:val="center"/>
        <w:rPr>
          <w:szCs w:val="28"/>
        </w:rPr>
      </w:pPr>
      <w:r>
        <w:rPr>
          <w:szCs w:val="28"/>
        </w:rPr>
        <w:t>«Сибирский государственный университет телекоммуникаций и информатики»</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right"/>
        <w:rPr>
          <w:szCs w:val="28"/>
        </w:rPr>
      </w:pPr>
      <w:r>
        <w:rPr>
          <w:rFonts w:eastAsia="Calibri"/>
          <w:bCs/>
          <w:iCs/>
          <w:szCs w:val="28"/>
        </w:rPr>
        <w:t>Кафедра ТС и ВС</w:t>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 w:val="44"/>
          <w:szCs w:val="28"/>
        </w:rPr>
      </w:pPr>
      <w:r>
        <w:rPr>
          <w:sz w:val="44"/>
          <w:szCs w:val="28"/>
        </w:rPr>
      </w:r>
    </w:p>
    <w:p>
      <w:pPr>
        <w:pStyle w:val="Normal"/>
        <w:jc w:val="center"/>
        <w:rPr>
          <w:b/>
          <w:b/>
          <w:sz w:val="40"/>
          <w:szCs w:val="28"/>
        </w:rPr>
      </w:pPr>
      <w:r>
        <w:rPr>
          <w:b/>
          <w:sz w:val="40"/>
          <w:szCs w:val="28"/>
        </w:rPr>
        <w:t>ЛАБАРОТОРНАЯ РАБОТА №1</w:t>
      </w:r>
    </w:p>
    <w:p>
      <w:pPr>
        <w:pStyle w:val="Normal"/>
        <w:jc w:val="center"/>
        <w:rPr>
          <w:sz w:val="40"/>
          <w:szCs w:val="28"/>
        </w:rPr>
      </w:pPr>
      <w:r>
        <w:rPr>
          <w:sz w:val="40"/>
          <w:szCs w:val="28"/>
        </w:rPr>
        <w:t xml:space="preserve">«Изучение </w:t>
      </w:r>
      <w:r>
        <w:rPr>
          <w:sz w:val="40"/>
          <w:szCs w:val="28"/>
          <w:lang w:val="en-US"/>
        </w:rPr>
        <w:t>OFDM</w:t>
      </w:r>
      <w:r>
        <w:rPr>
          <w:sz w:val="40"/>
          <w:szCs w:val="28"/>
        </w:rPr>
        <w:t>-технологии»</w:t>
      </w:r>
    </w:p>
    <w:p>
      <w:pPr>
        <w:pStyle w:val="Normal"/>
        <w:jc w:val="center"/>
        <w:rPr>
          <w:sz w:val="44"/>
          <w:szCs w:val="28"/>
        </w:rPr>
      </w:pPr>
      <w:r>
        <w:rPr>
          <w:sz w:val="44"/>
          <w:szCs w:val="28"/>
        </w:rPr>
      </w:r>
    </w:p>
    <w:p>
      <w:pPr>
        <w:pStyle w:val="Normal"/>
        <w:jc w:val="center"/>
        <w:rPr>
          <w:sz w:val="44"/>
          <w:szCs w:val="28"/>
        </w:rPr>
      </w:pPr>
      <w:r>
        <w:rPr>
          <w:sz w:val="44"/>
          <w:szCs w:val="28"/>
        </w:rPr>
      </w:r>
    </w:p>
    <w:p>
      <w:pPr>
        <w:pStyle w:val="Normal"/>
        <w:jc w:val="center"/>
        <w:rPr>
          <w:sz w:val="44"/>
          <w:szCs w:val="28"/>
        </w:rPr>
      </w:pPr>
      <w:r>
        <w:rPr>
          <w:sz w:val="44"/>
          <w:szCs w:val="28"/>
        </w:rPr>
      </w:r>
    </w:p>
    <w:p>
      <w:pPr>
        <w:pStyle w:val="Normal"/>
        <w:jc w:val="center"/>
        <w:rPr>
          <w:sz w:val="44"/>
          <w:szCs w:val="28"/>
        </w:rPr>
      </w:pPr>
      <w:r>
        <w:rPr>
          <w:sz w:val="44"/>
          <w:szCs w:val="28"/>
        </w:rPr>
      </w:r>
    </w:p>
    <w:p>
      <w:pPr>
        <w:pStyle w:val="Normal"/>
        <w:jc w:val="center"/>
        <w:rPr>
          <w:sz w:val="44"/>
          <w:szCs w:val="28"/>
        </w:rPr>
      </w:pPr>
      <w:r>
        <w:rPr>
          <w:sz w:val="44"/>
          <w:szCs w:val="28"/>
        </w:rPr>
      </w:r>
    </w:p>
    <w:p>
      <w:pPr>
        <w:pStyle w:val="Normal"/>
        <w:jc w:val="center"/>
        <w:rPr>
          <w:sz w:val="44"/>
          <w:szCs w:val="28"/>
        </w:rPr>
      </w:pPr>
      <w:r>
        <w:rPr>
          <w:sz w:val="44"/>
          <w:szCs w:val="28"/>
        </w:rPr>
      </w:r>
    </w:p>
    <w:p>
      <w:pPr>
        <w:pStyle w:val="Normal"/>
        <w:jc w:val="right"/>
        <w:rPr>
          <w:szCs w:val="28"/>
        </w:rPr>
      </w:pPr>
      <w:r>
        <w:rPr>
          <w:szCs w:val="28"/>
        </w:rPr>
        <w:t>Выполнил:</w:t>
      </w:r>
    </w:p>
    <w:p>
      <w:pPr>
        <w:pStyle w:val="Normal"/>
        <w:jc w:val="right"/>
        <w:rPr>
          <w:szCs w:val="28"/>
        </w:rPr>
      </w:pPr>
      <w:r>
        <w:rPr>
          <w:szCs w:val="28"/>
        </w:rPr>
        <w:t>Студент группы МГ-172</w:t>
      </w:r>
    </w:p>
    <w:p>
      <w:pPr>
        <w:pStyle w:val="Normal"/>
        <w:jc w:val="right"/>
        <w:rPr/>
      </w:pPr>
      <w:r>
        <w:rPr>
          <w:szCs w:val="28"/>
        </w:rPr>
        <w:t>Колесников А.Д.</w:t>
      </w:r>
    </w:p>
    <w:p>
      <w:pPr>
        <w:pStyle w:val="Normal"/>
        <w:jc w:val="right"/>
        <w:rPr/>
      </w:pPr>
      <w:r>
        <w:rPr>
          <w:szCs w:val="28"/>
        </w:rPr>
        <w:t>Тищенко И.В.</w:t>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t>Проверил:</w:t>
      </w:r>
    </w:p>
    <w:p>
      <w:pPr>
        <w:pStyle w:val="Normal"/>
        <w:jc w:val="right"/>
        <w:rPr>
          <w:szCs w:val="28"/>
        </w:rPr>
      </w:pPr>
      <w:r>
        <w:rPr>
          <w:szCs w:val="28"/>
        </w:rPr>
        <w:t>Ахпашев Р.В.</w:t>
      </w:r>
    </w:p>
    <w:p>
      <w:pPr>
        <w:pStyle w:val="Normal"/>
        <w:jc w:val="right"/>
        <w:rPr>
          <w:szCs w:val="28"/>
        </w:rPr>
      </w:pPr>
      <w:r>
        <w:rPr>
          <w:szCs w:val="28"/>
        </w:rPr>
      </w:r>
    </w:p>
    <w:p>
      <w:pPr>
        <w:pStyle w:val="Normal"/>
        <w:ind w:hanging="0"/>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right"/>
        <w:rPr>
          <w:szCs w:val="28"/>
        </w:rPr>
      </w:pPr>
      <w:r>
        <w:rPr>
          <w:szCs w:val="28"/>
        </w:rPr>
      </w:r>
    </w:p>
    <w:p>
      <w:pPr>
        <w:pStyle w:val="Normal"/>
        <w:jc w:val="center"/>
        <w:rPr>
          <w:szCs w:val="28"/>
        </w:rPr>
      </w:pPr>
      <w:r>
        <w:rPr>
          <w:szCs w:val="28"/>
        </w:rPr>
        <w:t>г. Новосибирск, 2018</w:t>
      </w:r>
    </w:p>
    <w:p>
      <w:pPr>
        <w:pStyle w:val="Normal"/>
        <w:ind w:hanging="0"/>
        <w:rPr>
          <w:b/>
          <w:b/>
        </w:rPr>
      </w:pPr>
      <w:r>
        <w:rPr>
          <w:b/>
        </w:rPr>
        <w:t>Цель работы</w:t>
      </w:r>
    </w:p>
    <w:p>
      <w:pPr>
        <w:pStyle w:val="Normal"/>
        <w:ind w:firstLine="708"/>
        <w:rPr/>
      </w:pPr>
      <w:r>
        <w:rPr/>
        <w:t xml:space="preserve">Получить представление об </w:t>
      </w:r>
      <w:r>
        <w:rPr>
          <w:lang w:val="en-US"/>
        </w:rPr>
        <w:t>OFDM</w:t>
      </w:r>
      <w:r>
        <w:rPr/>
        <w:t xml:space="preserve">-сигналах, каким образом они формируются, и как помехи в радиоканале влияют на величину </w:t>
      </w:r>
      <w:r>
        <w:rPr>
          <w:lang w:val="en-US"/>
        </w:rPr>
        <w:t>BER</w:t>
      </w:r>
      <w:r>
        <w:rPr/>
        <w:t xml:space="preserve"> (</w:t>
      </w:r>
      <w:r>
        <w:rPr>
          <w:lang w:val="en-US"/>
        </w:rPr>
        <w:t>Bit</w:t>
      </w:r>
      <w:r>
        <w:rPr/>
        <w:t xml:space="preserve"> </w:t>
      </w:r>
      <w:r>
        <w:rPr>
          <w:lang w:val="en-US"/>
        </w:rPr>
        <w:t>Error</w:t>
      </w:r>
      <w:r>
        <w:rPr/>
        <w:t xml:space="preserve"> </w:t>
      </w:r>
      <w:r>
        <w:rPr>
          <w:lang w:val="en-US"/>
        </w:rPr>
        <w:t>Rate</w:t>
      </w:r>
      <w:r>
        <w:rPr/>
        <w:t>).</w:t>
      </w:r>
    </w:p>
    <w:p>
      <w:pPr>
        <w:pStyle w:val="Normal"/>
        <w:ind w:hanging="0"/>
        <w:rPr/>
      </w:pPr>
      <w:r>
        <w:rPr/>
      </w:r>
    </w:p>
    <w:p>
      <w:pPr>
        <w:pStyle w:val="Normal"/>
        <w:ind w:hanging="0"/>
        <w:rPr>
          <w:b/>
          <w:b/>
        </w:rPr>
      </w:pPr>
      <w:r>
        <w:rPr>
          <w:b/>
        </w:rPr>
        <w:t>Задание на лабораторную работу:</w:t>
      </w:r>
    </w:p>
    <w:p>
      <w:pPr>
        <w:pStyle w:val="Normal"/>
        <w:ind w:hanging="0"/>
        <w:rPr/>
      </w:pPr>
      <w:r>
        <w:rPr/>
        <w:tab/>
        <w:t xml:space="preserve">В рамках данной лабораторной работы изучается влияние помех в радиоканале на вероятность успешного декодирования данных, передаваемых по технологии </w:t>
      </w:r>
      <w:r>
        <w:rPr>
          <w:lang w:val="en-US"/>
        </w:rPr>
        <w:t>OFDM</w:t>
      </w:r>
      <w:r>
        <w:rPr/>
        <w:t xml:space="preserve"> с использованием </w:t>
      </w:r>
      <w:r>
        <w:rPr>
          <w:lang w:val="en-US"/>
        </w:rPr>
        <w:t>QPSK</w:t>
      </w:r>
      <w:r>
        <w:rPr/>
        <w:t>-модуляции.</w:t>
      </w:r>
    </w:p>
    <w:p>
      <w:pPr>
        <w:pStyle w:val="Normal"/>
        <w:ind w:hanging="0"/>
        <w:rPr/>
      </w:pPr>
      <w:r>
        <w:rPr/>
      </w:r>
    </w:p>
    <w:p>
      <w:pPr>
        <w:pStyle w:val="Normal"/>
        <w:ind w:hanging="0"/>
        <w:rPr>
          <w:b/>
          <w:b/>
        </w:rPr>
      </w:pPr>
      <w:r>
        <w:rPr>
          <w:b/>
        </w:rPr>
        <w:t>Ход решения</w:t>
      </w:r>
    </w:p>
    <w:p>
      <w:pPr>
        <w:pStyle w:val="ListParagraph"/>
        <w:numPr>
          <w:ilvl w:val="0"/>
          <w:numId w:val="1"/>
        </w:numPr>
        <w:rPr/>
      </w:pPr>
      <w:r>
        <w:rPr/>
        <w:t>Разрабатываемая программа имеет два входных параметра – число битов (</w:t>
      </w:r>
      <w:r>
        <w:rPr>
          <w:i/>
          <w:lang w:val="en-US"/>
        </w:rPr>
        <w:t>N</w:t>
      </w:r>
      <w:r>
        <w:rPr>
          <w:i/>
        </w:rPr>
        <w:t>=512</w:t>
      </w:r>
      <w:r>
        <w:rPr/>
        <w:t xml:space="preserve">) и переменное значение отношения сигнала к шуму </w:t>
      </w:r>
      <w:r>
        <w:rPr>
          <w:i/>
          <w:lang w:val="en-US"/>
        </w:rPr>
        <w:t>SNR</w:t>
      </w:r>
      <w:r>
        <w:rPr/>
        <w:t xml:space="preserve"> (варьируется от -5 до 25), от которого мы будем строить зависимость битовой ошибки </w:t>
      </w:r>
      <w:r>
        <w:rPr>
          <w:i/>
          <w:lang w:val="en-US"/>
        </w:rPr>
        <w:t>BER</w:t>
      </w:r>
      <w:r>
        <w:rPr/>
        <w:t>.</w:t>
      </w:r>
    </w:p>
    <w:p>
      <w:pPr>
        <w:pStyle w:val="ListParagraph"/>
        <w:numPr>
          <w:ilvl w:val="0"/>
          <w:numId w:val="1"/>
        </w:numPr>
        <w:rPr/>
      </w:pPr>
      <w:r>
        <w:rPr/>
        <w:t xml:space="preserve">Используя генератор случайных чисел, был сформирован массив нулей и единиц размерностью </w:t>
      </w:r>
      <w:r>
        <w:rPr>
          <w:i/>
          <w:lang w:val="en-US"/>
        </w:rPr>
        <w:t>N</w:t>
      </w:r>
      <w:r>
        <w:rPr/>
        <w:t>.</w:t>
      </w:r>
    </w:p>
    <w:p>
      <w:pPr>
        <w:pStyle w:val="ListParagraph"/>
        <w:numPr>
          <w:ilvl w:val="0"/>
          <w:numId w:val="1"/>
        </w:numPr>
        <w:rPr/>
      </w:pPr>
      <w:r>
        <w:rPr/>
        <w:t xml:space="preserve">Исходя из случайных значений битов, сгенерированных в пункте 2, были сформированы </w:t>
      </w:r>
      <w:r>
        <w:rPr>
          <w:lang w:val="en-US"/>
        </w:rPr>
        <w:t>QPSK</w:t>
      </w:r>
      <w:r>
        <w:rPr/>
        <w:t>-символы, передаваемые на каждой поднесущей, в соответствии с таблицей 1.</w:t>
      </w:r>
    </w:p>
    <w:p>
      <w:pPr>
        <w:pStyle w:val="ListParagraph"/>
        <w:ind w:left="360" w:hanging="0"/>
        <w:jc w:val="center"/>
        <w:rPr/>
      </w:pPr>
      <w:r>
        <w:rPr/>
        <w:t xml:space="preserve">Таблица 1. Соответствие </w:t>
      </w:r>
      <w:r>
        <w:rPr>
          <w:lang w:val="en-US"/>
        </w:rPr>
        <w:t>QPSK</w:t>
      </w:r>
      <w:r>
        <w:rPr/>
        <w:t>-символов различным битовым комбинациям.</w:t>
      </w:r>
    </w:p>
    <w:tbl>
      <w:tblPr>
        <w:tblStyle w:val="a4"/>
        <w:tblW w:w="8625" w:type="dxa"/>
        <w:jc w:val="left"/>
        <w:tblInd w:w="720" w:type="dxa"/>
        <w:tblCellMar>
          <w:top w:w="0" w:type="dxa"/>
          <w:left w:w="108" w:type="dxa"/>
          <w:bottom w:w="0" w:type="dxa"/>
          <w:right w:w="108" w:type="dxa"/>
        </w:tblCellMar>
        <w:tblLook w:val="04a0" w:noVBand="1" w:noHBand="0" w:lastColumn="0" w:firstColumn="1" w:lastRow="0" w:firstRow="1"/>
      </w:tblPr>
      <w:tblGrid>
        <w:gridCol w:w="2859"/>
        <w:gridCol w:w="2860"/>
        <w:gridCol w:w="2906"/>
      </w:tblGrid>
      <w:tr>
        <w:trPr/>
        <w:tc>
          <w:tcPr>
            <w:tcW w:w="2859" w:type="dxa"/>
            <w:tcBorders/>
            <w:shd w:fill="auto" w:val="clear"/>
          </w:tcPr>
          <w:p>
            <w:pPr>
              <w:pStyle w:val="ListParagraph"/>
              <w:spacing w:lineRule="auto" w:line="240" w:before="0" w:after="0"/>
              <w:ind w:left="0" w:hanging="0"/>
              <w:contextualSpacing/>
              <w:rPr/>
            </w:pPr>
            <w:r>
              <w:rPr/>
              <w:t>1-й бит</w:t>
            </w:r>
          </w:p>
        </w:tc>
        <w:tc>
          <w:tcPr>
            <w:tcW w:w="2860" w:type="dxa"/>
            <w:tcBorders/>
            <w:shd w:fill="auto" w:val="clear"/>
          </w:tcPr>
          <w:p>
            <w:pPr>
              <w:pStyle w:val="ListParagraph"/>
              <w:spacing w:lineRule="auto" w:line="240" w:before="0" w:after="0"/>
              <w:ind w:left="0" w:hanging="0"/>
              <w:contextualSpacing/>
              <w:rPr/>
            </w:pPr>
            <w:r>
              <w:rPr/>
              <w:t>2-бит</w:t>
            </w:r>
          </w:p>
        </w:tc>
        <w:tc>
          <w:tcPr>
            <w:tcW w:w="2906" w:type="dxa"/>
            <w:tcBorders/>
            <w:shd w:fill="auto" w:val="clear"/>
          </w:tcPr>
          <w:p>
            <w:pPr>
              <w:pStyle w:val="ListParagraph"/>
              <w:spacing w:lineRule="auto" w:line="240" w:before="0" w:after="0"/>
              <w:ind w:left="0" w:hanging="0"/>
              <w:contextualSpacing/>
              <w:rPr/>
            </w:pPr>
            <w:r>
              <w:rPr>
                <w:lang w:val="en-US"/>
              </w:rPr>
              <w:t>QPSK-</w:t>
            </w:r>
            <w:r>
              <w:rPr/>
              <w:t>символ</w:t>
            </w:r>
          </w:p>
        </w:tc>
      </w:tr>
      <w:tr>
        <w:trPr/>
        <w:tc>
          <w:tcPr>
            <w:tcW w:w="2859" w:type="dxa"/>
            <w:tcBorders/>
            <w:shd w:fill="auto" w:val="clear"/>
          </w:tcPr>
          <w:p>
            <w:pPr>
              <w:pStyle w:val="ListParagraph"/>
              <w:spacing w:lineRule="auto" w:line="240" w:before="0" w:after="0"/>
              <w:ind w:left="0" w:hanging="0"/>
              <w:contextualSpacing/>
              <w:rPr/>
            </w:pPr>
            <w:r>
              <w:rPr/>
              <w:t>0</w:t>
            </w:r>
          </w:p>
        </w:tc>
        <w:tc>
          <w:tcPr>
            <w:tcW w:w="2860" w:type="dxa"/>
            <w:tcBorders/>
            <w:shd w:fill="auto" w:val="clear"/>
          </w:tcPr>
          <w:p>
            <w:pPr>
              <w:pStyle w:val="ListParagraph"/>
              <w:spacing w:lineRule="auto" w:line="240" w:before="0" w:after="0"/>
              <w:ind w:left="0" w:hanging="0"/>
              <w:contextualSpacing/>
              <w:rPr/>
            </w:pPr>
            <w:r>
              <w:rPr/>
              <w:t>0</w:t>
            </w:r>
          </w:p>
        </w:tc>
        <w:tc>
          <w:tcPr>
            <w:tcW w:w="2906" w:type="dxa"/>
            <w:tcBorders/>
            <w:shd w:fill="auto" w:val="clear"/>
          </w:tcPr>
          <w:p>
            <w:pPr>
              <w:pStyle w:val="ListParagraph"/>
              <w:spacing w:lineRule="auto" w:line="240" w:before="0" w:after="0"/>
              <w:ind w:left="0" w:hanging="0"/>
              <w:contextualSpacing/>
              <w:rPr/>
            </w:pPr>
            <w:r>
              <w:rPr/>
              <w:t>+1+</w:t>
            </w:r>
            <w:r>
              <w:rPr>
                <w:lang w:val="en-US"/>
              </w:rPr>
              <w:t>i</w:t>
            </w:r>
          </w:p>
        </w:tc>
      </w:tr>
      <w:tr>
        <w:trPr/>
        <w:tc>
          <w:tcPr>
            <w:tcW w:w="2859" w:type="dxa"/>
            <w:tcBorders/>
            <w:shd w:fill="auto" w:val="clear"/>
          </w:tcPr>
          <w:p>
            <w:pPr>
              <w:pStyle w:val="ListParagraph"/>
              <w:spacing w:lineRule="auto" w:line="240" w:before="0" w:after="0"/>
              <w:ind w:left="0" w:hanging="0"/>
              <w:contextualSpacing/>
              <w:rPr/>
            </w:pPr>
            <w:r>
              <w:rPr/>
              <w:t>0</w:t>
            </w:r>
          </w:p>
        </w:tc>
        <w:tc>
          <w:tcPr>
            <w:tcW w:w="2860" w:type="dxa"/>
            <w:tcBorders/>
            <w:shd w:fill="auto" w:val="clear"/>
          </w:tcPr>
          <w:p>
            <w:pPr>
              <w:pStyle w:val="ListParagraph"/>
              <w:spacing w:lineRule="auto" w:line="240" w:before="0" w:after="0"/>
              <w:ind w:left="0" w:hanging="0"/>
              <w:contextualSpacing/>
              <w:rPr/>
            </w:pPr>
            <w:r>
              <w:rPr/>
              <w:t>1</w:t>
            </w:r>
          </w:p>
        </w:tc>
        <w:tc>
          <w:tcPr>
            <w:tcW w:w="2906" w:type="dxa"/>
            <w:tcBorders/>
            <w:shd w:fill="auto" w:val="clear"/>
          </w:tcPr>
          <w:p>
            <w:pPr>
              <w:pStyle w:val="ListParagraph"/>
              <w:spacing w:lineRule="auto" w:line="240" w:before="0" w:after="0"/>
              <w:ind w:left="0" w:hanging="0"/>
              <w:contextualSpacing/>
              <w:rPr/>
            </w:pPr>
            <w:r>
              <w:rPr/>
              <w:t>-1+</w:t>
            </w:r>
            <w:r>
              <w:rPr>
                <w:lang w:val="en-US"/>
              </w:rPr>
              <w:t>i</w:t>
            </w:r>
          </w:p>
        </w:tc>
      </w:tr>
      <w:tr>
        <w:trPr/>
        <w:tc>
          <w:tcPr>
            <w:tcW w:w="2859" w:type="dxa"/>
            <w:tcBorders/>
            <w:shd w:fill="auto" w:val="clear"/>
          </w:tcPr>
          <w:p>
            <w:pPr>
              <w:pStyle w:val="ListParagraph"/>
              <w:spacing w:lineRule="auto" w:line="240" w:before="0" w:after="0"/>
              <w:ind w:left="0" w:hanging="0"/>
              <w:contextualSpacing/>
              <w:rPr/>
            </w:pPr>
            <w:r>
              <w:rPr/>
              <w:t>1</w:t>
            </w:r>
          </w:p>
        </w:tc>
        <w:tc>
          <w:tcPr>
            <w:tcW w:w="2860" w:type="dxa"/>
            <w:tcBorders/>
            <w:shd w:fill="auto" w:val="clear"/>
          </w:tcPr>
          <w:p>
            <w:pPr>
              <w:pStyle w:val="ListParagraph"/>
              <w:spacing w:lineRule="auto" w:line="240" w:before="0" w:after="0"/>
              <w:ind w:left="0" w:hanging="0"/>
              <w:contextualSpacing/>
              <w:rPr/>
            </w:pPr>
            <w:r>
              <w:rPr/>
              <w:t>0</w:t>
            </w:r>
          </w:p>
        </w:tc>
        <w:tc>
          <w:tcPr>
            <w:tcW w:w="2906" w:type="dxa"/>
            <w:tcBorders/>
            <w:shd w:fill="auto" w:val="clear"/>
          </w:tcPr>
          <w:p>
            <w:pPr>
              <w:pStyle w:val="ListParagraph"/>
              <w:spacing w:lineRule="auto" w:line="240" w:before="0" w:after="0"/>
              <w:ind w:left="0" w:hanging="0"/>
              <w:contextualSpacing/>
              <w:rPr/>
            </w:pPr>
            <w:r>
              <w:rPr/>
              <w:t>-1-</w:t>
            </w:r>
            <w:r>
              <w:rPr>
                <w:lang w:val="en-US"/>
              </w:rPr>
              <w:t>i</w:t>
            </w:r>
          </w:p>
        </w:tc>
      </w:tr>
      <w:tr>
        <w:trPr/>
        <w:tc>
          <w:tcPr>
            <w:tcW w:w="2859" w:type="dxa"/>
            <w:tcBorders/>
            <w:shd w:fill="auto" w:val="clear"/>
          </w:tcPr>
          <w:p>
            <w:pPr>
              <w:pStyle w:val="ListParagraph"/>
              <w:spacing w:lineRule="auto" w:line="240" w:before="0" w:after="0"/>
              <w:ind w:left="0" w:hanging="0"/>
              <w:contextualSpacing/>
              <w:rPr/>
            </w:pPr>
            <w:r>
              <w:rPr/>
              <w:t>1</w:t>
            </w:r>
          </w:p>
        </w:tc>
        <w:tc>
          <w:tcPr>
            <w:tcW w:w="2860" w:type="dxa"/>
            <w:tcBorders/>
            <w:shd w:fill="auto" w:val="clear"/>
          </w:tcPr>
          <w:p>
            <w:pPr>
              <w:pStyle w:val="ListParagraph"/>
              <w:spacing w:lineRule="auto" w:line="240" w:before="0" w:after="0"/>
              <w:ind w:left="0" w:hanging="0"/>
              <w:contextualSpacing/>
              <w:rPr/>
            </w:pPr>
            <w:r>
              <w:rPr/>
              <w:t>1</w:t>
            </w:r>
          </w:p>
        </w:tc>
        <w:tc>
          <w:tcPr>
            <w:tcW w:w="2906" w:type="dxa"/>
            <w:tcBorders/>
            <w:shd w:fill="auto" w:val="clear"/>
          </w:tcPr>
          <w:p>
            <w:pPr>
              <w:pStyle w:val="ListParagraph"/>
              <w:spacing w:lineRule="auto" w:line="240" w:before="0" w:after="0"/>
              <w:ind w:left="0" w:hanging="0"/>
              <w:contextualSpacing/>
              <w:rPr/>
            </w:pPr>
            <w:r>
              <w:rPr/>
              <w:t>+1-</w:t>
            </w:r>
            <w:r>
              <w:rPr>
                <w:lang w:val="en-US"/>
              </w:rPr>
              <w:t>i</w:t>
            </w:r>
          </w:p>
        </w:tc>
      </w:tr>
    </w:tbl>
    <w:p>
      <w:pPr>
        <w:pStyle w:val="Normal"/>
        <w:ind w:firstLine="708"/>
        <w:rPr/>
      </w:pPr>
      <w:r>
        <w:rPr/>
      </w:r>
    </w:p>
    <w:p>
      <w:pPr>
        <w:pStyle w:val="Normal"/>
        <w:ind w:hanging="0"/>
        <w:rPr/>
      </w:pPr>
      <w:r>
        <w:rPr/>
        <w:t xml:space="preserve">Количество сформированных символов равно </w:t>
      </w:r>
      <w:r>
        <w:rPr>
          <w:i/>
          <w:lang w:val="en-US"/>
        </w:rPr>
        <w:t>N</w:t>
      </w:r>
      <w:r>
        <w:rPr>
          <w:i/>
        </w:rPr>
        <w:t xml:space="preserve">/2 </w:t>
      </w:r>
      <w:r>
        <w:rPr/>
        <w:t xml:space="preserve">(один </w:t>
      </w:r>
      <w:r>
        <w:rPr>
          <w:lang w:val="en-US"/>
        </w:rPr>
        <w:t>QPSK</w:t>
      </w:r>
      <w:r>
        <w:rPr/>
        <w:t xml:space="preserve">-символ содержит два бита данных). В результате полечен массив значений </w:t>
      </w:r>
      <w:r>
        <w:rPr>
          <w:i/>
          <w:lang w:val="en-US"/>
        </w:rPr>
        <w:t>QPSK</w:t>
      </w:r>
      <w:r>
        <w:rPr>
          <w:i/>
        </w:rPr>
        <w:softHyphen/>
        <w:softHyphen/>
        <w:softHyphen/>
        <w:softHyphen/>
        <w:softHyphen/>
        <w:softHyphen/>
        <w:softHyphen/>
        <w:softHyphen/>
      </w:r>
      <w:r>
        <w:rPr>
          <w:i/>
          <w:vertAlign w:val="subscript"/>
          <w:lang w:val="en-US"/>
        </w:rPr>
        <w:t>i</w:t>
      </w:r>
      <w:r>
        <w:rPr>
          <w:vertAlign w:val="subscript"/>
        </w:rPr>
        <w:softHyphen/>
      </w:r>
      <w:r>
        <w:rPr/>
        <w:t xml:space="preserve">, где </w:t>
      </w:r>
      <w:r>
        <w:rPr>
          <w:i/>
          <w:lang w:val="en-US"/>
        </w:rPr>
        <w:t>i</w:t>
      </w:r>
      <w:r>
        <w:rPr>
          <w:i/>
        </w:rPr>
        <w:t xml:space="preserve">=0… </w:t>
      </w:r>
      <w:r>
        <w:rPr>
          <w:i/>
          <w:lang w:val="en-US"/>
        </w:rPr>
        <w:t>N</w:t>
      </w:r>
      <w:r>
        <w:rPr>
          <w:i/>
        </w:rPr>
        <w:t>/2-1</w:t>
      </w:r>
      <w:r>
        <w:rPr/>
        <w:t>.</w:t>
      </w:r>
    </w:p>
    <w:p>
      <w:pPr>
        <w:pStyle w:val="ListParagraph"/>
        <w:numPr>
          <w:ilvl w:val="0"/>
          <w:numId w:val="1"/>
        </w:numPr>
        <w:rPr/>
      </w:pPr>
      <w:r>
        <w:rPr/>
        <w:t xml:space="preserve">Выполнив обратное быстрое преобразование Фурье (ОБПФ), используя формулу (1), мы получаем временное представление сигнала. Входными данными для которого будут значения </w:t>
      </w:r>
      <w:r>
        <w:rPr>
          <w:i/>
          <w:lang w:val="en-US"/>
        </w:rPr>
        <w:t>QPSK</w:t>
      </w:r>
      <w:r>
        <w:rPr>
          <w:i/>
        </w:rPr>
        <w:softHyphen/>
        <w:softHyphen/>
        <w:softHyphen/>
        <w:softHyphen/>
        <w:softHyphen/>
        <w:softHyphen/>
        <w:softHyphen/>
        <w:softHyphen/>
      </w:r>
      <w:r>
        <w:rPr>
          <w:i/>
          <w:vertAlign w:val="subscript"/>
          <w:lang w:val="en-US"/>
        </w:rPr>
        <w:t>I</w:t>
      </w:r>
      <w:r>
        <w:rPr/>
        <w:t>, модулирующие поднесущие, сформированные в пункте 3.</w:t>
      </w:r>
    </w:p>
    <w:p>
      <w:pPr>
        <w:pStyle w:val="ListParagraph"/>
        <w:ind w:left="360" w:hanging="0"/>
        <w:rPr/>
      </w:pPr>
      <w:r>
        <w:rPr/>
        <w:t xml:space="preserve">                        </w:t>
      </w:r>
      <w:r>
        <w:rPr/>
      </w:r>
      <m:oMath xmlns:m="http://schemas.openxmlformats.org/officeDocument/2006/math">
        <m:r>
          <w:rPr>
            <w:rFonts w:ascii="Cambria Math" w:hAnsi="Cambria Math"/>
          </w:rPr>
          <m:t xml:space="preserve">OFDM</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QPSK</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i</m:t>
                    </m:r>
                    <m:r>
                      <w:rPr>
                        <w:rFonts w:ascii="Cambria Math" w:hAnsi="Cambria Math"/>
                      </w:rPr>
                      <m:t xml:space="preserve">∙</m:t>
                    </m:r>
                    <m:f>
                      <m:num>
                        <m:r>
                          <w:rPr>
                            <w:rFonts w:ascii="Cambria Math" w:hAnsi="Cambria Math"/>
                          </w:rPr>
                          <m:t xml:space="preserve">2</m:t>
                        </m:r>
                        <m:r>
                          <w:rPr>
                            <w:rFonts w:ascii="Cambria Math" w:hAnsi="Cambria Math"/>
                          </w:rPr>
                          <m:t xml:space="preserve">πk</m:t>
                        </m:r>
                      </m:num>
                      <m:den>
                        <m:f>
                          <m:fPr>
                            <m:type m:val="lin"/>
                          </m:fPr>
                          <m:num>
                            <m:r>
                              <w:rPr>
                                <w:rFonts w:ascii="Cambria Math" w:hAnsi="Cambria Math"/>
                              </w:rPr>
                              <m:t xml:space="preserve">N</m:t>
                            </m:r>
                          </m:num>
                          <m:den>
                            <m:r>
                              <w:rPr>
                                <w:rFonts w:ascii="Cambria Math" w:hAnsi="Cambria Math"/>
                              </w:rPr>
                              <m:t xml:space="preserve">2</m:t>
                            </m:r>
                          </m:den>
                        </m:f>
                      </m:den>
                    </m:f>
                    <m:r>
                      <w:rPr>
                        <w:rFonts w:ascii="Cambria Math" w:hAnsi="Cambria Math"/>
                      </w:rPr>
                      <m:t xml:space="preserve">∙</m:t>
                    </m:r>
                    <m:r>
                      <w:rPr>
                        <w:rFonts w:ascii="Cambria Math" w:hAnsi="Cambria Math"/>
                      </w:rPr>
                      <m:t xml:space="preserve">t</m:t>
                    </m:r>
                  </m:sup>
                </m:sSup>
              </m:e>
            </m:d>
          </m:e>
        </m:nary>
        <m:r>
          <w:rPr>
            <w:rFonts w:ascii="Cambria Math" w:hAnsi="Cambria Math"/>
          </w:rPr>
          <m:t xml:space="preserve">.</m:t>
        </m:r>
      </m:oMath>
      <w:r>
        <w:rPr/>
        <w:t xml:space="preserve">                                  </w:t>
      </w:r>
      <w:r>
        <w:rPr/>
        <w:t>(1)</w:t>
      </w:r>
    </w:p>
    <w:p>
      <w:pPr>
        <w:pStyle w:val="ListParagraph"/>
        <w:numPr>
          <w:ilvl w:val="0"/>
          <w:numId w:val="1"/>
        </w:numPr>
        <w:rPr/>
      </w:pPr>
      <w:r>
        <w:rPr/>
        <w:t xml:space="preserve">Для генерации шумов (искажения сигнала) в радиоканале, воспользуемся формулами (2) и (3). Добавляя шумы к реальной и мнимой составляющей полезного сигнала, мы получаем искаженный сигнал </w:t>
      </w:r>
      <w:r>
        <w:rPr>
          <w:i/>
          <w:lang w:val="en-US"/>
        </w:rPr>
        <w:t>Signal</w:t>
      </w:r>
      <w:r>
        <w:rPr>
          <w:i/>
        </w:rPr>
        <w:t>_</w:t>
      </w:r>
      <w:r>
        <w:rPr>
          <w:i/>
          <w:lang w:val="en-US"/>
        </w:rPr>
        <w:t>Plus</w:t>
      </w:r>
      <w:r>
        <w:rPr>
          <w:i/>
        </w:rPr>
        <w:t>_</w:t>
      </w:r>
      <w:r>
        <w:rPr>
          <w:i/>
          <w:lang w:val="en-US"/>
        </w:rPr>
        <w:t>Noise</w:t>
      </w:r>
      <w:r>
        <w:rPr>
          <w:i/>
        </w:rPr>
        <w:t>.</w:t>
      </w:r>
    </w:p>
    <w:p>
      <w:pPr>
        <w:pStyle w:val="ListParagraph"/>
        <w:ind w:left="360" w:hanging="0"/>
        <w:rPr/>
      </w:pPr>
      <w:r>
        <w:rPr/>
        <w:t xml:space="preserve">                                       </w:t>
      </w:r>
      <w:r>
        <w:rPr/>
      </w:r>
      <m:oMath xmlns:m="http://schemas.openxmlformats.org/officeDocument/2006/math">
        <m:r>
          <w:rPr>
            <w:rFonts w:ascii="Cambria Math" w:hAnsi="Cambria Math"/>
          </w:rPr>
          <m:t xml:space="preserve">σ</m:t>
        </m:r>
        <m:r>
          <w:rPr>
            <w:rFonts w:ascii="Cambria Math" w:hAnsi="Cambria Math"/>
          </w:rPr>
          <m:t xml:space="preserve">=</m:t>
        </m:r>
        <m:rad>
          <m:radPr>
            <m:degHide m:val="1"/>
          </m:radPr>
          <m:deg/>
          <m:e>
            <m:f>
              <m:num>
                <m:r>
                  <w:rPr>
                    <w:rFonts w:ascii="Cambria Math" w:hAnsi="Cambria Math"/>
                  </w:rPr>
                  <m:t xml:space="preserve">1</m:t>
                </m:r>
              </m:num>
              <m:den>
                <m:sSub>
                  <m:e>
                    <m:r>
                      <w:rPr>
                        <w:rFonts w:ascii="Cambria Math" w:hAnsi="Cambria Math"/>
                      </w:rPr>
                      <m:t xml:space="preserve">log</m:t>
                    </m:r>
                  </m:e>
                  <m:sub>
                    <m:r>
                      <w:rPr>
                        <w:rFonts w:ascii="Cambria Math" w:hAnsi="Cambria Math"/>
                      </w:rPr>
                      <m:t xml:space="preserve">2</m:t>
                    </m:r>
                  </m:sub>
                </m:sSub>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0,1</m:t>
                    </m:r>
                    <m:r>
                      <w:rPr>
                        <w:rFonts w:ascii="Cambria Math" w:hAnsi="Cambria Math"/>
                      </w:rPr>
                      <m:t xml:space="preserve">∙</m:t>
                    </m:r>
                    <m:r>
                      <w:rPr>
                        <w:rFonts w:ascii="Cambria Math" w:hAnsi="Cambria Math"/>
                      </w:rPr>
                      <m:t xml:space="preserve">SNR</m:t>
                    </m:r>
                  </m:sup>
                </m:sSup>
              </m:den>
            </m:f>
          </m:e>
        </m:rad>
        <m:r>
          <w:rPr>
            <w:rFonts w:ascii="Cambria Math" w:hAnsi="Cambria Math"/>
          </w:rPr>
          <m:t xml:space="preserve">,</m:t>
        </m:r>
      </m:oMath>
      <w:r>
        <w:rPr/>
        <w:t xml:space="preserve">                                  </w:t>
      </w:r>
      <w:r>
        <w:rPr/>
        <w:t>(2)</w:t>
      </w:r>
    </w:p>
    <w:p>
      <w:pPr>
        <w:pStyle w:val="ListParagraph"/>
        <w:ind w:left="360" w:hanging="0"/>
        <w:rPr/>
      </w:pPr>
      <w:r>
        <w:rPr/>
        <w:t xml:space="preserve">   </w:t>
      </w:r>
      <w:r>
        <w:rPr/>
      </w:r>
      <m:oMath xmlns:m="http://schemas.openxmlformats.org/officeDocument/2006/math">
        <m:sSub>
          <m:e>
            <m:r>
              <w:rPr>
                <w:rFonts w:ascii="Cambria Math" w:hAnsi="Cambria Math"/>
              </w:rPr>
              <m:t xml:space="preserve">Signal</m:t>
            </m:r>
          </m:e>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OFDM</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rand</m:t>
            </m:r>
            <m:d>
              <m:dPr>
                <m:begChr m:val="("/>
                <m:endChr m:val=")"/>
              </m:dPr>
              <m:e>
                <m:r>
                  <w:rPr>
                    <w:rFonts w:ascii="Cambria Math" w:hAnsi="Cambria Math"/>
                  </w:rPr>
                  <m:t xml:space="preserve">1</m:t>
                </m:r>
              </m:e>
            </m:d>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rand</m:t>
                    </m:r>
                    <m:d>
                      <m:dPr>
                        <m:begChr m:val="("/>
                        <m:endChr m:val=")"/>
                      </m:dPr>
                      <m:e>
                        <m:r>
                          <w:rPr>
                            <w:rFonts w:ascii="Cambria Math" w:hAnsi="Cambria Math"/>
                          </w:rPr>
                          <m:t xml:space="preserve">1</m:t>
                        </m:r>
                      </m:e>
                    </m:d>
                  </m:e>
                </m:d>
              </m:e>
            </m:rad>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rand</m:t>
            </m:r>
            <m:d>
              <m:dPr>
                <m:begChr m:val="("/>
                <m:endChr m:val=")"/>
              </m:dPr>
              <m:e>
                <m:r>
                  <w:rPr>
                    <w:rFonts w:ascii="Cambria Math" w:hAnsi="Cambria Math"/>
                  </w:rPr>
                  <m:t xml:space="preserve">1</m:t>
                </m:r>
              </m:e>
            </m:d>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rand</m:t>
                    </m:r>
                    <m:d>
                      <m:dPr>
                        <m:begChr m:val="("/>
                        <m:endChr m:val=")"/>
                      </m:dPr>
                      <m:e>
                        <m:r>
                          <w:rPr>
                            <w:rFonts w:ascii="Cambria Math" w:hAnsi="Cambria Math"/>
                          </w:rPr>
                          <m:t xml:space="preserve">1</m:t>
                        </m:r>
                      </m:e>
                    </m:d>
                  </m:e>
                </m:d>
              </m:e>
            </m:rad>
          </m:e>
        </m:d>
      </m:oMath>
      <w:r>
        <w:rPr/>
        <w:t>.   (3)</w:t>
      </w:r>
    </w:p>
    <w:p>
      <w:pPr>
        <w:pStyle w:val="ListParagraph"/>
        <w:numPr>
          <w:ilvl w:val="0"/>
          <w:numId w:val="1"/>
        </w:numPr>
        <w:rPr/>
      </w:pPr>
      <w:r>
        <w:rPr/>
        <w:t xml:space="preserve">Сымитировав прием зашумленного сигнала, мы выполнили прямле быстрое преобразование Фурье (ПБПФ), как показано ниже (4). В результате должен получиться массив значений </w:t>
      </w:r>
      <w:r>
        <w:rPr>
          <w:i/>
        </w:rPr>
        <w:t>QPSK_Noisy</w:t>
      </w:r>
      <w:r>
        <w:rPr>
          <w:i/>
          <w:vertAlign w:val="subscript"/>
        </w:rPr>
        <w:t>.</w:t>
      </w:r>
    </w:p>
    <w:p>
      <w:pPr>
        <w:pStyle w:val="ListParagraph"/>
        <w:ind w:left="360" w:hanging="0"/>
        <w:rPr/>
      </w:pPr>
      <w:r>
        <w:rPr/>
        <w:t xml:space="preserve">    </w:t>
      </w:r>
      <w:r>
        <w:rPr/>
      </w:r>
      <m:oMath xmlns:m="http://schemas.openxmlformats.org/officeDocument/2006/math">
        <m:sSub>
          <m:e>
            <m:r>
              <w:rPr>
                <w:rFonts w:ascii="Cambria Math" w:hAnsi="Cambria Math"/>
              </w:rPr>
              <m:t xml:space="preserve">QPSK</m:t>
            </m:r>
          </m:e>
          <m:sub>
            <m:r>
              <w:rPr>
                <w:rFonts w:ascii="Cambria Math" w:hAnsi="Cambria Math"/>
              </w:rPr>
              <m:t xml:space="preserve">Nois</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f>
              <m:fPr>
                <m:type m:val="lin"/>
              </m:fPr>
              <m:num>
                <m:r>
                  <w:rPr>
                    <w:rFonts w:ascii="Cambria Math" w:hAnsi="Cambria Math"/>
                  </w:rPr>
                  <m:t xml:space="preserve">N</m:t>
                </m:r>
              </m:num>
              <m:den>
                <m:r>
                  <w:rPr>
                    <w:rFonts w:ascii="Cambria Math" w:hAnsi="Cambria Math"/>
                  </w:rPr>
                  <m:t xml:space="preserve">2</m:t>
                </m:r>
              </m:den>
            </m:f>
          </m:den>
        </m:f>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Signal</m:t>
                    </m:r>
                  </m:e>
                  <m:sub/>
                </m:sSub>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i</m:t>
                    </m:r>
                    <m:r>
                      <w:rPr>
                        <w:rFonts w:ascii="Cambria Math" w:hAnsi="Cambria Math"/>
                      </w:rPr>
                      <m:t xml:space="preserve">∙</m:t>
                    </m:r>
                    <m:f>
                      <m:num>
                        <m:r>
                          <w:rPr>
                            <w:rFonts w:ascii="Cambria Math" w:hAnsi="Cambria Math"/>
                          </w:rPr>
                          <m:t xml:space="preserve">2</m:t>
                        </m:r>
                        <m:r>
                          <w:rPr>
                            <w:rFonts w:ascii="Cambria Math" w:hAnsi="Cambria Math"/>
                          </w:rPr>
                          <m:t xml:space="preserve">πk</m:t>
                        </m:r>
                      </m:num>
                      <m:den>
                        <m:f>
                          <m:fPr>
                            <m:type m:val="lin"/>
                          </m:fPr>
                          <m:num>
                            <m:r>
                              <w:rPr>
                                <w:rFonts w:ascii="Cambria Math" w:hAnsi="Cambria Math"/>
                              </w:rPr>
                              <m:t xml:space="preserve">N</m:t>
                            </m:r>
                          </m:num>
                          <m:den>
                            <m:r>
                              <w:rPr>
                                <w:rFonts w:ascii="Cambria Math" w:hAnsi="Cambria Math"/>
                              </w:rPr>
                              <m:t xml:space="preserve">2</m:t>
                            </m:r>
                          </m:den>
                        </m:f>
                      </m:den>
                    </m:f>
                    <m:r>
                      <w:rPr>
                        <w:rFonts w:ascii="Cambria Math" w:hAnsi="Cambria Math"/>
                      </w:rPr>
                      <m:t xml:space="preserve">∙</m:t>
                    </m:r>
                    <m:r>
                      <w:rPr>
                        <w:rFonts w:ascii="Cambria Math" w:hAnsi="Cambria Math"/>
                      </w:rPr>
                      <m:t xml:space="preserve">t</m:t>
                    </m:r>
                  </m:sup>
                </m:sSup>
              </m:e>
            </m:d>
          </m:e>
        </m:nary>
      </m:oMath>
      <w:r>
        <w:rPr>
          <w:i/>
        </w:rPr>
        <w:t xml:space="preserve">             </w:t>
      </w:r>
      <w:r>
        <w:rPr/>
        <w:t>(4)</w:t>
      </w:r>
    </w:p>
    <w:p>
      <w:pPr>
        <w:pStyle w:val="ListParagraph"/>
        <w:numPr>
          <w:ilvl w:val="0"/>
          <w:numId w:val="1"/>
        </w:numPr>
        <w:rPr/>
      </w:pPr>
      <w:r>
        <w:rPr/>
        <w:t>Выполнив прямое БПФ (пункт 4), мы получили массив комплексных значений, несущих заданную битовую последовательность. Для получения битовых значений требуется выполнить сравнение реальное (</w:t>
      </w:r>
      <w:r>
        <w:rPr>
          <w:lang w:val="en-US"/>
        </w:rPr>
        <w:t>Re</w:t>
      </w:r>
      <w:r>
        <w:rPr/>
        <w:t>) и мнимой (</w:t>
      </w:r>
      <w:r>
        <w:rPr>
          <w:lang w:val="en-US"/>
        </w:rPr>
        <w:t>Im</w:t>
      </w:r>
      <w:r>
        <w:rPr/>
        <w:t xml:space="preserve">) частей этих комплексных чисел с нулем, чтобы понять в какой четверти находиться точка сигнального </w:t>
      </w:r>
      <w:r>
        <w:rPr>
          <w:lang w:val="en-US"/>
        </w:rPr>
        <w:t>QPSK</w:t>
      </w:r>
      <w:r>
        <w:rPr/>
        <w:t>-созвездия, как показано на рисунке 1.</w:t>
      </w:r>
    </w:p>
    <w:p>
      <w:pPr>
        <w:pStyle w:val="ListParagraph"/>
        <w:ind w:left="360" w:hanging="0"/>
        <w:jc w:val="center"/>
        <w:rPr/>
      </w:pPr>
      <w:r>
        <w:rPr/>
        <w:drawing>
          <wp:inline distT="0" distB="9525" distL="0" distR="0">
            <wp:extent cx="4914900" cy="280987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914900" cy="2809875"/>
                    </a:xfrm>
                    <a:prstGeom prst="rect">
                      <a:avLst/>
                    </a:prstGeom>
                  </pic:spPr>
                </pic:pic>
              </a:graphicData>
            </a:graphic>
          </wp:inline>
        </w:drawing>
      </w:r>
    </w:p>
    <w:p>
      <w:pPr>
        <w:pStyle w:val="ListParagraph"/>
        <w:ind w:left="360" w:hanging="0"/>
        <w:jc w:val="center"/>
        <w:rPr>
          <w:lang w:val="en-US"/>
        </w:rPr>
      </w:pPr>
      <w:r>
        <w:rPr/>
        <w:t xml:space="preserve">Рисунок 1. Демодуляция </w:t>
      </w:r>
      <w:r>
        <w:rPr>
          <w:lang w:val="en-US"/>
        </w:rPr>
        <w:t>QPSK</w:t>
      </w:r>
      <w:r>
        <w:rPr/>
        <w:t>-сигнала</w:t>
      </w:r>
      <w:r>
        <w:rPr>
          <w:lang w:val="en-US"/>
        </w:rPr>
        <w:t>.</w:t>
      </w:r>
    </w:p>
    <w:p>
      <w:pPr>
        <w:pStyle w:val="ListParagraph"/>
        <w:ind w:left="360" w:hanging="0"/>
        <w:jc w:val="center"/>
        <w:rPr>
          <w:lang w:val="en-US"/>
        </w:rPr>
      </w:pPr>
      <w:r>
        <w:rPr>
          <w:lang w:val="en-US"/>
        </w:rPr>
      </w:r>
    </w:p>
    <w:p>
      <w:pPr>
        <w:pStyle w:val="ListParagraph"/>
        <w:numPr>
          <w:ilvl w:val="0"/>
          <w:numId w:val="1"/>
        </w:numPr>
        <w:rPr/>
      </w:pPr>
      <w:r>
        <w:rPr/>
        <w:t xml:space="preserve">Выполнив демодуляцию </w:t>
      </w:r>
      <w:r>
        <w:rPr>
          <w:lang w:val="en-US"/>
        </w:rPr>
        <w:t>QPSK</w:t>
      </w:r>
      <w:r>
        <w:rPr/>
        <w:t xml:space="preserve">-сигналов на каждой поднесущей, мы провели побитовое сравнение исходной и полученной битовой последовательности для того, чтобы определить вероятность битовой ошибки </w:t>
      </w:r>
      <w:r>
        <w:rPr>
          <w:i/>
          <w:lang w:val="en-US"/>
        </w:rPr>
        <w:t>BER</w:t>
      </w:r>
      <w:r>
        <w:rPr/>
        <w:t xml:space="preserve">. Все описанные выше операции осуществляться для всех заданных выше значений </w:t>
      </w:r>
      <w:r>
        <w:rPr>
          <w:i/>
          <w:lang w:val="en-US"/>
        </w:rPr>
        <w:t>SNR</w:t>
      </w:r>
      <w:r>
        <w:rPr>
          <w:i/>
        </w:rPr>
        <w:t xml:space="preserve">, </w:t>
      </w:r>
      <w:r>
        <w:rPr/>
        <w:t xml:space="preserve">затем строиться зависимость </w:t>
      </w:r>
      <w:r>
        <w:rPr>
          <w:i/>
          <w:lang w:val="en-US"/>
        </w:rPr>
        <w:t>BER</w:t>
      </w:r>
      <w:r>
        <w:rPr>
          <w:i/>
        </w:rPr>
        <w:t>(</w:t>
      </w:r>
      <w:r>
        <w:rPr>
          <w:i/>
          <w:lang w:val="en-US"/>
        </w:rPr>
        <w:t>SNR</w:t>
      </w:r>
      <w:r>
        <w:rPr>
          <w:i/>
        </w:rPr>
        <w:t>)</w:t>
      </w:r>
      <w:r>
        <w:rPr/>
        <w:t>. Результат представлен на рисунке 2.</w:t>
      </w:r>
    </w:p>
    <w:p>
      <w:pPr>
        <w:pStyle w:val="ListParagraph"/>
        <w:ind w:left="360" w:hanging="0"/>
        <w:jc w:val="center"/>
        <w:rPr/>
      </w:pPr>
      <w:r>
        <w:rPr/>
        <mc:AlternateContent>
          <mc:Choice Requires="wps">
            <w:drawing>
              <wp:inline distT="0" distB="0" distL="0" distR="0">
                <wp:extent cx="5848350" cy="434911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847840" cy="43484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42.45pt;width:460.4pt;height:342.35pt;mso-position-vertical:top" type="shapetype_75">
                <v:imagedata r:id="rId3" o:detectmouseclick="t"/>
                <w10:wrap type="none"/>
                <v:stroke color="#3465a4" joinstyle="round" endcap="flat"/>
              </v:shape>
            </w:pict>
          </mc:Fallback>
        </mc:AlternateContent>
      </w:r>
    </w:p>
    <w:p>
      <w:pPr>
        <w:pStyle w:val="ListParagraph"/>
        <w:ind w:left="360" w:hanging="0"/>
        <w:jc w:val="center"/>
        <w:rPr/>
      </w:pPr>
      <w:r>
        <w:rPr/>
        <w:t xml:space="preserve">Рисунок 2. Зависимость вероятности битовой ошибки при передаче </w:t>
      </w:r>
      <w:r>
        <w:rPr>
          <w:lang w:val="en-US"/>
        </w:rPr>
        <w:t>OFDM</w:t>
      </w:r>
      <w:r>
        <w:rPr/>
        <w:t xml:space="preserve">-сигнала с </w:t>
      </w:r>
      <w:r>
        <w:rPr>
          <w:lang w:val="en-US"/>
        </w:rPr>
        <w:t>QPSK</w:t>
      </w:r>
      <w:r>
        <w:rPr/>
        <w:t>-модуляцией поднесущих от отношения сигнала к шуму.</w:t>
      </w:r>
    </w:p>
    <w:p>
      <w:pPr>
        <w:pStyle w:val="ListParagraph"/>
        <w:ind w:left="360" w:hanging="0"/>
        <w:jc w:val="both"/>
        <w:rPr/>
      </w:pPr>
      <w:r>
        <w:rPr/>
      </w:r>
    </w:p>
    <w:p>
      <w:pPr>
        <w:pStyle w:val="ListParagraph"/>
        <w:ind w:left="360" w:hanging="0"/>
        <w:jc w:val="both"/>
        <w:rPr/>
      </w:pPr>
      <w:r>
        <w:rPr/>
      </w:r>
    </w:p>
    <w:p>
      <w:pPr>
        <w:pStyle w:val="ListParagraph"/>
        <w:ind w:left="360" w:hanging="0"/>
        <w:jc w:val="center"/>
        <w:rPr/>
      </w:pPr>
      <w:r>
        <w:rPr/>
      </w:r>
    </w:p>
    <w:p>
      <w:pPr>
        <w:pStyle w:val="Normal"/>
        <w:ind w:hanging="0"/>
        <w:rPr>
          <w:b/>
          <w:b/>
        </w:rPr>
      </w:pPr>
      <w:r>
        <w:rPr>
          <w:b/>
        </w:rPr>
        <w:t>Ответы на контрольные вопросы</w:t>
      </w:r>
    </w:p>
    <w:p>
      <w:pPr>
        <w:pStyle w:val="ListParagraph"/>
        <w:numPr>
          <w:ilvl w:val="0"/>
          <w:numId w:val="2"/>
        </w:numPr>
        <w:rPr/>
      </w:pPr>
      <w:r>
        <w:rPr/>
        <w:t xml:space="preserve">Для чего используется ОБПФ при формировании </w:t>
      </w:r>
      <w:r>
        <w:rPr>
          <w:lang w:val="en-US"/>
        </w:rPr>
        <w:t>OFDM</w:t>
      </w:r>
      <w:r>
        <w:rPr/>
        <w:t>-сигнала в блоке передатчика?</w:t>
      </w:r>
    </w:p>
    <w:p>
      <w:pPr>
        <w:pStyle w:val="Normal"/>
        <w:rPr/>
      </w:pPr>
      <w:r>
        <w:rPr/>
        <w:t xml:space="preserve">ОБПФ – обратное быстрое преобразование Фурье, с его помощью из спектра восстанавливается его временной образ. </w:t>
      </w:r>
    </w:p>
    <w:p>
      <w:pPr>
        <w:pStyle w:val="Normal"/>
        <w:rPr/>
      </w:pPr>
      <w:r>
        <w:rPr/>
      </w:r>
    </w:p>
    <w:p>
      <w:pPr>
        <w:pStyle w:val="ListParagraph"/>
        <w:numPr>
          <w:ilvl w:val="0"/>
          <w:numId w:val="2"/>
        </w:numPr>
        <w:rPr/>
      </w:pPr>
      <w:r>
        <w:rPr/>
        <w:t xml:space="preserve">Какими преимуществами обладает технология </w:t>
      </w:r>
      <w:r>
        <w:rPr>
          <w:lang w:val="en-US"/>
        </w:rPr>
        <w:t>OFDM</w:t>
      </w:r>
      <w:r>
        <w:rPr/>
        <w:t xml:space="preserve"> по сравнению с </w:t>
      </w:r>
      <w:r>
        <w:rPr>
          <w:lang w:val="en-US"/>
        </w:rPr>
        <w:t>FDM</w:t>
      </w:r>
      <w:r>
        <w:rPr/>
        <w:t>?</w:t>
      </w:r>
    </w:p>
    <w:p>
      <w:pPr>
        <w:pStyle w:val="Normal"/>
        <w:ind w:firstLine="360"/>
        <w:rPr/>
      </w:pPr>
      <w:r>
        <w:rPr/>
        <w:t xml:space="preserve">В технологии OFDM частотный диапазон разбивается равномерно между поднесущими (дополнительные несущие), количество которых может доходить до нескольких тысяч. В </w:t>
      </w:r>
      <w:r>
        <w:rPr>
          <w:lang w:val="en-US"/>
        </w:rPr>
        <w:t>FDM</w:t>
      </w:r>
      <w:r>
        <w:rPr/>
        <w:t xml:space="preserve"> данные передаются одним большим потоком, в </w:t>
      </w:r>
      <w:r>
        <w:rPr>
          <w:lang w:val="en-US"/>
        </w:rPr>
        <w:t>OFDM</w:t>
      </w:r>
      <w:r>
        <w:rPr/>
        <w:t xml:space="preserve"> множество потоков, что более благоприятно в случае возникновения помех. </w:t>
      </w:r>
    </w:p>
    <w:p>
      <w:pPr>
        <w:pStyle w:val="Normal"/>
        <w:ind w:hanging="0"/>
        <w:rPr/>
      </w:pPr>
      <w:r>
        <w:rPr/>
      </w:r>
    </w:p>
    <w:p>
      <w:pPr>
        <w:pStyle w:val="ListParagraph"/>
        <w:numPr>
          <w:ilvl w:val="0"/>
          <w:numId w:val="2"/>
        </w:numPr>
        <w:rPr/>
      </w:pPr>
      <w:r>
        <w:rPr/>
        <w:t xml:space="preserve">В каких беспроводных технологиях используется </w:t>
      </w:r>
      <w:r>
        <w:rPr>
          <w:lang w:val="en-US"/>
        </w:rPr>
        <w:t>OFDM</w:t>
      </w:r>
      <w:r>
        <w:rPr/>
        <w:t>?</w:t>
      </w:r>
    </w:p>
    <w:p>
      <w:pPr>
        <w:pStyle w:val="Normal"/>
        <w:ind w:hanging="0"/>
        <w:rPr/>
      </w:pPr>
      <w:r>
        <w:rPr>
          <w:lang w:val="en-US"/>
        </w:rPr>
        <w:t>LTE, WiMAX, Wi-Fi</w:t>
      </w:r>
      <w:r>
        <w:rPr/>
        <w:t xml:space="preserve">. </w:t>
      </w:r>
    </w:p>
    <w:p>
      <w:pPr>
        <w:pStyle w:val="Normal"/>
        <w:ind w:hanging="0"/>
        <w:rPr>
          <w:lang w:val="en-US"/>
        </w:rPr>
      </w:pPr>
      <w:r>
        <w:rPr>
          <w:lang w:val="en-US"/>
        </w:rPr>
        <w:t>(IEEE 802.11a, IEEE 802.11g, IEEE 802.11n, IEEE 802.11ad, IEEE 802.11ac).</w:t>
      </w:r>
    </w:p>
    <w:p>
      <w:pPr>
        <w:pStyle w:val="ListParagraph"/>
        <w:numPr>
          <w:ilvl w:val="0"/>
          <w:numId w:val="2"/>
        </w:numPr>
        <w:rPr/>
      </w:pPr>
      <w:r>
        <w:rPr/>
        <w:t xml:space="preserve">Какой вид имеет спектр </w:t>
      </w:r>
      <w:r>
        <w:rPr>
          <w:lang w:val="en-US"/>
        </w:rPr>
        <w:t>OFDM</w:t>
      </w:r>
      <w:r>
        <w:rPr/>
        <w:t xml:space="preserve"> сигнала и как его получить?</w:t>
      </w:r>
    </w:p>
    <w:p>
      <w:pPr>
        <w:pStyle w:val="Normal"/>
        <w:ind w:hanging="0"/>
        <w:rPr/>
      </w:pPr>
      <w:r>
        <w:rPr/>
        <w:t xml:space="preserve">Спектр </w:t>
      </w:r>
      <w:r>
        <w:rPr>
          <w:lang w:val="en-US"/>
        </w:rPr>
        <w:t>OFDM</w:t>
      </w:r>
      <w:r>
        <w:rPr/>
        <w:t xml:space="preserve"> – это частотное представление сигнала, указывающее насколько широка полоса, занимаемая сигналом. При помощи прямого преобразования Фурье, имея временные значения, можно получить частотное представление сигнала.</w:t>
      </w:r>
    </w:p>
    <w:p>
      <w:pPr>
        <w:pStyle w:val="Normal"/>
        <w:ind w:hanging="0"/>
        <w:jc w:val="center"/>
        <w:rPr/>
      </w:pPr>
      <w:bookmarkStart w:id="0" w:name="_GoBack"/>
      <w:r>
        <w:rPr/>
        <w:drawing>
          <wp:inline distT="0" distB="5715" distL="0" distR="4445">
            <wp:extent cx="2796540" cy="2090420"/>
            <wp:effectExtent l="0" t="0" r="0" b="0"/>
            <wp:docPr id="3" name="Рисунок 6" descr="C:\Users\Алиса\AppData\Local\Microsoft\Windows\INetCache\Content.Word\9-d40bcb65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C:\Users\Алиса\AppData\Local\Microsoft\Windows\INetCache\Content.Word\9-d40bcb65dc.jpg"/>
                    <pic:cNvPicPr>
                      <a:picLocks noChangeAspect="1" noChangeArrowheads="1"/>
                    </pic:cNvPicPr>
                  </pic:nvPicPr>
                  <pic:blipFill>
                    <a:blip r:embed="rId4"/>
                    <a:stretch>
                      <a:fillRect/>
                    </a:stretch>
                  </pic:blipFill>
                  <pic:spPr bwMode="auto">
                    <a:xfrm>
                      <a:off x="0" y="0"/>
                      <a:ext cx="2796540" cy="2090420"/>
                    </a:xfrm>
                    <a:prstGeom prst="rect">
                      <a:avLst/>
                    </a:prstGeom>
                  </pic:spPr>
                </pic:pic>
              </a:graphicData>
            </a:graphic>
          </wp:inline>
        </w:drawing>
      </w:r>
      <w:bookmarkEnd w:id="0"/>
    </w:p>
    <w:p>
      <w:pPr>
        <w:pStyle w:val="ListParagraph"/>
        <w:numPr>
          <w:ilvl w:val="0"/>
          <w:numId w:val="2"/>
        </w:numPr>
        <w:rPr/>
      </w:pPr>
      <w:r>
        <w:rPr/>
        <w:t xml:space="preserve">Чем отличается </w:t>
      </w:r>
      <w:r>
        <w:rPr>
          <w:lang w:val="en-US"/>
        </w:rPr>
        <w:t>OFDM</w:t>
      </w:r>
      <w:r>
        <w:rPr/>
        <w:t xml:space="preserve"> от </w:t>
      </w:r>
      <w:r>
        <w:rPr>
          <w:lang w:val="en-US"/>
        </w:rPr>
        <w:t>OFDMA</w:t>
      </w:r>
      <w:r>
        <w:rPr/>
        <w:t>?</w:t>
      </w:r>
    </w:p>
    <w:p>
      <w:pPr>
        <w:pStyle w:val="Normal"/>
        <w:ind w:hanging="0"/>
        <w:rPr/>
      </w:pPr>
      <w:r>
        <w:rPr/>
        <w:t>OFDMA - технология множественного доступа с ортогональным разделением частот. Данный метод позволяет закреплять отдельные поднесущие за разными пользователями. Это облегчает обслуживание многих абонентов, работающих с низкими скоростями, а также позволяет использовать частотные скачки для смягчения эффектов узкополосного многолучевого распространения.</w:t>
      </w:r>
    </w:p>
    <w:p>
      <w:pPr>
        <w:pStyle w:val="ListParagraph"/>
        <w:ind w:hanging="0"/>
        <w:rPr/>
      </w:pPr>
      <w:r>
        <w:rPr/>
      </w:r>
    </w:p>
    <w:p>
      <w:pPr>
        <w:pStyle w:val="ListParagraph"/>
        <w:numPr>
          <w:ilvl w:val="0"/>
          <w:numId w:val="2"/>
        </w:numPr>
        <w:rPr/>
      </w:pPr>
      <w:r>
        <w:rPr/>
        <w:t xml:space="preserve">Что такое </w:t>
      </w:r>
      <w:r>
        <w:rPr>
          <w:lang w:val="en-US"/>
        </w:rPr>
        <w:t>SC</w:t>
      </w:r>
      <w:r>
        <w:rPr/>
        <w:t>-</w:t>
      </w:r>
      <w:r>
        <w:rPr>
          <w:lang w:val="en-US"/>
        </w:rPr>
        <w:t>FDMA</w:t>
      </w:r>
      <w:r>
        <w:rPr/>
        <w:t xml:space="preserve"> и какими преимуществами обладает этот метод формирования сигнала?</w:t>
      </w:r>
    </w:p>
    <w:p>
      <w:pPr>
        <w:pStyle w:val="Normal"/>
        <w:ind w:firstLine="360"/>
        <w:rPr/>
      </w:pPr>
      <w:r>
        <w:rPr/>
        <w:t>Технология</w:t>
      </w:r>
      <w:r>
        <w:rPr>
          <w:lang w:val="en-US"/>
        </w:rPr>
        <w:t xml:space="preserve"> </w:t>
      </w:r>
      <w:r>
        <w:rPr/>
        <w:t>множественного</w:t>
      </w:r>
      <w:r>
        <w:rPr>
          <w:lang w:val="en-US"/>
        </w:rPr>
        <w:t xml:space="preserve"> </w:t>
      </w:r>
      <w:r>
        <w:rPr/>
        <w:t>доступа</w:t>
      </w:r>
      <w:r>
        <w:rPr>
          <w:lang w:val="en-US"/>
        </w:rPr>
        <w:t xml:space="preserve"> (Single Carrier Frequency Division Multiple Access). </w:t>
      </w:r>
      <w:r>
        <w:rPr/>
        <w:t>Принципиальное отличие от OFDMA состоит в том, что если в последней в каждой поднесущей одновременно передается свой модуляционный символ, то в SC-FDMA все поднесущие модулируются одновременно и одинаково, тем самым PAR (отношение пикового значения сигнала к его среднему значению) конечного сигнала не превышает PAR исходных символов данных. Это существенно отличается от OFDMA, где параллельная передача тех же символов создает статистические пики, очень похожие на Гауссовский шум, которые значительно превышают PAR исходных символов данных. Ограничение PAR с помощью SC-FDMA существенно снижает потребность в том, чтобы мобильное устройство работало с высокими пиками мощности. Это снижает и затраты, и энергопотребление.</w:t>
      </w:r>
    </w:p>
    <w:p>
      <w:pPr>
        <w:pStyle w:val="Normal"/>
        <w:ind w:hanging="0"/>
        <w:rPr>
          <w:lang w:val="en-US"/>
        </w:rPr>
      </w:pPr>
      <w:r>
        <w:rPr>
          <w:lang w:val="en-US"/>
        </w:rPr>
      </w:r>
    </w:p>
    <w:p>
      <w:pPr>
        <w:pStyle w:val="ListParagraph"/>
        <w:numPr>
          <w:ilvl w:val="0"/>
          <w:numId w:val="2"/>
        </w:numPr>
        <w:rPr/>
      </w:pPr>
      <w:r>
        <w:rPr/>
        <w:t xml:space="preserve">Какие режимы </w:t>
      </w:r>
      <w:r>
        <w:rPr>
          <w:lang w:val="en-US"/>
        </w:rPr>
        <w:t>MIMO</w:t>
      </w:r>
      <w:r>
        <w:rPr/>
        <w:t xml:space="preserve"> используются в </w:t>
      </w:r>
      <w:r>
        <w:rPr>
          <w:lang w:val="en-US"/>
        </w:rPr>
        <w:t>LTE</w:t>
      </w:r>
      <w:r>
        <w:rPr/>
        <w:t>-сетях?</w:t>
      </w:r>
    </w:p>
    <w:p>
      <w:pPr>
        <w:pStyle w:val="Normal"/>
        <w:rPr/>
      </w:pPr>
      <w:r>
        <w:rPr>
          <w:lang w:val="en-US"/>
        </w:rPr>
        <w:t>SU</w:t>
      </w:r>
      <w:r>
        <w:rPr/>
        <w:t>-</w:t>
      </w:r>
      <w:r>
        <w:rPr>
          <w:lang w:val="en-US"/>
        </w:rPr>
        <w:t>MIMO</w:t>
      </w:r>
      <w:r>
        <w:rPr/>
        <w:t xml:space="preserve"> (</w:t>
      </w:r>
      <w:r>
        <w:rPr>
          <w:lang w:val="en-US"/>
        </w:rPr>
        <w:t>Single</w:t>
      </w:r>
      <w:r>
        <w:rPr/>
        <w:t xml:space="preserve"> </w:t>
      </w:r>
      <w:r>
        <w:rPr>
          <w:lang w:val="en-US"/>
        </w:rPr>
        <w:t>User</w:t>
      </w:r>
      <w:r>
        <w:rPr/>
        <w:t xml:space="preserve">) – данные с обеих передающих антенн предназначены одному пользователю. </w:t>
      </w:r>
    </w:p>
    <w:p>
      <w:pPr>
        <w:pStyle w:val="Normal"/>
        <w:rPr/>
      </w:pPr>
      <w:r>
        <w:rPr>
          <w:lang w:val="en-US"/>
        </w:rPr>
        <w:t>MU</w:t>
      </w:r>
      <w:r>
        <w:rPr/>
        <w:t>-</w:t>
      </w:r>
      <w:r>
        <w:rPr>
          <w:lang w:val="en-US"/>
        </w:rPr>
        <w:t>MIMO</w:t>
      </w:r>
      <w:r>
        <w:rPr/>
        <w:t xml:space="preserve"> (</w:t>
      </w:r>
      <w:r>
        <w:rPr>
          <w:lang w:val="en-US"/>
        </w:rPr>
        <w:t>Multi</w:t>
      </w:r>
      <w:r>
        <w:rPr/>
        <w:t xml:space="preserve"> </w:t>
      </w:r>
      <w:r>
        <w:rPr>
          <w:lang w:val="en-US"/>
        </w:rPr>
        <w:t>User</w:t>
      </w:r>
      <w:r>
        <w:rPr/>
        <w:t>) – передаются данные разным абонентам, увеличивая емкость сети.</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3710"/>
    <w:pPr>
      <w:widowControl/>
      <w:bidi w:val="0"/>
      <w:spacing w:lineRule="auto" w:line="240" w:before="0" w:after="0"/>
      <w:ind w:firstLine="709"/>
      <w:jc w:val="left"/>
    </w:pPr>
    <w:rPr>
      <w:rFonts w:ascii="Times New Roman" w:hAnsi="Times New Roman" w:eastAsia="Times New Roman" w:cs="Times New Roman"/>
      <w:color w:val="auto"/>
      <w:kern w:val="0"/>
      <w:sz w:val="28"/>
      <w:szCs w:val="20"/>
      <w:lang w:eastAsia="ru-RU" w:val="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d10ee"/>
    <w:rPr>
      <w:color w:val="808080"/>
    </w:rPr>
  </w:style>
  <w:style w:type="paragraph" w:styleId="Style14">
    <w:name w:val="Заголовок"/>
    <w:basedOn w:val="Normal"/>
    <w:next w:val="Style15"/>
    <w:qFormat/>
    <w:pPr>
      <w:keepNext w:val="true"/>
      <w:spacing w:before="240" w:after="120"/>
    </w:pPr>
    <w:rPr>
      <w:rFonts w:ascii="Liberation Sans" w:hAnsi="Liberation Sans" w:eastAsia="Tahoma"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1d1e3b"/>
    <w:pPr>
      <w:spacing w:before="0" w:after="0"/>
      <w:ind w:left="720" w:firstLine="709"/>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1d1e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Application>LibreOffice/6.0.4.2$Linux_X86_64 LibreOffice_project/9b0d9b32d5dcda91d2f1a96dc04c645c450872bf</Application>
  <Pages>5</Pages>
  <Words>713</Words>
  <Characters>4792</Characters>
  <CharactersWithSpaces>5588</CharactersWithSpaces>
  <Paragraphs>68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2018-03-14T12:11:00Z</dcterms:created>
  <dc:creator>Наталья Суходоева</dc:creator>
  <dc:description/>
  <dc:language>ru-RU</dc:language>
  <cp:lastModifiedBy/>
  <dcterms:modified xsi:type="dcterms:W3CDTF">2018-05-18T12:39:58Z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