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Data Link: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color w:val="03a9f4"/>
          <w:sz w:val="21"/>
          <w:szCs w:val="21"/>
          <w:shd w:fill="d2d2d2" w:val="clear"/>
          <w:rtl w:val="0"/>
        </w:rPr>
        <w:t xml:space="preserve">Gawler Craton Airborne Survey</w:t>
      </w:r>
      <w:r w:rsidDel="00000000" w:rsidR="00000000" w:rsidRPr="00000000">
        <w:rPr>
          <w:rtl w:val="0"/>
        </w:rPr>
        <w:t xml:space="preserve">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https://pid.sarig.sa.gov.au/dataset/mesac29418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id.sarig.sa.gov.au/dataset/mesac2941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