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4"/>
        </w:rPr>
        <w:t>AFLANEX</w:t>
      </w:r>
    </w:p>
    <w:p>
      <w:pPr>
        <w:jc w:val="center"/>
      </w:pPr>
      <w:r>
        <w:rPr>
          <w:b/>
          <w:sz w:val="32"/>
        </w:rPr>
        <w:t>Empowering the next generation of talent to do what’s next.</w:t>
      </w:r>
    </w:p>
    <w:p>
      <w:pPr>
        <w:jc w:val="center"/>
      </w:pPr>
      <w:r>
        <w:rPr>
          <w:i/>
          <w:sz w:val="22"/>
        </w:rPr>
        <w:t>Brand Model &amp; Strategic Identity</w:t>
      </w:r>
    </w:p>
    <w:p>
      <w:pPr>
        <w:pStyle w:val="Heading1"/>
      </w:pPr>
      <w:r>
        <w:t>1. Brand at a Glance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ptos" w:hAnsi="Aptos"/>
                <w:b/>
                <w:sz w:val="20"/>
              </w:rPr>
              <w:t>Brand</w:t>
            </w:r>
          </w:p>
        </w:tc>
        <w:tc>
          <w:tcPr>
            <w:tcW w:type="dxa" w:w="5040"/>
            <w:vAlign w:val="center"/>
          </w:tcPr>
          <w:p>
            <w:r/>
            <w:r>
              <w:rPr>
                <w:rFonts w:ascii="Aptos" w:hAnsi="Aptos"/>
                <w:b w:val="0"/>
                <w:sz w:val="20"/>
              </w:rPr>
              <w:t>Aflanex</w:t>
            </w:r>
          </w:p>
        </w:tc>
      </w:tr>
      <w:tr>
        <w:tc>
          <w:tcPr>
            <w:tcW w:type="dxa" w:w="5040"/>
            <w:vAlign w:val="center"/>
            <w:shd w:fill="EAF2F8"/>
          </w:tcPr>
          <w:p>
            <w:r/>
            <w:r>
              <w:rPr>
                <w:rFonts w:ascii="Aptos" w:hAnsi="Aptos"/>
                <w:b/>
                <w:sz w:val="20"/>
              </w:rPr>
              <w:t>Positioning statement</w:t>
            </w:r>
          </w:p>
        </w:tc>
        <w:tc>
          <w:tcPr>
            <w:tcW w:type="dxa" w:w="5040"/>
            <w:vAlign w:val="center"/>
          </w:tcPr>
          <w:p>
            <w:r/>
            <w:r>
              <w:rPr>
                <w:rFonts w:ascii="Aptos" w:hAnsi="Aptos"/>
                <w:b w:val="0"/>
                <w:sz w:val="20"/>
              </w:rPr>
              <w:t>Empowering the next generation of talent to do what’s next.</w:t>
            </w:r>
          </w:p>
        </w:tc>
      </w:tr>
      <w:tr>
        <w:tc>
          <w:tcPr>
            <w:tcW w:type="dxa" w:w="5040"/>
            <w:vAlign w:val="center"/>
            <w:shd w:fill="EAF2F8"/>
          </w:tcPr>
          <w:p>
            <w:r/>
            <w:r>
              <w:rPr>
                <w:rFonts w:ascii="Aptos" w:hAnsi="Aptos"/>
                <w:b/>
                <w:sz w:val="20"/>
              </w:rPr>
              <w:t>Core brand idea</w:t>
            </w:r>
          </w:p>
        </w:tc>
        <w:tc>
          <w:tcPr>
            <w:tcW w:type="dxa" w:w="5040"/>
            <w:vAlign w:val="center"/>
          </w:tcPr>
          <w:p>
            <w:r/>
            <w:r>
              <w:rPr>
                <w:rFonts w:ascii="Aptos" w:hAnsi="Aptos"/>
                <w:b w:val="0"/>
                <w:sz w:val="20"/>
              </w:rPr>
              <w:t>What’s Next</w:t>
            </w:r>
          </w:p>
        </w:tc>
      </w:tr>
      <w:tr>
        <w:tc>
          <w:tcPr>
            <w:tcW w:type="dxa" w:w="5040"/>
            <w:vAlign w:val="center"/>
            <w:shd w:fill="EAF2F8"/>
          </w:tcPr>
          <w:p>
            <w:r/>
            <w:r>
              <w:rPr>
                <w:rFonts w:ascii="Aptos" w:hAnsi="Aptos"/>
                <w:b/>
                <w:sz w:val="20"/>
              </w:rPr>
              <w:t>Purpose</w:t>
            </w:r>
          </w:p>
        </w:tc>
        <w:tc>
          <w:tcPr>
            <w:tcW w:type="dxa" w:w="5040"/>
            <w:vAlign w:val="center"/>
          </w:tcPr>
          <w:p>
            <w:r/>
            <w:r>
              <w:rPr>
                <w:rFonts w:ascii="Aptos" w:hAnsi="Aptos"/>
                <w:b w:val="0"/>
                <w:sz w:val="20"/>
              </w:rPr>
              <w:t>Make people ready for what comes next.</w:t>
            </w:r>
          </w:p>
        </w:tc>
      </w:tr>
      <w:tr>
        <w:tc>
          <w:tcPr>
            <w:tcW w:type="dxa" w:w="5040"/>
            <w:vAlign w:val="center"/>
            <w:shd w:fill="EAF2F8"/>
          </w:tcPr>
          <w:p>
            <w:r/>
            <w:r>
              <w:rPr>
                <w:rFonts w:ascii="Aptos" w:hAnsi="Aptos"/>
                <w:b/>
                <w:sz w:val="20"/>
              </w:rPr>
              <w:t>Mission</w:t>
            </w:r>
          </w:p>
        </w:tc>
        <w:tc>
          <w:tcPr>
            <w:tcW w:type="dxa" w:w="5040"/>
            <w:vAlign w:val="center"/>
          </w:tcPr>
          <w:p>
            <w:r/>
            <w:r>
              <w:rPr>
                <w:rFonts w:ascii="Aptos" w:hAnsi="Aptos"/>
                <w:b w:val="0"/>
                <w:sz w:val="20"/>
              </w:rPr>
              <w:t>Equip the next generation with the skills, experience and opportunities to thrive in a changing world.</w:t>
            </w:r>
          </w:p>
        </w:tc>
      </w:tr>
      <w:tr>
        <w:tc>
          <w:tcPr>
            <w:tcW w:type="dxa" w:w="5040"/>
            <w:vAlign w:val="center"/>
            <w:shd w:fill="EAF2F8"/>
          </w:tcPr>
          <w:p>
            <w:r/>
            <w:r>
              <w:rPr>
                <w:rFonts w:ascii="Aptos" w:hAnsi="Aptos"/>
                <w:b/>
                <w:sz w:val="20"/>
              </w:rPr>
              <w:t>Vision</w:t>
            </w:r>
          </w:p>
        </w:tc>
        <w:tc>
          <w:tcPr>
            <w:tcW w:type="dxa" w:w="5040"/>
            <w:vAlign w:val="center"/>
          </w:tcPr>
          <w:p>
            <w:r/>
            <w:r>
              <w:rPr>
                <w:rFonts w:ascii="Aptos" w:hAnsi="Aptos"/>
                <w:b w:val="0"/>
                <w:sz w:val="20"/>
              </w:rPr>
              <w:t>A world where everyone has the ability and opportunity to shape what comes next.</w:t>
            </w:r>
          </w:p>
        </w:tc>
      </w:tr>
      <w:tr>
        <w:tc>
          <w:tcPr>
            <w:tcW w:type="dxa" w:w="5040"/>
            <w:vAlign w:val="center"/>
            <w:shd w:fill="EAF2F8"/>
          </w:tcPr>
          <w:p>
            <w:r/>
            <w:r>
              <w:rPr>
                <w:rFonts w:ascii="Aptos" w:hAnsi="Aptos"/>
                <w:b/>
                <w:sz w:val="20"/>
              </w:rPr>
              <w:t>Philosophy</w:t>
            </w:r>
          </w:p>
        </w:tc>
        <w:tc>
          <w:tcPr>
            <w:tcW w:type="dxa" w:w="5040"/>
            <w:vAlign w:val="center"/>
          </w:tcPr>
          <w:p>
            <w:r/>
            <w:r>
              <w:rPr>
                <w:rFonts w:ascii="Aptos" w:hAnsi="Aptos"/>
                <w:b w:val="0"/>
                <w:sz w:val="20"/>
              </w:rPr>
              <w:t>Learn. Build. Apply. Advance.</w:t>
            </w:r>
          </w:p>
        </w:tc>
      </w:tr>
      <w:tr>
        <w:tc>
          <w:tcPr>
            <w:tcW w:type="dxa" w:w="5040"/>
            <w:vAlign w:val="center"/>
            <w:shd w:fill="EAF2F8"/>
          </w:tcPr>
          <w:p>
            <w:r/>
            <w:r>
              <w:rPr>
                <w:rFonts w:ascii="Aptos" w:hAnsi="Aptos"/>
                <w:b/>
                <w:sz w:val="20"/>
              </w:rPr>
              <w:t>Values</w:t>
            </w:r>
          </w:p>
        </w:tc>
        <w:tc>
          <w:tcPr>
            <w:tcW w:type="dxa" w:w="5040"/>
            <w:vAlign w:val="center"/>
          </w:tcPr>
          <w:p>
            <w:r/>
            <w:r>
              <w:rPr>
                <w:rFonts w:ascii="Aptos" w:hAnsi="Aptos"/>
                <w:b w:val="0"/>
                <w:sz w:val="20"/>
              </w:rPr>
              <w:t>Curiosity. Ownership. Practicality. Adaptability. Impact.</w:t>
            </w:r>
          </w:p>
        </w:tc>
      </w:tr>
      <w:tr>
        <w:tc>
          <w:tcPr>
            <w:tcW w:type="dxa" w:w="5040"/>
            <w:vAlign w:val="center"/>
            <w:shd w:fill="EAF2F8"/>
          </w:tcPr>
          <w:p>
            <w:r/>
            <w:r>
              <w:rPr>
                <w:rFonts w:ascii="Aptos" w:hAnsi="Aptos"/>
                <w:b/>
                <w:sz w:val="20"/>
              </w:rPr>
              <w:t>Brand promise</w:t>
            </w:r>
          </w:p>
        </w:tc>
        <w:tc>
          <w:tcPr>
            <w:tcW w:type="dxa" w:w="5040"/>
            <w:vAlign w:val="center"/>
          </w:tcPr>
          <w:p>
            <w:r/>
            <w:r>
              <w:rPr>
                <w:rFonts w:ascii="Aptos" w:hAnsi="Aptos"/>
                <w:b w:val="0"/>
                <w:sz w:val="20"/>
              </w:rPr>
              <w:t>We don’t just prepare people for today’s opportunities. We prepare them for what comes next.</w:t>
            </w:r>
          </w:p>
        </w:tc>
      </w:tr>
      <w:tr>
        <w:tc>
          <w:tcPr>
            <w:tcW w:type="dxa" w:w="5040"/>
            <w:vAlign w:val="center"/>
            <w:shd w:fill="EAF2F8"/>
          </w:tcPr>
          <w:p>
            <w:r/>
            <w:r>
              <w:rPr>
                <w:rFonts w:ascii="Aptos" w:hAnsi="Aptos"/>
                <w:b/>
                <w:sz w:val="20"/>
              </w:rPr>
              <w:t>Motto</w:t>
            </w:r>
          </w:p>
        </w:tc>
        <w:tc>
          <w:tcPr>
            <w:tcW w:type="dxa" w:w="5040"/>
            <w:vAlign w:val="center"/>
          </w:tcPr>
          <w:p>
            <w:r/>
            <w:r>
              <w:rPr>
                <w:rFonts w:ascii="Aptos" w:hAnsi="Aptos"/>
                <w:b w:val="0"/>
                <w:sz w:val="20"/>
              </w:rPr>
              <w:t>Learn What’s Next. Build What’s Next.</w:t>
            </w:r>
          </w:p>
        </w:tc>
      </w:tr>
    </w:tbl>
    <w:p/>
    <w:p>
      <w:pPr>
        <w:pStyle w:val="Heading1"/>
      </w:pPr>
      <w:r>
        <w:t>2. What Aflanex Stands For</w:t>
      </w:r>
    </w:p>
    <w:p>
      <w:r>
        <w:t>Aflanex is a next-generation talent and learning platform built around one central idea: What’s Next.</w:t>
      </w:r>
    </w:p>
    <w:p>
      <w:r>
        <w:t>It is not positioned simply as a place to consume courses. Aflanex exists to help people develop relevant skills, apply those skills to real-world challenges, adapt to change, and move towards meaningful opportunities.</w:t>
      </w:r>
    </w:p>
    <w:p>
      <w:r>
        <w:t>The name Aflanex is treated as an ownable brand rather than a literal acronym. Its meaning is built through the company’s mission, products, community and outcomes. “Nex” naturally reinforces the ideas of next, future, progression and possibility.</w:t>
      </w:r>
    </w:p>
    <w:p>
      <w:pPr>
        <w:pStyle w:val="Heading1"/>
      </w:pPr>
      <w:r>
        <w:t>3. The “What’s Next” Brand Philosophy</w:t>
      </w:r>
    </w:p>
    <w:p>
      <w:r>
        <w:rPr>
          <w:b/>
        </w:rPr>
        <w:t>Learn What’s Next</w:t>
      </w:r>
      <w:r>
        <w:t xml:space="preserve"> — Develop relevant knowledge and skills for emerging technologies, careers and industries.</w:t>
      </w:r>
    </w:p>
    <w:p>
      <w:r>
        <w:rPr>
          <w:b/>
        </w:rPr>
        <w:t>Build What’s Next</w:t>
      </w:r>
      <w:r>
        <w:t xml:space="preserve"> — Turn learning into projects, products, portfolios and practical capability.</w:t>
      </w:r>
    </w:p>
    <w:p>
      <w:r>
        <w:rPr>
          <w:b/>
        </w:rPr>
        <w:t>Work in What’s Next</w:t>
      </w:r>
      <w:r>
        <w:t xml:space="preserve"> — Prepare for new forms of work, digital careers, entrepreneurship and evolving workplaces.</w:t>
      </w:r>
    </w:p>
    <w:p>
      <w:r>
        <w:rPr>
          <w:b/>
        </w:rPr>
        <w:t>Create What’s Next</w:t>
      </w:r>
      <w:r>
        <w:t xml:space="preserve"> — Encourage innovation, problem-solving and the creation of new solutions and opportunities.</w:t>
      </w:r>
    </w:p>
    <w:p>
      <w:r>
        <w:rPr>
          <w:b/>
        </w:rPr>
        <w:t>Lead What’s Next</w:t>
      </w:r>
      <w:r>
        <w:t xml:space="preserve"> — Develop confident, adaptable people who can influence teams, organisations, industries and communities.</w:t>
      </w:r>
    </w:p>
    <w:p>
      <w:pPr>
        <w:pStyle w:val="Heading1"/>
      </w:pPr>
      <w:r>
        <w:t>4. Brand Foundation</w:t>
      </w:r>
    </w:p>
    <w:p>
      <w:pPr>
        <w:pStyle w:val="Heading2"/>
      </w:pPr>
      <w:r>
        <w:t>Purpose</w:t>
      </w:r>
    </w:p>
    <w:p>
      <w:r>
        <w:t>Make people ready for what comes next.</w:t>
      </w:r>
    </w:p>
    <w:p>
      <w:pPr>
        <w:pStyle w:val="Heading2"/>
      </w:pPr>
      <w:r>
        <w:t>Mission</w:t>
      </w:r>
    </w:p>
    <w:p>
      <w:r>
        <w:t>Equip the next generation with the skills, experience and opportunities to thrive in a changing world.</w:t>
      </w:r>
    </w:p>
    <w:p>
      <w:pPr>
        <w:pStyle w:val="Heading2"/>
      </w:pPr>
      <w:r>
        <w:t>Vision</w:t>
      </w:r>
    </w:p>
    <w:p>
      <w:r>
        <w:t>A world where everyone has the ability and opportunity to shape what comes next.</w:t>
      </w:r>
    </w:p>
    <w:p>
      <w:pPr>
        <w:pStyle w:val="Heading2"/>
      </w:pPr>
      <w:r>
        <w:t>Promise</w:t>
      </w:r>
    </w:p>
    <w:p>
      <w:r>
        <w:t>We don’t just prepare people for today’s opportunities. We prepare them for what comes next.</w:t>
      </w:r>
    </w:p>
    <w:p>
      <w:pPr>
        <w:pStyle w:val="Heading1"/>
      </w:pPr>
      <w:r>
        <w:t>5. Operating Philosophy</w:t>
      </w:r>
    </w:p>
    <w:p>
      <w:r>
        <w:rPr>
          <w:b/>
          <w:sz w:val="28"/>
        </w:rPr>
        <w:t>Learn. Build. Apply. Advance.</w:t>
      </w:r>
    </w:p>
    <w:p>
      <w:r>
        <w:rPr>
          <w:b/>
        </w:rPr>
        <w:t>Learn</w:t>
      </w:r>
      <w:r>
        <w:t xml:space="preserve"> — Gain practical and relevant knowledge.</w:t>
      </w:r>
    </w:p>
    <w:p>
      <w:r>
        <w:rPr>
          <w:b/>
        </w:rPr>
        <w:t>Build</w:t>
      </w:r>
      <w:r>
        <w:t xml:space="preserve"> — Create projects and evidence of capability.</w:t>
      </w:r>
    </w:p>
    <w:p>
      <w:r>
        <w:rPr>
          <w:b/>
        </w:rPr>
        <w:t>Apply</w:t>
      </w:r>
      <w:r>
        <w:t xml:space="preserve"> — Use skills in realistic work, business or community contexts.</w:t>
      </w:r>
    </w:p>
    <w:p>
      <w:r>
        <w:rPr>
          <w:b/>
        </w:rPr>
        <w:t>Advance</w:t>
      </w:r>
      <w:r>
        <w:t xml:space="preserve"> — Move towards employment, entrepreneurship, further learning, leadership or new opportunities.</w:t>
      </w:r>
    </w:p>
    <w:p>
      <w:pPr>
        <w:pStyle w:val="Heading1"/>
      </w:pPr>
      <w:r>
        <w:t>6. Brand Values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ptos" w:hAnsi="Aptos"/>
                <w:b/>
                <w:sz w:val="20"/>
              </w:rPr>
              <w:t>Value</w:t>
            </w:r>
          </w:p>
        </w:tc>
        <w:tc>
          <w:tcPr>
            <w:tcW w:type="dxa" w:w="5040"/>
            <w:vAlign w:val="center"/>
            <w:shd w:fill="EAF2F8"/>
          </w:tcPr>
          <w:p>
            <w:r/>
            <w:r>
              <w:rPr>
                <w:rFonts w:ascii="Aptos" w:hAnsi="Aptos"/>
                <w:b/>
                <w:sz w:val="20"/>
              </w:rPr>
              <w:t>What it means</w:t>
            </w:r>
          </w:p>
        </w:tc>
      </w:tr>
      <w:tr>
        <w:tc>
          <w:tcPr>
            <w:tcW w:type="dxa" w:w="5040"/>
            <w:vAlign w:val="center"/>
          </w:tcPr>
          <w:p>
            <w:r/>
            <w:r>
              <w:rPr>
                <w:rFonts w:ascii="Aptos" w:hAnsi="Aptos"/>
                <w:b/>
                <w:sz w:val="20"/>
              </w:rPr>
              <w:t>Curiosity</w:t>
            </w:r>
          </w:p>
        </w:tc>
        <w:tc>
          <w:tcPr>
            <w:tcW w:type="dxa" w:w="5040"/>
            <w:vAlign w:val="center"/>
          </w:tcPr>
          <w:p>
            <w:r/>
            <w:r>
              <w:rPr>
                <w:rFonts w:ascii="Aptos" w:hAnsi="Aptos"/>
                <w:b w:val="0"/>
                <w:sz w:val="20"/>
              </w:rPr>
              <w:t>Stay hungry to learn, question, explore and understand.</w:t>
            </w:r>
          </w:p>
        </w:tc>
      </w:tr>
      <w:tr>
        <w:tc>
          <w:tcPr>
            <w:tcW w:type="dxa" w:w="5040"/>
            <w:vAlign w:val="center"/>
          </w:tcPr>
          <w:p>
            <w:r/>
            <w:r>
              <w:rPr>
                <w:rFonts w:ascii="Aptos" w:hAnsi="Aptos"/>
                <w:b/>
                <w:sz w:val="20"/>
              </w:rPr>
              <w:t>Ownership</w:t>
            </w:r>
          </w:p>
        </w:tc>
        <w:tc>
          <w:tcPr>
            <w:tcW w:type="dxa" w:w="5040"/>
            <w:vAlign w:val="center"/>
          </w:tcPr>
          <w:p>
            <w:r/>
            <w:r>
              <w:rPr>
                <w:rFonts w:ascii="Aptos" w:hAnsi="Aptos"/>
                <w:b w:val="0"/>
                <w:sz w:val="20"/>
              </w:rPr>
              <w:t>Take responsibility for growth, work and outcomes.</w:t>
            </w:r>
          </w:p>
        </w:tc>
      </w:tr>
      <w:tr>
        <w:tc>
          <w:tcPr>
            <w:tcW w:type="dxa" w:w="5040"/>
            <w:vAlign w:val="center"/>
          </w:tcPr>
          <w:p>
            <w:r/>
            <w:r>
              <w:rPr>
                <w:rFonts w:ascii="Aptos" w:hAnsi="Aptos"/>
                <w:b/>
                <w:sz w:val="20"/>
              </w:rPr>
              <w:t>Practicality</w:t>
            </w:r>
          </w:p>
        </w:tc>
        <w:tc>
          <w:tcPr>
            <w:tcW w:type="dxa" w:w="5040"/>
            <w:vAlign w:val="center"/>
          </w:tcPr>
          <w:p>
            <w:r/>
            <w:r>
              <w:rPr>
                <w:rFonts w:ascii="Aptos" w:hAnsi="Aptos"/>
                <w:b w:val="0"/>
                <w:sz w:val="20"/>
              </w:rPr>
              <w:t>Prefer useful skills, real projects and real-world application.</w:t>
            </w:r>
          </w:p>
        </w:tc>
      </w:tr>
      <w:tr>
        <w:tc>
          <w:tcPr>
            <w:tcW w:type="dxa" w:w="5040"/>
            <w:vAlign w:val="center"/>
          </w:tcPr>
          <w:p>
            <w:r/>
            <w:r>
              <w:rPr>
                <w:rFonts w:ascii="Aptos" w:hAnsi="Aptos"/>
                <w:b/>
                <w:sz w:val="20"/>
              </w:rPr>
              <w:t>Adaptability</w:t>
            </w:r>
          </w:p>
        </w:tc>
        <w:tc>
          <w:tcPr>
            <w:tcW w:type="dxa" w:w="5040"/>
            <w:vAlign w:val="center"/>
          </w:tcPr>
          <w:p>
            <w:r/>
            <w:r>
              <w:rPr>
                <w:rFonts w:ascii="Aptos" w:hAnsi="Aptos"/>
                <w:b w:val="0"/>
                <w:sz w:val="20"/>
              </w:rPr>
              <w:t>Stay ready to learn, unlearn and adjust as the world changes.</w:t>
            </w:r>
          </w:p>
        </w:tc>
      </w:tr>
      <w:tr>
        <w:tc>
          <w:tcPr>
            <w:tcW w:type="dxa" w:w="5040"/>
            <w:vAlign w:val="center"/>
          </w:tcPr>
          <w:p>
            <w:r/>
            <w:r>
              <w:rPr>
                <w:rFonts w:ascii="Aptos" w:hAnsi="Aptos"/>
                <w:b/>
                <w:sz w:val="20"/>
              </w:rPr>
              <w:t>Impact</w:t>
            </w:r>
          </w:p>
        </w:tc>
        <w:tc>
          <w:tcPr>
            <w:tcW w:type="dxa" w:w="5040"/>
            <w:vAlign w:val="center"/>
          </w:tcPr>
          <w:p>
            <w:r/>
            <w:r>
              <w:rPr>
                <w:rFonts w:ascii="Aptos" w:hAnsi="Aptos"/>
                <w:b w:val="0"/>
                <w:sz w:val="20"/>
              </w:rPr>
              <w:t>Use talent to create meaningful value for people, organisations and communities.</w:t>
            </w:r>
          </w:p>
        </w:tc>
      </w:tr>
    </w:tbl>
    <w:p>
      <w:pPr>
        <w:pStyle w:val="Heading1"/>
      </w:pPr>
      <w:r>
        <w:t>7. Brand Architecture</w:t>
      </w:r>
    </w:p>
    <w:p>
      <w:r>
        <w:t>Aflanex is the master brand. Future products and business lines should reinforce the same “What’s Next” idea while serving distinct user needs.</w:t>
      </w:r>
    </w:p>
    <w:tbl>
      <w:tblPr>
        <w:tblStyle w:val="TableGrid"/>
        <w:tblW w:type="auto" w:w="0"/>
        <w:tblLook w:firstColumn="1" w:firstRow="1" w:lastColumn="0" w:lastRow="0" w:noHBand="0" w:noVBand="1" w:val="04A0"/>
      </w:tblPr>
      <w:tblGrid>
        <w:gridCol w:w="5040"/>
        <w:gridCol w:w="5040"/>
      </w:tblGrid>
      <w:tr>
        <w:tc>
          <w:tcPr>
            <w:tcW w:type="dxa" w:w="5040"/>
            <w:vAlign w:val="center"/>
            <w:shd w:fill="EAF2F8"/>
          </w:tcPr>
          <w:p>
            <w:r/>
            <w:r>
              <w:rPr>
                <w:rFonts w:ascii="Aptos" w:hAnsi="Aptos"/>
                <w:b/>
                <w:sz w:val="20"/>
              </w:rPr>
              <w:t>Brand line</w:t>
            </w:r>
          </w:p>
        </w:tc>
        <w:tc>
          <w:tcPr>
            <w:tcW w:type="dxa" w:w="5040"/>
            <w:vAlign w:val="center"/>
            <w:shd w:fill="EAF2F8"/>
          </w:tcPr>
          <w:p>
            <w:r/>
            <w:r>
              <w:rPr>
                <w:rFonts w:ascii="Aptos" w:hAnsi="Aptos"/>
                <w:b/>
                <w:sz w:val="20"/>
              </w:rPr>
              <w:t>Role</w:t>
            </w:r>
          </w:p>
        </w:tc>
      </w:tr>
      <w:tr>
        <w:tc>
          <w:tcPr>
            <w:tcW w:type="dxa" w:w="5040"/>
            <w:vAlign w:val="center"/>
          </w:tcPr>
          <w:p>
            <w:r/>
            <w:r>
              <w:rPr>
                <w:rFonts w:ascii="Aptos" w:hAnsi="Aptos"/>
                <w:b/>
                <w:sz w:val="20"/>
              </w:rPr>
              <w:t>Aflanex Learn</w:t>
            </w:r>
          </w:p>
        </w:tc>
        <w:tc>
          <w:tcPr>
            <w:tcW w:type="dxa" w:w="5040"/>
            <w:vAlign w:val="center"/>
          </w:tcPr>
          <w:p>
            <w:r/>
            <w:r>
              <w:rPr>
                <w:rFonts w:ascii="Aptos" w:hAnsi="Aptos"/>
                <w:b w:val="0"/>
                <w:sz w:val="20"/>
              </w:rPr>
              <w:t>Learning programmes, courses and pathways.</w:t>
            </w:r>
          </w:p>
        </w:tc>
      </w:tr>
      <w:tr>
        <w:tc>
          <w:tcPr>
            <w:tcW w:type="dxa" w:w="5040"/>
            <w:vAlign w:val="center"/>
          </w:tcPr>
          <w:p>
            <w:r/>
            <w:r>
              <w:rPr>
                <w:rFonts w:ascii="Aptos" w:hAnsi="Aptos"/>
                <w:b/>
                <w:sz w:val="20"/>
              </w:rPr>
              <w:t>Aflanex AI</w:t>
            </w:r>
          </w:p>
        </w:tc>
        <w:tc>
          <w:tcPr>
            <w:tcW w:type="dxa" w:w="5040"/>
            <w:vAlign w:val="center"/>
          </w:tcPr>
          <w:p>
            <w:r/>
            <w:r>
              <w:rPr>
                <w:rFonts w:ascii="Aptos" w:hAnsi="Aptos"/>
                <w:b w:val="0"/>
                <w:sz w:val="20"/>
              </w:rPr>
              <w:t>AI literacy, AI skills and AI-focused learning experiences.</w:t>
            </w:r>
          </w:p>
        </w:tc>
      </w:tr>
      <w:tr>
        <w:tc>
          <w:tcPr>
            <w:tcW w:type="dxa" w:w="5040"/>
            <w:vAlign w:val="center"/>
          </w:tcPr>
          <w:p>
            <w:r/>
            <w:r>
              <w:rPr>
                <w:rFonts w:ascii="Aptos" w:hAnsi="Aptos"/>
                <w:b/>
                <w:sz w:val="20"/>
              </w:rPr>
              <w:t>Aflanex for Work</w:t>
            </w:r>
          </w:p>
        </w:tc>
        <w:tc>
          <w:tcPr>
            <w:tcW w:type="dxa" w:w="5040"/>
            <w:vAlign w:val="center"/>
          </w:tcPr>
          <w:p>
            <w:r/>
            <w:r>
              <w:rPr>
                <w:rFonts w:ascii="Aptos" w:hAnsi="Aptos"/>
                <w:b w:val="0"/>
                <w:sz w:val="20"/>
              </w:rPr>
              <w:t>Workforce upskilling, team learning and organisational capability building.</w:t>
            </w:r>
          </w:p>
        </w:tc>
      </w:tr>
      <w:tr>
        <w:tc>
          <w:tcPr>
            <w:tcW w:type="dxa" w:w="5040"/>
            <w:vAlign w:val="center"/>
          </w:tcPr>
          <w:p>
            <w:r/>
            <w:r>
              <w:rPr>
                <w:rFonts w:ascii="Aptos" w:hAnsi="Aptos"/>
                <w:b/>
                <w:sz w:val="20"/>
              </w:rPr>
              <w:t>Aflanex Talent</w:t>
            </w:r>
          </w:p>
        </w:tc>
        <w:tc>
          <w:tcPr>
            <w:tcW w:type="dxa" w:w="5040"/>
            <w:vAlign w:val="center"/>
          </w:tcPr>
          <w:p>
            <w:r/>
            <w:r>
              <w:rPr>
                <w:rFonts w:ascii="Aptos" w:hAnsi="Aptos"/>
                <w:b w:val="0"/>
                <w:sz w:val="20"/>
              </w:rPr>
              <w:t>Talent discovery, employability, career pathways and opportunity.</w:t>
            </w:r>
          </w:p>
        </w:tc>
      </w:tr>
      <w:tr>
        <w:tc>
          <w:tcPr>
            <w:tcW w:type="dxa" w:w="5040"/>
            <w:vAlign w:val="center"/>
          </w:tcPr>
          <w:p>
            <w:r/>
            <w:r>
              <w:rPr>
                <w:rFonts w:ascii="Aptos" w:hAnsi="Aptos"/>
                <w:b/>
                <w:sz w:val="20"/>
              </w:rPr>
              <w:t>Aflanex Labs</w:t>
            </w:r>
          </w:p>
        </w:tc>
        <w:tc>
          <w:tcPr>
            <w:tcW w:type="dxa" w:w="5040"/>
            <w:vAlign w:val="center"/>
          </w:tcPr>
          <w:p>
            <w:r/>
            <w:r>
              <w:rPr>
                <w:rFonts w:ascii="Aptos" w:hAnsi="Aptos"/>
                <w:b w:val="0"/>
                <w:sz w:val="20"/>
              </w:rPr>
              <w:t>Innovation, projects, experimentation and entrepreneurship.</w:t>
            </w:r>
          </w:p>
        </w:tc>
      </w:tr>
      <w:tr>
        <w:tc>
          <w:tcPr>
            <w:tcW w:type="dxa" w:w="5040"/>
            <w:vAlign w:val="center"/>
          </w:tcPr>
          <w:p>
            <w:r/>
            <w:r>
              <w:rPr>
                <w:rFonts w:ascii="Aptos" w:hAnsi="Aptos"/>
                <w:b/>
                <w:sz w:val="20"/>
              </w:rPr>
              <w:t>Aflanex Community</w:t>
            </w:r>
          </w:p>
        </w:tc>
        <w:tc>
          <w:tcPr>
            <w:tcW w:type="dxa" w:w="5040"/>
            <w:vAlign w:val="center"/>
          </w:tcPr>
          <w:p>
            <w:r/>
            <w:r>
              <w:rPr>
                <w:rFonts w:ascii="Aptos" w:hAnsi="Aptos"/>
                <w:b w:val="0"/>
                <w:sz w:val="20"/>
              </w:rPr>
              <w:t>Peer learning, networking, collaboration and belonging.</w:t>
            </w:r>
          </w:p>
        </w:tc>
      </w:tr>
    </w:tbl>
    <w:p>
      <w:pPr>
        <w:pStyle w:val="Heading1"/>
      </w:pPr>
      <w:r>
        <w:t>8. Core Messaging System</w:t>
      </w:r>
    </w:p>
    <w:tbl>
      <w:tblPr>
        <w:tblStyle w:val="TableGrid"/>
        <w:tblW w:type="auto" w:w="0"/>
        <w:tblLook w:firstColumn="1" w:firstRow="1" w:lastColumn="0" w:lastRow="0" w:noHBand="0" w:noVBand="1" w:val="04A0"/>
      </w:tblPr>
      <w:tblGrid>
        <w:gridCol w:w="5040"/>
        <w:gridCol w:w="5040"/>
      </w:tblGrid>
      <w:tr>
        <w:tc>
          <w:tcPr>
            <w:tcW w:type="dxa" w:w="5040"/>
            <w:vAlign w:val="center"/>
            <w:shd w:fill="EAF2F8"/>
          </w:tcPr>
          <w:p>
            <w:r/>
            <w:r>
              <w:rPr>
                <w:rFonts w:ascii="Aptos" w:hAnsi="Aptos"/>
                <w:b/>
                <w:sz w:val="20"/>
              </w:rPr>
              <w:t>Element</w:t>
            </w:r>
          </w:p>
        </w:tc>
        <w:tc>
          <w:tcPr>
            <w:tcW w:type="dxa" w:w="5040"/>
            <w:vAlign w:val="center"/>
            <w:shd w:fill="EAF2F8"/>
          </w:tcPr>
          <w:p>
            <w:r/>
            <w:r>
              <w:rPr>
                <w:rFonts w:ascii="Aptos" w:hAnsi="Aptos"/>
                <w:b/>
                <w:sz w:val="20"/>
              </w:rPr>
              <w:t>Approved direction</w:t>
            </w:r>
          </w:p>
        </w:tc>
      </w:tr>
      <w:tr>
        <w:tc>
          <w:tcPr>
            <w:tcW w:type="dxa" w:w="5040"/>
            <w:vAlign w:val="center"/>
          </w:tcPr>
          <w:p>
            <w:r/>
            <w:r>
              <w:rPr>
                <w:rFonts w:ascii="Aptos" w:hAnsi="Aptos"/>
                <w:b/>
                <w:sz w:val="20"/>
              </w:rPr>
              <w:t>Master brand</w:t>
            </w:r>
          </w:p>
        </w:tc>
        <w:tc>
          <w:tcPr>
            <w:tcW w:type="dxa" w:w="5040"/>
            <w:vAlign w:val="center"/>
          </w:tcPr>
          <w:p>
            <w:r/>
            <w:r>
              <w:rPr>
                <w:rFonts w:ascii="Aptos" w:hAnsi="Aptos"/>
                <w:b w:val="0"/>
                <w:sz w:val="20"/>
              </w:rPr>
              <w:t>Aflanex</w:t>
            </w:r>
          </w:p>
        </w:tc>
      </w:tr>
      <w:tr>
        <w:tc>
          <w:tcPr>
            <w:tcW w:type="dxa" w:w="5040"/>
            <w:vAlign w:val="center"/>
          </w:tcPr>
          <w:p>
            <w:r/>
            <w:r>
              <w:rPr>
                <w:rFonts w:ascii="Aptos" w:hAnsi="Aptos"/>
                <w:b/>
                <w:sz w:val="20"/>
              </w:rPr>
              <w:t>Primary statement</w:t>
            </w:r>
          </w:p>
        </w:tc>
        <w:tc>
          <w:tcPr>
            <w:tcW w:type="dxa" w:w="5040"/>
            <w:vAlign w:val="center"/>
          </w:tcPr>
          <w:p>
            <w:r/>
            <w:r>
              <w:rPr>
                <w:rFonts w:ascii="Aptos" w:hAnsi="Aptos"/>
                <w:b w:val="0"/>
                <w:sz w:val="20"/>
              </w:rPr>
              <w:t>Empowering the next generation of talent to do what’s next.</w:t>
            </w:r>
          </w:p>
        </w:tc>
      </w:tr>
      <w:tr>
        <w:tc>
          <w:tcPr>
            <w:tcW w:type="dxa" w:w="5040"/>
            <w:vAlign w:val="center"/>
          </w:tcPr>
          <w:p>
            <w:r/>
            <w:r>
              <w:rPr>
                <w:rFonts w:ascii="Aptos" w:hAnsi="Aptos"/>
                <w:b/>
                <w:sz w:val="20"/>
              </w:rPr>
              <w:t>Motto</w:t>
            </w:r>
          </w:p>
        </w:tc>
        <w:tc>
          <w:tcPr>
            <w:tcW w:type="dxa" w:w="5040"/>
            <w:vAlign w:val="center"/>
          </w:tcPr>
          <w:p>
            <w:r/>
            <w:r>
              <w:rPr>
                <w:rFonts w:ascii="Aptos" w:hAnsi="Aptos"/>
                <w:b w:val="0"/>
                <w:sz w:val="20"/>
              </w:rPr>
              <w:t>Learn What’s Next. Build What’s Next.</w:t>
            </w:r>
          </w:p>
        </w:tc>
      </w:tr>
      <w:tr>
        <w:tc>
          <w:tcPr>
            <w:tcW w:type="dxa" w:w="5040"/>
            <w:vAlign w:val="center"/>
          </w:tcPr>
          <w:p>
            <w:r/>
            <w:r>
              <w:rPr>
                <w:rFonts w:ascii="Aptos" w:hAnsi="Aptos"/>
                <w:b/>
                <w:sz w:val="20"/>
              </w:rPr>
              <w:t>Core idea</w:t>
            </w:r>
          </w:p>
        </w:tc>
        <w:tc>
          <w:tcPr>
            <w:tcW w:type="dxa" w:w="5040"/>
            <w:vAlign w:val="center"/>
          </w:tcPr>
          <w:p>
            <w:r/>
            <w:r>
              <w:rPr>
                <w:rFonts w:ascii="Aptos" w:hAnsi="Aptos"/>
                <w:b w:val="0"/>
                <w:sz w:val="20"/>
              </w:rPr>
              <w:t>What’s Next</w:t>
            </w:r>
          </w:p>
        </w:tc>
      </w:tr>
      <w:tr>
        <w:tc>
          <w:tcPr>
            <w:tcW w:type="dxa" w:w="5040"/>
            <w:vAlign w:val="center"/>
          </w:tcPr>
          <w:p>
            <w:r/>
            <w:r>
              <w:rPr>
                <w:rFonts w:ascii="Aptos" w:hAnsi="Aptos"/>
                <w:b/>
                <w:sz w:val="20"/>
              </w:rPr>
              <w:t>Short verbal cue</w:t>
            </w:r>
          </w:p>
        </w:tc>
        <w:tc>
          <w:tcPr>
            <w:tcW w:type="dxa" w:w="5040"/>
            <w:vAlign w:val="center"/>
          </w:tcPr>
          <w:p>
            <w:r/>
            <w:r>
              <w:rPr>
                <w:rFonts w:ascii="Aptos" w:hAnsi="Aptos"/>
                <w:b w:val="0"/>
                <w:sz w:val="20"/>
              </w:rPr>
              <w:t>What’s Next.</w:t>
            </w:r>
          </w:p>
        </w:tc>
      </w:tr>
      <w:tr>
        <w:tc>
          <w:tcPr>
            <w:tcW w:type="dxa" w:w="5040"/>
            <w:vAlign w:val="center"/>
          </w:tcPr>
          <w:p>
            <w:r/>
            <w:r>
              <w:rPr>
                <w:rFonts w:ascii="Aptos" w:hAnsi="Aptos"/>
                <w:b/>
                <w:sz w:val="20"/>
              </w:rPr>
              <w:t>Proof direction</w:t>
            </w:r>
          </w:p>
        </w:tc>
        <w:tc>
          <w:tcPr>
            <w:tcW w:type="dxa" w:w="5040"/>
            <w:vAlign w:val="center"/>
          </w:tcPr>
          <w:p>
            <w:r/>
            <w:r>
              <w:rPr>
                <w:rFonts w:ascii="Aptos" w:hAnsi="Aptos"/>
                <w:b w:val="0"/>
                <w:sz w:val="20"/>
              </w:rPr>
              <w:t>Practical skills + real projects + real-world application + pathways to opportunity.</w:t>
            </w:r>
          </w:p>
        </w:tc>
      </w:tr>
    </w:tbl>
    <w:p>
      <w:pPr>
        <w:pStyle w:val="Heading1"/>
      </w:pPr>
      <w:r>
        <w:t>9. Brand Voice &amp; Language</w:t>
      </w:r>
    </w:p>
    <w:p>
      <w:r>
        <w:rPr>
          <w:b/>
        </w:rPr>
        <w:t>Ambitious, not corporate</w:t>
      </w:r>
      <w:r>
        <w:t xml:space="preserve"> — Talk about possibility, progress and outcomes.</w:t>
      </w:r>
    </w:p>
    <w:p>
      <w:r>
        <w:rPr>
          <w:b/>
        </w:rPr>
        <w:t>Practical, not theoretical</w:t>
      </w:r>
      <w:r>
        <w:t xml:space="preserve"> — Show what people will build, do and achieve.</w:t>
      </w:r>
    </w:p>
    <w:p>
      <w:r>
        <w:rPr>
          <w:b/>
        </w:rPr>
        <w:t>Future-facing, not hype-driven</w:t>
      </w:r>
      <w:r>
        <w:t xml:space="preserve"> — Use emerging technology confidently without making empty promises.</w:t>
      </w:r>
    </w:p>
    <w:p>
      <w:r>
        <w:rPr>
          <w:b/>
        </w:rPr>
        <w:t>Inclusive, not elitist</w:t>
      </w:r>
      <w:r>
        <w:t xml:space="preserve"> — Invite people into growth and opportunity.</w:t>
      </w:r>
    </w:p>
    <w:p>
      <w:r>
        <w:rPr>
          <w:b/>
        </w:rPr>
        <w:t>Action-oriented, not passive</w:t>
      </w:r>
      <w:r>
        <w:t xml:space="preserve"> — Prefer verbs such as learn, build, apply, create, lead, adapt and advance.</w:t>
      </w:r>
    </w:p>
    <w:p>
      <w:pPr>
        <w:pStyle w:val="Heading1"/>
      </w:pPr>
      <w:r>
        <w:t>10. How to Use the Brand Statement</w:t>
      </w:r>
    </w:p>
    <w:tbl>
      <w:tblPr>
        <w:tblStyle w:val="TableGrid"/>
        <w:tblW w:type="auto" w:w="0"/>
        <w:tblLook w:firstColumn="1" w:firstRow="1" w:lastColumn="0" w:lastRow="0" w:noHBand="0" w:noVBand="1" w:val="04A0"/>
      </w:tblPr>
      <w:tblGrid>
        <w:gridCol w:w="5040"/>
        <w:gridCol w:w="5040"/>
      </w:tblGrid>
      <w:tr>
        <w:tc>
          <w:tcPr>
            <w:tcW w:type="dxa" w:w="5040"/>
            <w:vAlign w:val="center"/>
            <w:shd w:fill="EAF2F8"/>
          </w:tcPr>
          <w:p>
            <w:r/>
            <w:r>
              <w:rPr>
                <w:rFonts w:ascii="Aptos" w:hAnsi="Aptos"/>
                <w:b/>
                <w:sz w:val="20"/>
              </w:rPr>
              <w:t>Context</w:t>
            </w:r>
          </w:p>
        </w:tc>
        <w:tc>
          <w:tcPr>
            <w:tcW w:type="dxa" w:w="5040"/>
            <w:vAlign w:val="center"/>
            <w:shd w:fill="EAF2F8"/>
          </w:tcPr>
          <w:p>
            <w:r/>
            <w:r>
              <w:rPr>
                <w:rFonts w:ascii="Aptos" w:hAnsi="Aptos"/>
                <w:b/>
                <w:sz w:val="20"/>
              </w:rPr>
              <w:t>Example</w:t>
            </w:r>
          </w:p>
        </w:tc>
      </w:tr>
      <w:tr>
        <w:tc>
          <w:tcPr>
            <w:tcW w:type="dxa" w:w="5040"/>
            <w:vAlign w:val="center"/>
          </w:tcPr>
          <w:p>
            <w:r/>
            <w:r>
              <w:rPr>
                <w:rFonts w:ascii="Aptos" w:hAnsi="Aptos"/>
                <w:b/>
                <w:sz w:val="20"/>
              </w:rPr>
              <w:t>Website hero</w:t>
            </w:r>
          </w:p>
        </w:tc>
        <w:tc>
          <w:tcPr>
            <w:tcW w:type="dxa" w:w="5040"/>
            <w:vAlign w:val="center"/>
          </w:tcPr>
          <w:p>
            <w:r/>
            <w:r>
              <w:rPr>
                <w:rFonts w:ascii="Aptos" w:hAnsi="Aptos"/>
                <w:b w:val="0"/>
                <w:sz w:val="20"/>
              </w:rPr>
              <w:t>Empowering the next generation of talent to do what’s next.</w:t>
            </w:r>
          </w:p>
        </w:tc>
      </w:tr>
      <w:tr>
        <w:tc>
          <w:tcPr>
            <w:tcW w:type="dxa" w:w="5040"/>
            <w:vAlign w:val="center"/>
          </w:tcPr>
          <w:p>
            <w:r/>
            <w:r>
              <w:rPr>
                <w:rFonts w:ascii="Aptos" w:hAnsi="Aptos"/>
                <w:b/>
                <w:sz w:val="20"/>
              </w:rPr>
              <w:t>Short brand lockup</w:t>
            </w:r>
          </w:p>
        </w:tc>
        <w:tc>
          <w:tcPr>
            <w:tcW w:type="dxa" w:w="5040"/>
            <w:vAlign w:val="center"/>
          </w:tcPr>
          <w:p>
            <w:r/>
            <w:r>
              <w:rPr>
                <w:rFonts w:ascii="Aptos" w:hAnsi="Aptos"/>
                <w:b w:val="0"/>
                <w:sz w:val="20"/>
              </w:rPr>
              <w:t>Aflanex — What’s Next.</w:t>
            </w:r>
          </w:p>
        </w:tc>
      </w:tr>
      <w:tr>
        <w:tc>
          <w:tcPr>
            <w:tcW w:type="dxa" w:w="5040"/>
            <w:vAlign w:val="center"/>
          </w:tcPr>
          <w:p>
            <w:r/>
            <w:r>
              <w:rPr>
                <w:rFonts w:ascii="Aptos" w:hAnsi="Aptos"/>
                <w:b/>
                <w:sz w:val="20"/>
              </w:rPr>
              <w:t>Campaign language</w:t>
            </w:r>
          </w:p>
        </w:tc>
        <w:tc>
          <w:tcPr>
            <w:tcW w:type="dxa" w:w="5040"/>
            <w:vAlign w:val="center"/>
          </w:tcPr>
          <w:p>
            <w:r/>
            <w:r>
              <w:rPr>
                <w:rFonts w:ascii="Aptos" w:hAnsi="Aptos"/>
                <w:b w:val="0"/>
                <w:sz w:val="20"/>
              </w:rPr>
              <w:t>Learn What’s Next. Build What’s Next.</w:t>
            </w:r>
          </w:p>
        </w:tc>
      </w:tr>
      <w:tr>
        <w:tc>
          <w:tcPr>
            <w:tcW w:type="dxa" w:w="5040"/>
            <w:vAlign w:val="center"/>
          </w:tcPr>
          <w:p>
            <w:r/>
            <w:r>
              <w:rPr>
                <w:rFonts w:ascii="Aptos" w:hAnsi="Aptos"/>
                <w:b/>
                <w:sz w:val="20"/>
              </w:rPr>
              <w:t>Programme language</w:t>
            </w:r>
          </w:p>
        </w:tc>
        <w:tc>
          <w:tcPr>
            <w:tcW w:type="dxa" w:w="5040"/>
            <w:vAlign w:val="center"/>
          </w:tcPr>
          <w:p>
            <w:r/>
            <w:r>
              <w:rPr>
                <w:rFonts w:ascii="Aptos" w:hAnsi="Aptos"/>
                <w:b w:val="0"/>
                <w:sz w:val="20"/>
              </w:rPr>
              <w:t>Prepare for what’s next.</w:t>
            </w:r>
          </w:p>
        </w:tc>
      </w:tr>
      <w:tr>
        <w:tc>
          <w:tcPr>
            <w:tcW w:type="dxa" w:w="5040"/>
            <w:vAlign w:val="center"/>
          </w:tcPr>
          <w:p>
            <w:r/>
            <w:r>
              <w:rPr>
                <w:rFonts w:ascii="Aptos" w:hAnsi="Aptos"/>
                <w:b/>
                <w:sz w:val="20"/>
              </w:rPr>
              <w:t>Community language</w:t>
            </w:r>
          </w:p>
        </w:tc>
        <w:tc>
          <w:tcPr>
            <w:tcW w:type="dxa" w:w="5040"/>
            <w:vAlign w:val="center"/>
          </w:tcPr>
          <w:p>
            <w:r/>
            <w:r>
              <w:rPr>
                <w:rFonts w:ascii="Aptos" w:hAnsi="Aptos"/>
                <w:b w:val="0"/>
                <w:sz w:val="20"/>
              </w:rPr>
              <w:t>Build what’s next together.</w:t>
            </w:r>
          </w:p>
        </w:tc>
      </w:tr>
      <w:tr>
        <w:tc>
          <w:tcPr>
            <w:tcW w:type="dxa" w:w="5040"/>
            <w:vAlign w:val="center"/>
          </w:tcPr>
          <w:p>
            <w:r/>
            <w:r>
              <w:rPr>
                <w:rFonts w:ascii="Aptos" w:hAnsi="Aptos"/>
                <w:b/>
                <w:sz w:val="20"/>
              </w:rPr>
              <w:t>Corporate language</w:t>
            </w:r>
          </w:p>
        </w:tc>
        <w:tc>
          <w:tcPr>
            <w:tcW w:type="dxa" w:w="5040"/>
            <w:vAlign w:val="center"/>
          </w:tcPr>
          <w:p>
            <w:r/>
            <w:r>
              <w:rPr>
                <w:rFonts w:ascii="Aptos" w:hAnsi="Aptos"/>
                <w:b w:val="0"/>
                <w:sz w:val="20"/>
              </w:rPr>
              <w:t>Equip your people for what’s next.</w:t>
            </w:r>
          </w:p>
        </w:tc>
      </w:tr>
    </w:tbl>
    <w:p>
      <w:pPr>
        <w:pStyle w:val="Heading1"/>
      </w:pPr>
      <w:r>
        <w:t>11. Brand Guardrails</w:t>
      </w:r>
    </w:p>
    <w:p>
      <w:pPr>
        <w:pStyle w:val="ListBullet"/>
      </w:pPr>
      <w:r>
        <w:t>Do not reduce Aflanex to “an online course platform.” The brand should communicate talent development, capability and opportunity.</w:t>
      </w:r>
    </w:p>
    <w:p>
      <w:pPr>
        <w:pStyle w:val="ListBullet"/>
      </w:pPr>
      <w:r>
        <w:t>Do not over-explain the invented name. Let the brand earn its meaning through products, outcomes and culture.</w:t>
      </w:r>
    </w:p>
    <w:p>
      <w:pPr>
        <w:pStyle w:val="ListBullet"/>
      </w:pPr>
      <w:r>
        <w:t>Use “What’s Next” as a recurring strategic idea, not as empty decoration. Products and communications should visibly connect learning to future capability.</w:t>
      </w:r>
    </w:p>
    <w:p>
      <w:pPr>
        <w:pStyle w:val="ListBullet"/>
      </w:pPr>
      <w:r>
        <w:t>Keep the brand future-facing but grounded in practical action and measurable outcomes.</w:t>
      </w:r>
    </w:p>
    <w:p>
      <w:pPr>
        <w:pStyle w:val="ListBullet"/>
      </w:pPr>
      <w:r>
        <w:t>As the platform expands, retain the same core idea even when product names, audiences and business models evolve.</w:t>
      </w:r>
    </w:p>
    <w:p>
      <w:pPr>
        <w:pStyle w:val="Heading1"/>
      </w:pPr>
      <w:r>
        <w:t>12. Brand Reference Note</w:t>
      </w:r>
    </w:p>
    <w:p>
      <w:r>
        <w:t>This document is the working master reference for Aflanex brand strategy. It should be updated deliberately as the organisation evolves, while protecting the core idea of “What’s Next.” Any future changes to the purpose, mission, vision, values, tagline or architecture should be checked against this model for consistency.</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Internal brand reference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sz w:val="16"/>
      </w:rPr>
      <w:t>AFLANEX  |  BRAND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