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9.481582641601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Soumis à tous leurs vœux, à mes désirs contraires</w:t>
      </w:r>
      <w:r w:rsidDel="00000000" w:rsidR="00000000" w:rsidRPr="00000000">
        <w:rPr>
          <w:rFonts w:ascii="Calibri" w:cs="Calibri" w:eastAsia="Calibri" w:hAnsi="Calibri"/>
          <w:sz w:val="22.079999923706055"/>
          <w:szCs w:val="22.079999923706055"/>
          <w:rtl w:val="0"/>
        </w:rPr>
        <w:t xml:space="preserve">,</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864.6239471435547"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Suis-je leur empereur seulement pour leur plaire ? »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62.9380512237549" w:lineRule="auto"/>
        <w:ind w:left="13.24798583984375" w:right="-2.8076171875" w:firstLine="9.715194702148438"/>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Dans </w:t>
      </w: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Britannicus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le Néron de </w:t>
      </w: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Racine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se plaint du hiatus qu’il perçoit entre son bonheur personnel et celui des  citoyens de Rome. Il apparaît déchiré entre sa fonction officielle qui lui commanderait de faire le bonheur de ses  sujets et son caractère de premier des citoyens- « princeps » - dont le bonheur est d’égale importance. Il semble  également hésitant sur la légitimité de l’Etat à guider son action par le souci de plaire aux citoyens.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229736328125" w:line="262.5759029388428" w:lineRule="auto"/>
        <w:ind w:left="13.24798583984375" w:right="-6.141357421875" w:firstLine="862.1952056884766"/>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Le bonheur apparaît en effet comme une pure expérience intime, quelle que soit la définition retenue par  les Anciens – « le plaisir » au sens d’Epicure et des Cyrénaïques, l’ « ataraxie » des Stoïciens – ou les Modernes – l’« utilité » de Bentham ou Mill par exemple. Le caractère fondamentalement idiosyncratique de la « vie heureuse »  souligné par la philosophie occidentale s’accomoderait donc mal de l’action de l’Etat, garant d’un intérêt général  s’appréciant à l’échelle de la collectivité, Peuple ou Nation. Il apparaît ainsi à première vue impossible de faire du  bonheur l’objet d’une « politique publique » : sa définition, sa mesure, sa possibilité matérielle et terrestre même,  pour certaines religions, semblent hors de la portée de l’action de l’Etat.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564453125" w:line="262.666654586792" w:lineRule="auto"/>
        <w:ind w:left="14.793548583984375" w:right="-4.300537109375" w:firstLine="860.6496429443359"/>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Néanmoins, l’Histoire montre que les Etats modernes ont pleinement intégré la nécessité de rendre  heureux leurs citoyens en envisageant leur bonheur, à l’ère démocratique, comme une source de légitimité. Le  paradoxe constitué par le caractère individuel du bonheur et le caractère général de l’action de l’Etat ne pouvait  dans ces conditions être résolu que par l’élévation du bonheur à l’état de généralité : si l’Etat ne pouvait ou ne  devait prétendre satisfaire les aspirations individuelles au bonheur, il pouvait à l’ « ère des foules » - selon le mot  de </w:t>
      </w: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Gustave Le Bon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 agir sur le « bonheur du Peuple », agrégat nécessairement imparfait des situations  particulières.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7313232421875" w:line="262.39514350891113" w:lineRule="auto"/>
        <w:ind w:left="7.948760986328125" w:right="-5.44921875" w:firstLine="859.3248748779297"/>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Cette fiction, ainsi que l’éventualité d’un « bonheur administré » par du « pain et des jeux », semblent  toutefois insatisfaisantes : l’identité entre le bonheur de tous et le bonheur de chacun est fuyante. Plus grave  encore, elles se traduiraient par un « bonheur normalisé » - tel que l’archétypal « rêve américain » promu dès les  années 1920 et avec plus de force pendant les Trente Glorieuses par le gouvernement – alimentant les frustrations  et trahissant ainsi son objectif premier.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4286499023438" w:line="261.85169219970703" w:lineRule="auto"/>
        <w:ind w:left="14.793548583984375" w:right="-6.092529296875" w:firstLine="860.6496429443359"/>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Dans ces conditions et avec ces limites à l’esprit, </w:t>
      </w:r>
      <w:r w:rsidDel="00000000" w:rsidR="00000000" w:rsidRPr="00000000">
        <w:rPr>
          <w:rFonts w:ascii="Calibri" w:cs="Calibri" w:eastAsia="Calibri" w:hAnsi="Calibri"/>
          <w:sz w:val="22.079999923706055"/>
          <w:szCs w:val="22.079999923706055"/>
          <w:rtl w:val="0"/>
        </w:rPr>
        <w:t xml:space="preserve">l'État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a-t-il la légitimité – au double sens de droit et  d’efficacité – pour intervenir sur ce qui touche à l’intimité même des citoyens et a peut être le caractère le plus  « apolitique » qui soit ?</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3352909088135" w:lineRule="auto"/>
        <w:ind w:left="0" w:right="-5.82763671875" w:firstLine="860.6496429443359"/>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l’origine perçu comme un obstacle sur la voie de la vie heureuse, l’Etat, à l’ère démocratique, a entendu  jouer un rôle actif pour promouvoir le « bonheur du Peuple » (I). Les limites du « bonheur administré » apparaissent  pourtant avec le passage de l’âge des foules à celui des individus. Confronté à cette individualité radicale, l’Etat  peut néanmoins devenir une « institution d’épanouissement » donnant à chacun la possibilité d’être heureux (II).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378662109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5537109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61.85266494750977" w:lineRule="auto"/>
        <w:ind w:left="14.793548583984375" w:right="-4.267578125" w:firstLine="845.8560943603516"/>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l’origine perçu comme un obstacle à la « vie heureuse », expérience intime, apolitique voire spirituelle  (A), l’Etat s’est peu à peu intéressé au bonheur du Peuple à la fois en tant que source de légitimité démocratique  qu’en tant qu’instrument de gouvernementalité (B).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228515625" w:line="262.4517059326172" w:lineRule="auto"/>
        <w:ind w:left="8.1695556640625" w:right="-6.141357421875" w:firstLine="867.2736358642578"/>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L’antiquité classique, puis le christianisme, ont constaté une hétéronomie radicale entre la sphère  publique et le bonheur intrinsèquement lié à une expérience individuelle, </w:t>
      </w:r>
      <w:r w:rsidDel="00000000" w:rsidR="00000000" w:rsidRPr="00000000">
        <w:rPr>
          <w:rFonts w:ascii="Calibri" w:cs="Calibri" w:eastAsia="Calibri" w:hAnsi="Calibri"/>
          <w:sz w:val="22.079999923706055"/>
          <w:szCs w:val="22.079999923706055"/>
          <w:rtl w:val="0"/>
        </w:rPr>
        <w:t xml:space="preserve">philosophique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ou spirituelle. </w:t>
      </w: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Sénèque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pourtant conseiller de Néron, estime dans son </w:t>
      </w: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De vita beata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que le bonheur réside essentiellement hors de la cité,  bien que l’action publique puisse y contribuer. La conception stoïcienne du bonheur nourrira la conception  chrétienne d’une « Cité de Dieu », foyer du bonheur vrai – la « joie » des Evangiles – opposé à une « Cité de  l’Homme » dans laquelle le bonheur ne peut être que factice. Les fresques de </w:t>
      </w: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Giotto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représentant Adam et Eve  chassés du Paradis terrestre illustrent avec force cette conception du passage d’un Eden apolitique à la condition  du malheur terrestre incarné dans le travail et la cité. L’Etat est ce qui corrompt, détourne de la contemplation ou  de l’ « otium » classique – Cincinnatus est contraint par ses concitoyens de participer à la vie publique. La joie  civilisée qu’il peut procurer – le « pain et les jeux » - ne constituerait ainsi qu’un divertissement, qu’un plaisir  vulgaire très éloigné d’un bonheur naturel et simple, celui d’un « état de nature » observé – c’est le « bon sauvage »  de Bougainville – ou fantasmé – c’est l’hypothèse rousseauiste dans </w:t>
      </w: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Le Contrat Social</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Etienne Thuau dans </w:t>
      </w: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La raison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d’Etat à l’époque de Richelieu</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montre en outre que le poncif du « roi veillant au bonheur de ses sujets » figurant  sur les actes officiels ne constitue en fait qu’une « aspiration au moindre malheur » : il s’agit de répondre aux  doléances des Parlements réclamant moins d’impôts et de guerre, de soulager le poids que l’Etat, source de  calamités, fait peser sur les individus. Dans ces conditions, l’action de l’Etat est supposée détourner les citoyens du  bonheur privé ou apesantir sur lui le fardeau du malheur.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705810546875" w:line="262.5398540496826" w:lineRule="auto"/>
        <w:ind w:left="7.948760986328125" w:right="-6.361083984375" w:firstLine="859.3248748779297"/>
        <w:jc w:val="both"/>
        <w:rPr>
          <w:rFonts w:ascii="Calibri" w:cs="Calibri" w:eastAsia="Calibri" w:hAnsi="Calibri"/>
          <w:sz w:val="22.079999923706055"/>
          <w:szCs w:val="22.079999923706055"/>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Cette conception a alimenté la tradition philosophique selon laquelle il faudrait fuir l’Etat pour être  heureux. Si lorsque l’Etat s’occupe du bonheur des citoyens il les corrompt, les détourne ou y substitue des activités  contraires à leur nature, il est légitime pour l’homme de se retirer de la Cité et de former des communautés réglées  sur le modèle du bonheur authentique. </w:t>
      </w: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Lucien Jerphagnon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décèle dans cette aspiration les causes de l’émergence  du monachisme dans les premiers temps du christianisme – sous forme cénobitique ou anachorétique – et du refus  des premiers chrétiens de participer à la vie citoyenne de l’empire, comme à ses loisirs. L’idée d’échapper à l’action  corruptrice de la Cité est également palpable dans le projet de « Platonopolis » de Plotin dans les </w:t>
      </w: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Ennéades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ou dans  les utopies fleurissant à partir de la Renaissance : </w:t>
      </w: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l’Utopie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 </w:t>
      </w: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Thomas More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mais également les phalanstères de  </w:t>
      </w: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Fourier</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ou les colonies de </w:t>
      </w: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Cabet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et </w:t>
      </w: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Owen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aux Etats-Unis sont des exemples d’un courant de pensée déniant à l’Etat  toute légitimité pour s’occuper du bonheur des citoyens, persistant dans certaines communautés autarciques aux  Etats-Unis notamment. Enfin, la sécularisation de l’Etat moderne à partir du XVème siècle n’a pas été concomittante  du déclin du sentiment religieux enseignant aux masses à supporter leur malheur terrestre pour attendre le  bonheur céleste. La fin de cette attente constitutive de l’homme médiéval pour </w:t>
      </w: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Alfred de Musset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dans  l’introduction de ses </w:t>
      </w: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Confessions d’un enfant du Siècle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marque l’entrée dans l’angoisse moderne. Ne pouvant plus  s’écrier « A eux la terre, à moi le ciel ! », les citoyens sont livrés à la seule immanence – dont l’Etat est la forme  paroxystique – pour être heureux</w:t>
      </w:r>
      <w:r w:rsidDel="00000000" w:rsidR="00000000" w:rsidRPr="00000000">
        <w:rPr>
          <w:rFonts w:ascii="Calibri" w:cs="Calibri" w:eastAsia="Calibri" w:hAnsi="Calibri"/>
          <w:sz w:val="22.079999923706055"/>
          <w:szCs w:val="22.079999923706055"/>
          <w:rtl w:val="0"/>
        </w:rPr>
        <w:t xml:space="preserv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705810546875" w:line="262.5398540496826" w:lineRule="auto"/>
        <w:ind w:left="7.948760986328125" w:right="-6.361083984375" w:firstLine="859.3248748779297"/>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34378814697266" w:lineRule="auto"/>
        <w:ind w:left="13.24798583984375" w:right="-6.141357421875" w:firstLine="862.1952056884766"/>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L’hétéronomie entre le champ du politique et le champ du bonheur a fait l’objet d’une remise en question  radicale à la Révolution. Dans son chapitre dédié à la « question sociale » dans </w:t>
      </w: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De la</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Révolution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Hannah Arendt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analyse la multiplication des références par Sieyès, Saint-Juste ou Robespierre au « peuple malheureux ». Ce  syntagme figé irrigue les discours révolutionnaires et trouve un écho dans le « droit au bonheur » consacré par la  Constitution américaine. Lorsque </w:t>
      </w: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Saint-Just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affirme : « Je ne connais que la question sociale » il induit en filigrane  que la question du bonheur des citoyens est devenue une question politique centrale. La légitimité de l’Etat  démocratique à veiller au bonheur de ses citoyens est ainsi double : en tant que garant des droits fondamentaux  de l’Homme et en tant que responsable de l’unité nationale. En effet, la question du bonheur est étroitement liée  au spectre de la révolte, de la sédition, de la guerre civile (la stásis analysée par </w:t>
      </w: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Giorgio Agamben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 en frappant  une fraction du peuple, le malheur menace sa cohésion. C’est le sens des nombreux loisirs révolutionnaires analysés  par Mona Ozouf dans </w:t>
      </w: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La Fête révolutionnaire, 1789-1799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il s’agit d’obtenir une « homogénéité joyeuse » de la  communauté nationale, tendance que l’on retrouve dans les grands événements festifs organisés par l’Etat comme  par exemple la fête de la musique de Jack Lang. A l’extrême, cette vision englobante du bonheur du peuple peut se  mesurer, s’analyser, s’évaluer pour devenir entre les mains de l’Etat un outil de « gouvernementalité » pour  rependre un terme cher à </w:t>
      </w: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Michel Foucault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70556640625" w:line="262.3952293395996" w:lineRule="auto"/>
        <w:ind w:left="5.9615325927734375" w:right="-6.1328125" w:firstLine="869.4816589355469"/>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L’Etat moderne bascule ainsi dans la mesure et la manipulation de la « satisfaction » des citoyens, terme  utilisé en statistique et par les instituts de sondage depuis leur invention par </w:t>
      </w: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Gallup</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dans les années 1920. Dans un  contexte démocratique, le bonheur des citoyens devient ainsi un enjeu électoral majeur, mesuré par des enquêtes  d’opinion et influençable par le biais des « mass média » comme l’affirme Pierre Bourdieu dans </w:t>
      </w: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Sur la télévision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Tout l’enjeu pour l’Etat est alors de « divertir » les citoyens des enjeux politiques pour mieux établir son contrôle.  Selon </w:t>
      </w: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Michel Foucault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cette capillarité du pouvoir envahissant l’intimité des individus transforme l’illusion du  bonheur en anesthésie béate. </w:t>
      </w: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Julien Gracq</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dans l’ultime chapitre du </w:t>
      </w: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Rivage des Syrtes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intitulé « Les instances  secrètes de la Ville », montre ainsi comment les dirigeants d’Orsenna, République imaginaire, maintiennent le peuple dans des plaisirs fictifs pour qu’ils ne se rendent pas compte de la catastrophe qui vient.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3225097656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25927734375" w:line="261.85166358947754" w:lineRule="auto"/>
        <w:ind w:left="14.793548583984375" w:right="-5.93017578125" w:firstLine="860.6496429443359"/>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Le passage de l’ère des masses à celle de l’individu consacre les limites du « bonheur administré » et en  révèle les dérives (A). Confronté à cette individualité radicale, l’Etat peu néanmoins constituer une « institution  d’épanouissement » donnant à chacun la possibilité d’être heureux (B).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228515625" w:line="262.47857093811035" w:lineRule="auto"/>
        <w:ind w:left="7.948760986328125" w:right="-5.625" w:firstLine="867.4944305419922"/>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Dans </w:t>
      </w: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Au pays du mensonge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déconcertant, </w:t>
      </w: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Anton Ciliga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raconte son expérience en Union soviétique où il  a pu observer deux formes de bonheur : un bonheur factice, simulé, « de cliché » et un bonheur authentique se  déployant à l’écart des regards dans l’intimité la plus totale. Le poncif du bonheur constitue ainsi la façade publique  des régimes autoritaires, comme le montrent les affiches chinoises des années Mao où les sourires satisfaits sont  omniprésents. Ces Etats ont créé un bonheur archétypal rejaillissant sur toute la société puisqu’ils se confondent  avec elle selon les analyses de </w:t>
      </w: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Claude Lefort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sur le totalitarisme. Néanmoins, cette propension de l’Etat à créer un  bonheur normatif n’est pas propre aux régimes autoritaires : elle est consubstantielle à l’action de l’Etat sur le  bonheur des citoyens. Ne pouvant s’occuper des cas particuliers, l’Etat crée un bonheur archétypal devenant  l’étalon imitable par l’ensemble des individus. Le cas du « rêve américain », où l’idéal du bonheur est exprimé  comme l’accession à la propriété et la constitution d’un ménage stable, a déjà été évoqué. Ce bonheur normatif  oriente alors les politiques publiques qui incluent ce biais comportemental dans leur formulation (fiscalité,  allocations etc…). Ce bonheur archétypal, selon un effet analysé en économie par </w:t>
      </w: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T. Veblen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à la fin du XIXème siècle  conduit à une « course au bonheur » et à l’imitation – le phénomène qualifié en sociologie de « keeping up with  the Jones’ » - dont les perdants subissent les conséquences sociales.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4586181640625" w:line="262.3768901824951" w:lineRule="auto"/>
        <w:ind w:left="14.793548583984375" w:right="-5.84228515625" w:firstLine="845.8560943603516"/>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Ainsi, le « bonheur administré » conduit-il peut-être à une forme de « Royaume de la conformité » selon  le titre du dernier chapitre du livre de </w:t>
      </w: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Bartolomé Bennassar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sur </w:t>
      </w: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l’Inquisition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espagnole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L’action de l’Etat créerait  paradoxalement une société duale où se combinerait l’idéal d’un bonheur bourgeois et des poches exclues de cet  idéal, le premier étant visible dans le cinéma </w:t>
      </w: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d’Ingmar Bergmann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et devenant rapidement une routine où l’illusion  du bonheur ne peut plus être séparée de ses manifestations véritables. Ce bonheur normal laisse peu de place à la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61968994140625" w:line="240" w:lineRule="auto"/>
        <w:ind w:left="0" w:right="372.37548828125" w:firstLine="0"/>
        <w:jc w:val="righ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27489471435547" w:lineRule="auto"/>
        <w:ind w:left="12.143936157226562" w:right="-6.1328125" w:firstLine="1.987228393554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contestation, à la création, à l’art qui sont autant de manifestations de déviances. Ainsi </w:t>
      </w: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Botticelli</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dut-il immoler ses  œuvres sur la place de la Seigneurie de Florence en 1498 pour respecter les normes de l’utopie de </w:t>
      </w: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Savonarole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S’intéressant au bonheur des citoyens, l’Etat échoue donc souvent du fait de l’inadéquation de son échelle d’action  avec le caractère profondément individuel du bonheur : l’intérêt général peut servir au cas par cas les destinées  individuelles, il ne saurait en recouvrir la somme arithmétique et, souvent, promouvoir le bonheur de tous fait le  malheur de beaucoup. Dans un contexte d’individualité marquée, où chacun réclame un droit à un bonheur qui lui  ressemble, les leviers jouant sur le « bonheur du Peuple » semblent perdre de leur pertinence.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83349609375" w:line="262.3952579498291" w:lineRule="auto"/>
        <w:ind w:left="8.1695556640625" w:right="-6.400146484375" w:firstLine="867.2736358642578"/>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Dans ce contexte, l’Etat demeure un acteur du bonheur individuel mais sous une forme moins intrusive  et plus légitime dans nos sociétés contemporaines. Admettant la diversité des voies vers la « vie heureuse », il peut  avoir une action de « capacitation » selon le mot de </w:t>
      </w: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Pierre Rosanvallon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dans </w:t>
      </w: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Le Bon gouvernement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incapable de  fixer la norme du bonheur, l’Etat peut en favoriser la diverse expression par des politiques visant à encourager  l’égalité des chances et à promouvoir l’autonomie des individus. Dans </w:t>
      </w: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La pensée, la poésie et la politique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l’ancien  ministre de la Culture Jack Ralite affirme ainsi que la démocratisation de la culture et la facilitation de son accès  permettent de diversifier les horizons des populations dans les quartiers les plus difficiles et contribuent à ouvrir  des opportunités. L’autonomie des individus peut également être renforcée par des aides pécuniaires ou des  programmes de formation permettant de préserver la diversité des choix de vie. Enfin, l’Etat peut reconnaître que  dans une société individualiste, le malheur existentiel véritable provient, selon le mot de </w:t>
      </w: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Jules Romains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de la  solitude de l’individu moderne : « Nous sommes si seuls. Ce dont nous avons besoin c’est… Oui, d’une Eglise ! ».  Ainsi, paradoxalement l’Etat doit agir selon le double axe de l’autonomisation des individus et de leur mise en  relation, la recréation d’espaces de débat physique, d’agoras modernes, comme le préconise </w:t>
      </w: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Jurgen Habermas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dans  </w:t>
      </w: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L’Espace public</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Une telle politique agissant sur l’ « épanouissement » des individus dans le cadre d’une société à  la fois atomisée et démocratique remplacerait avantageusement les anciennes interventions sur le bonheur des  citoyens.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722412109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9260253906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62.4552536010742" w:lineRule="auto"/>
        <w:ind w:left="13.24798583984375" w:right="-6.0546875" w:firstLine="862.1952056884766"/>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L’Etat moderne devrait admettre le caractère profondément intime du « bonheur », mais également  réaliser le caractère collectif du « pessimisme », régulièrement mesuré à des niveaux élevés chez les Français. Le  pessimisme, expression collective d’un malheur par anticipation, peut être conjuré par l’Etat en donnant aux  citoyens de l’espoir. L’esprit est ainsi selon </w:t>
      </w: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Romain Gary</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dans </w:t>
      </w: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Une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éducation européenne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marque de  l’achèvement politique occidental, la façon qu’ont les Européens déchristianisés de changer leurs malheurs  présents en bonheur futur. L’Etat peut ainsi in fine être un vecteur de projet, de changement, d’avenir meilleur : la  construction européenne peut retrouver cette vocation que ses pères fondateurs lui prêtaient. L’Etat peut alors, à  sa manière, combler un besoin de transcendance inhérent à la modernité et source de son angoisse. Comme le dit  le pasteur Smithson dans </w:t>
      </w:r>
      <w:r w:rsidDel="00000000" w:rsidR="00000000" w:rsidRPr="00000000">
        <w:rPr>
          <w:rFonts w:ascii="Calibri" w:cs="Calibri" w:eastAsia="Calibri" w:hAnsi="Calibri"/>
          <w:b w:val="0"/>
          <w:bCs w:val="0"/>
          <w:i w:val="0"/>
          <w:iCs w:val="0"/>
          <w:smallCaps w:val="0"/>
          <w:strike w:val="0"/>
          <w:color w:val="000000"/>
          <w:sz w:val="22.079999923706055"/>
          <w:szCs w:val="22.079999923706055"/>
          <w:u w:val="single"/>
          <w:shd w:fill="auto" w:val="clear"/>
          <w:vertAlign w:val="baseline"/>
          <w:rtl w:val="0"/>
        </w:rPr>
        <w:t xml:space="preserve">La Condition humaine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 Malraux : « Quelle foi politique soulagera la souffrance du  monde ?</w:t>
      </w:r>
      <w:r w:rsidDel="00000000" w:rsidR="00000000" w:rsidRPr="00000000">
        <w:rPr>
          <w:rtl w:val="0"/>
        </w:rPr>
      </w:r>
    </w:p>
    <w:sectPr>
      <w:pgSz w:h="16820" w:w="11900" w:orient="portrait"/>
      <w:pgMar w:bottom="626.3999938964844" w:top="689.3994140625" w:left="847.5839996337891" w:right="797.03002929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