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duapri8h3el" w:id="0"/>
      <w:bookmarkEnd w:id="0"/>
      <w:r w:rsidDel="00000000" w:rsidR="00000000" w:rsidRPr="00000000">
        <w:rPr>
          <w:rtl w:val="0"/>
        </w:rPr>
        <w:t xml:space="preserve">Le savoir est-il désirable ?</w:t>
      </w:r>
    </w:p>
    <w:p w:rsidR="00000000" w:rsidDel="00000000" w:rsidP="00000000" w:rsidRDefault="00000000" w:rsidRPr="00000000" w14:paraId="00000002">
      <w:pPr>
        <w:ind w:firstLine="720"/>
        <w:jc w:val="both"/>
        <w:rPr/>
      </w:pPr>
      <w:r w:rsidDel="00000000" w:rsidR="00000000" w:rsidRPr="00000000">
        <w:rPr>
          <w:rtl w:val="0"/>
        </w:rPr>
        <w:t xml:space="preserve">La ma</w:t>
      </w:r>
      <w:r w:rsidDel="00000000" w:rsidR="00000000" w:rsidRPr="00000000">
        <w:rPr>
          <w:rtl w:val="0"/>
        </w:rPr>
        <w:t xml:space="preserve">xime « Mieux vaut une tête bien faite qu’une tête bien pleine » (extr</w:t>
      </w:r>
      <w:r w:rsidDel="00000000" w:rsidR="00000000" w:rsidRPr="00000000">
        <w:rPr>
          <w:rtl w:val="0"/>
        </w:rPr>
        <w:t xml:space="preserve">aite des </w:t>
      </w:r>
      <w:r w:rsidDel="00000000" w:rsidR="00000000" w:rsidRPr="00000000">
        <w:rPr>
          <w:i w:val="1"/>
          <w:iCs w:val="1"/>
          <w:rtl w:val="0"/>
        </w:rPr>
        <w:t xml:space="preserve">Essais </w:t>
      </w:r>
      <w:r w:rsidDel="00000000" w:rsidR="00000000" w:rsidRPr="00000000">
        <w:rPr>
          <w:rtl w:val="0"/>
        </w:rPr>
        <w:t xml:space="preserve">de Montaigne) met en évidence l’absurdité qu’il y a à accumuler des savoirs. Ceci témoigne de l’évidence de la pluralité des savoirs, voire de leur relativité : il pourrait même y avoir une radicale incommensurabilité des savoirs entre eux. Pourtant, la possibilité même d’une « tête bien faite » semble tenir à l’existence d’un bon savoir vers lequel il faut tendre. S’agit-il alors d’un savoir unifié, légitime, </w:t>
      </w:r>
      <w:r w:rsidDel="00000000" w:rsidR="00000000" w:rsidRPr="00000000">
        <w:rPr>
          <w:rtl w:val="0"/>
        </w:rPr>
        <w:t xml:space="preserve">meilleur que les autres ? </w:t>
      </w:r>
      <w:r w:rsidDel="00000000" w:rsidR="00000000" w:rsidRPr="00000000">
        <w:rPr>
          <w:rtl w:val="0"/>
        </w:rPr>
        <w:t xml:space="preserve">Plus précisément, en désignant « le » savoir au singulier, on désignerait le dépassement de toute perspective individuelle, voire l’élévation vers un “savoir absolu”. “Le” savoir, ainsi entendu, est-il désirable ? Dans le langage commun, une telle question invite à imaginer les conséquences d’un tel désir, en identifiant “désirable” à « souhaitable ». Ces deux termes ont cependant des significations légèrement différentes : est « désirable » ce qui doit être objet du désir. Demander si le savoir est  « désirable », c’est dès lors aussi s’interroger sur les conditions de possibilité d’une articulation entre le désir, de l’ordre des affects, et le savoir, de l’ordre de la raison. Le propre du désir, en effet, semble d’être subi, incontrôlable, et, de surcroît, porter sur des objets sensibles procurant souvent du plaisir. Le désir du savoir doit alors tenir d’une forme de disposition humaine naturelle, sans quoi il n'est non pas désiré mais plutôt visé par les facultés rationnelles. N’y a-t-il pas, en effet, une hétérogénéité irréductible entre le fait de viser « le » savoir comme unité parfaite et le fait de désirer qui apparaît bien plutôt comme un chaos pulsionnel qui ne saurait être orienté vers un idéal aussi abstrait et théorique ? Faut-il dès lors séparer le registre affectif du désir du registre rationnel du savoir ou un réinvestissement de la notion de « savoir » ou de celle de « désirable » peut permettre de dévoiler une jonction possible ? Nous répondrons à cette question au cours de trois moments.</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