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Bookends</w:t>
      </w:r>
      <w:r>
        <w:t xml:space="preserve"> </w:t>
      </w:r>
      <w:r>
        <w:t xml:space="preserve">0.4</w:t>
      </w:r>
    </w:p>
    <w:p>
      <w:pPr>
        <w:pStyle w:val="Heading1"/>
      </w:pPr>
      <w:bookmarkStart w:id="20" w:name="introduction"/>
      <w:r>
        <w:t xml:space="preserve">Introduction</w:t>
      </w:r>
      <w:bookmarkEnd w:id="20"/>
    </w:p>
    <w:p>
      <w:pPr>
        <w:pStyle w:val="FirstParagraph"/>
      </w:pPr>
      <w:r>
        <w:t xml:space="preserve">Once valued primarily for high timber yields, temperate rainforests of the Pacific Northwest are now managed with increased emphasis on the conservation of biodiversity (Thomas et al. 2006). Among the drivers of this shift are declining populations of species whose life histories depend on old-growth forests. Some of these species have been placed under federal, provincial, or state protection: the marbled murrelet (</w:t>
      </w:r>
      <w:r>
        <w:rPr>
          <w:i/>
        </w:rPr>
        <w:t xml:space="preserve">Brachyramphus marmoratus</w:t>
      </w:r>
      <w:r>
        <w:t xml:space="preserve">) is protected under the Species at Risk Act in Canada (COSEWIC 2014)</w:t>
      </w:r>
      <w:r>
        <w:t xml:space="preserve">, and the coastal population of the pacific marten (</w:t>
      </w:r>
      <w:r>
        <w:rPr>
          <w:i/>
        </w:rPr>
        <w:t xml:space="preserve">Martes caurina</w:t>
      </w:r>
      <w:r>
        <w:t xml:space="preserve">) is protected under the Endangered Species Act in the United States (US Fish &amp; Wildlife Service 2020). Management under these types of legislation is typically reactive and focuses on conserving each imperiled species on a case-by-case basis (Simberloff 1998). This approach has been widely criticized for failing to provide management for broader ecosystems, including the very ecosystems on which the imperiled species depend (Lambeck 1997). Alternatively, focusing on the larger scales of landscapes or ecosystems should preserve the ecosystem processes and services on which wild species and humans alike depend (Franklin 1993</w:t>
      </w:r>
      <w:r>
        <w:t xml:space="preserve">). Yet ecosystem-based management is itself beset by numerous practical, theoretical, and even philosophical challenges which have made it difficult to implement (Lambeck 1997, Simberloff 1998).</w:t>
      </w:r>
    </w:p>
    <w:p>
      <w:pPr>
        <w:pStyle w:val="BodyText"/>
      </w:pPr>
      <w:r>
        <w:t xml:space="preserve">Managers have often turned to surrogate species as a solution for the dilemma posed by the single-species and ecosystem-based management debate. At the core of the surrogate species concept is the belief that the requirements or wellbeing of a single species, or a small suite of species, can stand in for the needs and health of numerous co-occurring species or entire ecosystems (Caro 2010). A myriad variations and conflicting definitions are present in the literature, but the original may be the concept of the</w:t>
      </w:r>
      <w:r>
        <w:t xml:space="preserve"> </w:t>
      </w:r>
      <w:r>
        <w:rPr>
          <w:i/>
        </w:rPr>
        <w:t xml:space="preserve">indicator species</w:t>
      </w:r>
      <w:r>
        <w:t xml:space="preserve">. The presence and population size of an indicator species is believed to reflect ecosystem processes or the populations of other species (Landres et al. 1988).</w:t>
      </w:r>
      <w:r>
        <w:t xml:space="preserve"> </w:t>
      </w:r>
      <w:r>
        <w:t xml:space="preserve">Perhaps more widespread than indicator species is the</w:t>
      </w:r>
      <w:r>
        <w:t xml:space="preserve"> </w:t>
      </w:r>
      <w:r>
        <w:rPr>
          <w:i/>
        </w:rPr>
        <w:t xml:space="preserve">umbrella species</w:t>
      </w:r>
      <w:r>
        <w:t xml:space="preserve"> </w:t>
      </w:r>
      <w:r>
        <w:t xml:space="preserve">concept. Protections which benefit umbrella species–typically wide-ranging habitat specialists–are assumed to confer protection to co-occurring species with smaller ranges and less restrictive habitat requirements (Roberge &amp; Angelstam 2004, Seddon &amp; Leech 2008). A related concept is the</w:t>
      </w:r>
      <w:r>
        <w:t xml:space="preserve"> </w:t>
      </w:r>
      <w:r>
        <w:rPr>
          <w:i/>
        </w:rPr>
        <w:t xml:space="preserve">flagship species</w:t>
      </w:r>
      <w:r>
        <w:t xml:space="preserve">, a species whose protection, like an umbrella species, confers benefit on other species, but which is selected for its charisma and ability to serve as a rallying point for conservation (Andelman &amp; Fagan 2000). These concepts all attempt to extend the relative simplicity of single-species methods to achieve the promise of ecosystem-based management (Lambeck 1997).</w:t>
      </w:r>
    </w:p>
    <w:p>
      <w:pPr>
        <w:pStyle w:val="BodyText"/>
      </w:pPr>
      <w:r>
        <w:t xml:space="preserve">No species better embodies the challenges of managing forest species and ecosystems in the Pacific Northwest than the Northern spotted owl (</w:t>
      </w:r>
      <w:r>
        <w:rPr>
          <w:i/>
        </w:rPr>
        <w:t xml:space="preserve">Strix occidentalis caurina</w:t>
      </w:r>
      <w:r>
        <w:t xml:space="preserve">). The spotted owl is strongly associated with old-growth forest (Forsman et al. 1984) and has at various points been proposed as an indicator (Lee 1985</w:t>
      </w:r>
      <w:r>
        <w:t xml:space="preserve">), an umbrella (Tracy &amp; Brussard 1994), and a flagship species () for this ecosystem. In the late 1980s, public outcry and litigation in the United States led to the development of a spotted owl conservation strategy concurrent with the species’ listing as threatened under the Endangered Species Act (Thomas et al. 1990). This single-species plan rapidly expanded to include other species, particularly the marbled murrelet and several salmon stocks, and ultimately evolved into the Northwest Forest Plan. The Northwest Forest Plan remained rooted in spotted owl management, but also included protections for watersheds, monitoring of rare species, and a sustainable annual timber harvest (DeSala &amp; Williams 2006). Not all the Northwest Forest Plan’s goals have been achieved–notably, spotted owl and marbled murrelet populations have continued to decline, although at a slower rate–and some parts of the plan have been eroded under subsequent presidential administrations (DeSalla et al. 2015). Yet the Northwest Forest Plan remains a powerful example of an ecosystem-scale management plan with a single species at its core.</w:t>
      </w:r>
    </w:p>
    <w:p>
      <w:pPr>
        <w:pStyle w:val="BodyText"/>
      </w:pPr>
      <w:r>
        <w:t xml:space="preserve">The story of the northern goshawk (</w:t>
      </w:r>
      <w:r>
        <w:rPr>
          <w:i/>
        </w:rPr>
        <w:t xml:space="preserve">Accipiter gentilis</w:t>
      </w:r>
      <w:r>
        <w:t xml:space="preserve">) in North America parallels that of the spotted owl. Goshawks are present in boreal forests across the continent and in the west range as far south as the high-elevation forests of the American Southwest and northern Mexico. Two subspecies (</w:t>
      </w:r>
      <w:r>
        <w:rPr>
          <w:i/>
        </w:rPr>
        <w:t xml:space="preserve">A. g. atricapillus</w:t>
      </w:r>
      <w:r>
        <w:t xml:space="preserve"> </w:t>
      </w:r>
      <w:r>
        <w:t xml:space="preserve">and</w:t>
      </w:r>
      <w:r>
        <w:t xml:space="preserve"> </w:t>
      </w:r>
      <w:r>
        <w:rPr>
          <w:i/>
        </w:rPr>
        <w:t xml:space="preserve">A. g. laingi</w:t>
      </w:r>
      <w:r>
        <w:t xml:space="preserve">) are widely recognized and a third (</w:t>
      </w:r>
      <w:r>
        <w:rPr>
          <w:i/>
        </w:rPr>
        <w:t xml:space="preserve">A. g. apache</w:t>
      </w:r>
      <w:r>
        <w:t xml:space="preserve">) is recognized by some authors (Squires et al. 2020). Goshawks are not associated with old-growth forest to the same degree as the spotted owl, but do show a clear preference for extensive tracts of mature forest with large-diameter trees and closed canopies (Andersen et al. 2005, Squires &amp; Kennedy 2006). Like the spotted owl, goshawks have been proposed as a flagship (Sergio et al. 2006), an indicator (), and an umbrella species (Ozaki et al. 2006). While the Northwest Forest Plan was developing in the Pacific Northwest, alarms were sounded over the impact of timber harvest on northern goshawks in the American Southwest (Crocker-Bedford 1990). Decades of litigation failed to result in listing the southwestern population (proposed subspecies</w:t>
      </w:r>
      <w:r>
        <w:t xml:space="preserve"> </w:t>
      </w:r>
      <w:r>
        <w:rPr>
          <w:i/>
        </w:rPr>
        <w:t xml:space="preserve">apache</w:t>
      </w:r>
      <w:r>
        <w:t xml:space="preserve">) under the Endangered Species Act, but</w:t>
      </w:r>
      <w:r>
        <w:t xml:space="preserve"> </w:t>
      </w:r>
      <w:r>
        <w:t xml:space="preserve"> </w:t>
      </w:r>
      <w:r>
        <w:t xml:space="preserve">a new management plan was developed under the National Forest Management Act in the 1990s (reveiwed in Peck 2000). This single-species management plan disallowed timber harvest near known nests and required a minimum amount of mature forest within the larger home range surrounding known nests (Reynolds et al. 1992). Notably, the plan also specified the inclusion of younger forest, small clearings, snags, and woody debris to provide habitat for eight important goshawk prey species. This recommendation was based on the assumption that goshawks are habitat generalists limited by the abundance, not the availability, of prey–an assumption which has been the subject of heated debate (Greenwald et al. 2005, Reynolds et al. 2007). However, by incorporating multiple species, dynamic ecosystem processes, and human use, the goshawk management plan approaches the principles of ecosystem-based management and shows its potential to scale up to a more cohesive plan in the style of the Northwest Forest Plan (Graham et al. 1994, Peck et al. 2000).</w:t>
      </w:r>
    </w:p>
    <w:p>
      <w:pPr>
        <w:pStyle w:val="BodyText"/>
      </w:pPr>
      <w:r>
        <w:t xml:space="preserve">In the Pacific Northwest, naturalists described a small, dark subspecies of goshawk unique to the coastal temperate rainforests of Haida Gwaii and Vancouver Island (Taverner 1940). The size and plumage characteristics of</w:t>
      </w:r>
      <w:r>
        <w:t xml:space="preserve"> </w:t>
      </w:r>
      <w:r>
        <w:rPr>
          <w:i/>
        </w:rPr>
        <w:t xml:space="preserve">A. g. laingi</w:t>
      </w:r>
      <w:r>
        <w:t xml:space="preserve"> </w:t>
      </w:r>
      <w:r>
        <w:t xml:space="preserve">may be an adaptation the dark, dense forests the subspecies inhabits (Ethier 1999)</w:t>
      </w:r>
      <w:r>
        <w:t xml:space="preserve"> </w:t>
      </w:r>
      <w:r>
        <w:t xml:space="preserve">and the agile avian prey believed to dominate its diet (Penteriani et al. 2013, McClaren et al. 2015). The precise range of</w:t>
      </w:r>
      <w:r>
        <w:t xml:space="preserve"> </w:t>
      </w:r>
      <w:r>
        <w:rPr>
          <w:i/>
        </w:rPr>
        <w:t xml:space="preserve">laingi</w:t>
      </w:r>
      <w:r>
        <w:t xml:space="preserve"> </w:t>
      </w:r>
      <w:r>
        <w:t xml:space="preserve">is unclear; based on morphometrics, genetics, and ecosystem mapping, it is believed to extend along the west coast and islands of British Columbia, from Southeast Alaska south to Washington’s Olympic Peninsula (NGRT 2008, Sonsthagen 2012). In the portion of its range within the United States the</w:t>
      </w:r>
      <w:r>
        <w:t xml:space="preserve"> </w:t>
      </w:r>
      <w:r>
        <w:rPr>
          <w:i/>
        </w:rPr>
        <w:t xml:space="preserve">laingi</w:t>
      </w:r>
      <w:r>
        <w:t xml:space="preserve"> </w:t>
      </w:r>
      <w:r>
        <w:t xml:space="preserve">subspecies has no additional protections, but in Canada it is designated as Threatened by the Committee on the Status of Endangered Wildlife in Canada (COSEWIC). The</w:t>
      </w:r>
      <w:r>
        <w:t xml:space="preserve"> </w:t>
      </w:r>
      <w:r>
        <w:rPr>
          <w:i/>
        </w:rPr>
        <w:t xml:space="preserve">laingi</w:t>
      </w:r>
      <w:r>
        <w:t xml:space="preserve"> </w:t>
      </w:r>
      <w:r>
        <w:t xml:space="preserve">subspecies is further Red-listed by the British Columbia Conservation Data Centre and is an Identified Wildlife Species under the Forest Practices Code (COSEWIC 2013). Existing management plans call for the creation of buffers around known goshawk nests and the maintenance of a minimum amount of mature forest within the larger home range (McClaren et al. 2015, Parks Canada Agency 2018), similar to the plan from the American Southwest, but do not include recommendations for goshawk prey species. To some extent this is due to the single-species focus of this plan, but it is also a result of several knowledge gaps. Goshawk managers have acknowledged that a landscape-scale plan would be superior to the current fine-scale plan, and ecosystem-based management has been implemented elsewhere in British Columbia, most notably the Great Bear Rainforest (Price et al 2009</w:t>
      </w:r>
      <w:r>
        <w:t xml:space="preserve">). Together these suggest an ecosystem-based approach incorporating the goshawk as a focal species may be possible for coastal rainforests elsewhere in British Colubmia. Yet while</w:t>
      </w:r>
      <w:r>
        <w:t xml:space="preserve"> </w:t>
      </w:r>
      <w:r>
        <w:rPr>
          <w:i/>
        </w:rPr>
        <w:t xml:space="preserve">laingi</w:t>
      </w:r>
      <w:r>
        <w:t xml:space="preserve"> </w:t>
      </w:r>
      <w:r>
        <w:t xml:space="preserve">nesting habitat is relatively well documented, foraging behavior and habitat of goshawks remains poorly understood across North America in general and coastal British Columbia in particular. These knowledge gaps hinder current single-species and potential ecosystem-based management alike.</w:t>
      </w:r>
    </w:p>
    <w:p>
      <w:pPr>
        <w:pStyle w:val="BodyText"/>
      </w:pPr>
      <w:r>
        <w:t xml:space="preserve">My thesis attempts to fill one small knowledge gap by providing basic ecological information regarding the breeding season diet of goshawks in coastal British Columbia. This first chapter provides background on endangered species conservation in relation to forest management and establishes a rationale for my research. The second chapter describes my research quantifying goshawk diet in coastal British Columbia and investigating potential links between dietary variation and goshawk reproductive success. The final chapter summarizes my results in the context of Pacific Northwest forest management and suggests both implications for management and direction for further research.</w:t>
      </w:r>
    </w:p>
    <w:p>
      <w:pPr>
        <w:pStyle w:val="Heading1"/>
      </w:pPr>
      <w:bookmarkStart w:id="21" w:name="conclusion"/>
      <w:r>
        <w:t xml:space="preserve">Conclusion</w:t>
      </w:r>
      <w:bookmarkEnd w:id="21"/>
    </w:p>
    <w:p>
      <w:pPr>
        <w:pStyle w:val="FirstParagraph"/>
      </w:pPr>
      <w:r>
        <w:rPr>
          <w:b/>
        </w:rPr>
        <w:t xml:space="preserve">Overview</w:t>
      </w:r>
    </w:p>
    <w:p>
      <w:pPr>
        <w:pStyle w:val="BodyText"/>
      </w:pPr>
      <w:r>
        <w:t xml:space="preserve">Specialist and generalist predators differ in their degree of dependence on prey species with cascading consequences for many aspects of their life history (Korpimaki &amp; Norrdhal 1991, Resano-Mayor et al. 2016). Specialists are efficient hunters of their main prey at the cost of poor success when hunting other species, whereas generalists hunt many species with equal skill (Terraube et al. 2011). A specialist may struggle to compensate with other prey when its main prey becomes scarce, but generalists readily switch to alternate prey (Steenhof &amp; Kochert 1988, Terrabue &amp; Arroyo 2011). Specialists may even be limited in geographic range or habitat use by the presence and abundance of their main prey (Ferrer &amp; Negro 2004, Peers et al. 2003). As a result, specialists depend on a single species and their demographic parameters–such as migration, reproductive success, and survival–vary in synchrony with its abundance (Korpimaki &amp; Norrdhal 1991, Terraube et al. 2011). In contrast, generalists make use of many species but depend on no single one, and their populations are relatively more stable (Hanski et al. 1991, Andersson &amp; Erlinge 1977).</w:t>
      </w:r>
      <w:r>
        <w:t xml:space="preserve"> </w:t>
      </w:r>
    </w:p>
    <w:p>
      <w:pPr>
        <w:pStyle w:val="BodyText"/>
      </w:pPr>
      <w:r>
        <w:t xml:space="preserve">This familiar dichotomy between specialist and generalist species is, of course, an oversimplification. The abundance of a single prey species can be a major driver of demographic parameters, such as reproductive success, for a generalist predator as well as for a specialist (Elmhagen et al. 2000, Resano-Mayor et al. 2006). Within a single species some populations (Salamolard et al. 2000, Roth et al. 2007), or some individuals within a population (Woo et al. 2008), may be more or less specialized. Even a single individual may become more specialized over its lifetime as a result of age and experience (Rutz 2006). Correctly identifying the degree of specialization and understanding its effect on demographic parameters is more than a matter of theory or curiosity: the consequences of specialization can scale up from individuals through populations to entire species, with profound implications for conservation (Ferrer &amp; Negro 2004, Terraube et al. 2011, Resano-Mayor 2016).</w:t>
      </w:r>
    </w:p>
    <w:p>
      <w:pPr>
        <w:pStyle w:val="BodyText"/>
      </w:pPr>
      <w:r>
        <w:t xml:space="preserve">The complex relationship between dietary specialization and conservation is exemplified by the northern spotted owl. Spotted owls depend on old-growth forests, but the cause of this association has been a source of speculation from the earliest years of spotted owl research (). The association appears to be driven, in part, by the spotted owl’s relatively specialized diet (Carey et al. 1992, Ward et al. 1998). More than half the biomass spotted owls consume comes from just two taxa, flying squirrels (</w:t>
      </w:r>
      <w:r>
        <w:rPr>
          <w:i/>
        </w:rPr>
        <w:t xml:space="preserve">Glaucomys sabrinus</w:t>
      </w:r>
      <w:r>
        <w:t xml:space="preserve">) and woodrats (bushy-tailed woodrat</w:t>
      </w:r>
      <w:r>
        <w:t xml:space="preserve"> </w:t>
      </w:r>
      <w:r>
        <w:rPr>
          <w:i/>
        </w:rPr>
        <w:t xml:space="preserve">Neotoma cinerea</w:t>
      </w:r>
      <w:r>
        <w:t xml:space="preserve"> </w:t>
      </w:r>
      <w:r>
        <w:t xml:space="preserve">and dusky-footed woodrat</w:t>
      </w:r>
      <w:r>
        <w:t xml:space="preserve"> </w:t>
      </w:r>
      <w:r>
        <w:rPr>
          <w:i/>
        </w:rPr>
        <w:t xml:space="preserve">N. fuscipes</w:t>
      </w:r>
      <w:r>
        <w:t xml:space="preserve">; reviewed in Carey et al. 1992</w:t>
      </w:r>
      <w:r>
        <w:t xml:space="preserve">). This holds true across the subspecies’ range, although the relative contribution of each taxa varies with geographic region and forest type in response to local abundance. In Washington’s Olympic Peninsula, where woodrats are absent, spotted owls consume primarily flying squirrels (Carey et al. 1992), whereas in northern California flying squirrels make up a smaller portion of the diet and woodrats, which are more abundant, dominate (Ward et al. 1998). Even within a single spotted owl population some individuals specialize on one taxa or the other (Zabel et al. 1995). Home range sizes in the flying squirrel-dependent Olympic Peninsula are among the largest ever recorded (Carey at al. 1992), and where both taxa are present owls which consume primarily flying squirrels have larger home ranges than those which consume mostly woodrats (Zabel et al. 1995). Evidently diet and prey abundance affect some demographic parameters, such as breeding density, which has led some to recommend increasing prey abundance as a route to increase owl abundance (Forsman et al. 2014). Yet prey abundance does not appear to affect spotted owl productivity (Rosenberg et al. 2003). Instead, productivity appears to be the result of complex interactions between climate and prey abundance (Glenn et al. 2011).</w:t>
      </w:r>
    </w:p>
    <w:p>
      <w:pPr>
        <w:pStyle w:val="BodyText"/>
      </w:pPr>
      <w:r>
        <w:t xml:space="preserve">In contrast to the spotted owl’s dependence on a few prey species, the northern goshawk is considered a generalist predator and consumes an enormous diversity of prey across its wide geographic range (reviewed in Drennen 2006). I identified</w:t>
      </w:r>
      <w:r>
        <w:t xml:space="preserve"> </w:t>
      </w:r>
      <w:r>
        <w:rPr>
          <w:b/>
        </w:rPr>
        <w:t xml:space="preserve">25</w:t>
      </w:r>
      <w:r>
        <w:t xml:space="preserve"> </w:t>
      </w:r>
      <w:r>
        <w:t xml:space="preserve">different prey species in the diet of goshawks in coastal British Columbia, which is consistent with a generalist foraging strategy. Some goshawk populations appear to be strongly generalist (Salafsky et al. 2007), whereas in others a key prey species is a major driver of productivity, survival, and other demographic parameters (Doyle &amp; Smith 1994, Tornberg et al. 2005). Over 60% of goshawk diet in my study area was composed of tree squirrels (</w:t>
      </w:r>
      <w:r>
        <w:rPr>
          <w:i/>
        </w:rPr>
        <w:t xml:space="preserve">Tamiasciurus</w:t>
      </w:r>
      <w:r>
        <w:t xml:space="preserve"> </w:t>
      </w:r>
      <w:r>
        <w:t xml:space="preserve">spp.), which indicates a level of specialization even greater than that of the spotted owl. However, I found no affect of the degree of dietary specialization on goshawk productivity. There are several explanations for this unexpected finding. First, specialists may not be more productive than generalists: some individual goshawks may prefer tree squirrels and consume them disproportionate to their abundance, but both specialists and generalists are equally fit (Woo et al. 2008). Alternately, specialization may be the result of opportunity: all goshawks take tree squirrels proportionate to their abundance, but it is total prey abundance rather than tree squirrel abundance which drives productivity. Finally, as in the spotted owl, prey abundance and diet during the breeding season may not be a lesser driver of productivity than other factors, such as weather or winter prey abundance.</w:t>
      </w:r>
    </w:p>
    <w:p>
      <w:pPr>
        <w:pStyle w:val="BodyText"/>
      </w:pPr>
      <w:r>
        <w:t xml:space="preserve">Goshawk diet varies across its range in response to the regional presence and abundance of prey species (Drennan 2006). Tree squirrels are the same key prey identified on Vancouver Island (Ethier 1999) but differ from those in other regions of the Pacific Northwest, where the key prey is generally grouse (Watson et al. 1998, Thraikill et al. 2000, Bloxton 2002, Lewis et al. 2006). The key prey from my study area is more similar to those identified elsewhere in western North America, where the most important prey species is also mammalian and occasionally a sciurid. This unexpected result may be, in part, the product of differences in methodology. When the results from studies across temperate rainforest ecosystems are standardized (data from pooled pellets-and-remains or remains only, measured by counts), the difference between my study area and other regions in the Pacific Northwest is much less pronounced. However, the proportion of mammalian prey in the diet, particularly tree squirrels, remains markedly higher within British Columbia. This may be due to relatively high tree squirrel abundance within the south coast region, which is much greater (Ransome &amp; Sullivan 2003) than in other temperate rainforest ecosystems (reviewed in Carey et al. 1995). No Pacific Northwest study has assessed goshawk diet and and absolute prey abundance simultaneously (but see Ethier 1999). Nonetheless, regional data hint at a pattern of higher dietary specialization in regions or forest types with higher tree squirrel abundance (see figure). Across the two ecological zones present in my study area I observed only minor variation in goshawk diet and no variation in the dominance of tree squirrels in the diet. If goshawks are more specialized on tree squirrels where tree squirrels are more abundant, this would indicate a slight difference in the prey community of these two zones but a similar abundance of tree squirrels. Goshawks in my study area appear to be a generalist predator opportunistically exploiting a locally abundant prey species.</w:t>
      </w:r>
    </w:p>
    <w:p>
      <w:pPr>
        <w:pStyle w:val="BodyText"/>
      </w:pPr>
      <w:r>
        <w:drawing>
          <wp:inline>
            <wp:extent cx="4620126" cy="3696101"/>
            <wp:effectExtent b="0" l="0" r="0" t="0"/>
            <wp:docPr descr="" title="" id="1" name="Picture"/>
            <a:graphic>
              <a:graphicData uri="http://schemas.openxmlformats.org/drawingml/2006/picture">
                <pic:pic>
                  <pic:nvPicPr>
                    <pic:cNvPr descr="1_20210517_bookends_0-3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Directions for future research</w:t>
      </w:r>
    </w:p>
    <w:p>
      <w:pPr>
        <w:pStyle w:val="BodyText"/>
      </w:pPr>
      <w:r>
        <w:t xml:space="preserve">Comparing the northern spotted owl and the northern goshawk highlights significant knowledge gaps regarding goshawk biology. The controversy surrounding the spotted owl, combined with its position at the heart of a major management plan, has made it one of the most-studied birds in the world (Gutierrez et al. 2020). The northern goshawk, although likewise shrouded in controversy, has not received the same level of study. It is also more difficult to generalize research on the widespread, generalist northern goshawk than for the more restricted, relatively specialized spotted owl. As a result, there is a pressing need for detailed, local information on goshawks in the Pacific Northwest, particuarly in coastal British Columbia.</w:t>
      </w:r>
    </w:p>
    <w:p>
      <w:pPr>
        <w:pStyle w:val="BodyText"/>
      </w:pPr>
      <w:r>
        <w:t xml:space="preserve">One knowledge gap related to the work I present here is how goshawks respond to variation in prey abundance. Dietary specialization such as goshawks in my study area exhibit may be the result of a preference for the main prey or simply an absence of other options. The hypotheses I propose to explain my results cannot be evaluated without differentiating between these two possibilities. Data on prey abundance is necessary to understand the mechanism of goshawk specialization and whether it is the result of high selectivity for tree squirrels, high abundance of tree squirrels, or some combination of both. This information could in turn be used to evaluate how changes in key prey abundance and total prey abundance influence goshawk demographic parameters, particularly productivity. Without this knowledge it is impossible to fully understand the factors limiting goshawk populations in coastal British Columbia.</w:t>
      </w:r>
    </w:p>
    <w:p>
      <w:pPr>
        <w:pStyle w:val="BodyText"/>
      </w:pPr>
      <w:r>
        <w:t xml:space="preserve">A second knowledge gap is how the amount and type of habitat goshawks use for foraging varies with diet and prey abundance. Goshawk home range size varies across their geographic range and goshawks have been observed foraging in diverse habitat types, leading to persistent controversy over how and why goshawks select habitat, particularly foraging habitat (Greenwald et al. 2005, Reynolds et al. 2008). Research on spotted owls indicates that home range size is inversely related to prey abundance and foraging habitat selection varies with the identity of the main prey (Zabel 1995). Diet and prey abundance may likewise explain some of the variation in goshawk habitat use (Kenward 1982, Penteriani et al. 2013). If so, foraging habitat management could only be conducted with knowledge of goshawk diet and recommendations made for one population could be applied to others only with great caution, if at all. Filling this knowledge gap with information specific to coastal British Columbia is crucial and has been identified as a priority by goshawk managers (NGRT 2008, Parks Canada 2018).</w:t>
      </w:r>
    </w:p>
    <w:p>
      <w:pPr>
        <w:pStyle w:val="BodyText"/>
      </w:pPr>
      <w:r>
        <w:t xml:space="preserve">To address this crucial knowledge gap, the British Columbia Ministry of Forests, Lands, Natural Resource Operations and Rural Development (FLNRORD) and I conducted a pilot study of foraging habitat use in coastal British Columbia. Between 2018-2020 we tagged 4 male and 9 female goshawks, with only one probable mortality over the course of the study. Captures were conducted during the early breeding season using a dho-gaza trap with a live great-horned owl (</w:t>
      </w:r>
      <w:r>
        <w:rPr>
          <w:i/>
        </w:rPr>
        <w:t xml:space="preserve">Bubo virginianus</w:t>
      </w:r>
      <w:r>
        <w:t xml:space="preserve">) as a lure (Bloom et al. 2007). Goshawks were fitted with 14-gram geolocator tags (Ecotone Telmetry brand, Harrier model) attached via backpack-style harness. Tags were programmed to take a location point every 15 minutes and to download data to a base station when within range (approximately 100 m from the base). Base stations were placed beneath or above nests and tags checked for proximity to the station every 15 minutes. From each tag we collected between 0 and 73 days of breeding season (20 April - 15 September) data. Of the tags from which at least one day of data were retrieved, we collected between 3 and 73 (mean 37.89</w:t>
      </w:r>
      <w:r>
        <w:t xml:space="preserve"> </w:t>
      </w:r>
      <m:oMath>
        <m:r>
          <m:t>±</m:t>
        </m:r>
      </m:oMath>
      <w:r>
        <w:t xml:space="preserve"> </w:t>
      </w:r>
      <w:r>
        <w:t xml:space="preserve">26.69 standard deviation) days of data, with an average of 31.03 locations per tag per day.</w:t>
      </w:r>
      <w:r>
        <w:t xml:space="preserve"> </w:t>
      </w:r>
    </w:p>
    <w:p>
      <w:pPr>
        <w:pStyle w:val="BodyText"/>
      </w:pPr>
      <w:r>
        <w:t xml:space="preserve">The mean breeding season home range was 2008.89 ha (95% minimum convex polygon) but I observed a large difference in home range size between males and females. Mean male home range was 4409.16 ha whereas mean female home range was much smaller, 829.13 ha. Core-use areas (50% minimum convex polygon) were more similar, but still larger for males at 851.51 ha than for females at 151.87 ha. The smaller female home range was due to the amount of time females spent on the nest. An average of 66.48% (</w:t>
      </w:r>
      <m:oMath>
        <m:r>
          <m:t>±</m:t>
        </m:r>
      </m:oMath>
      <w:r>
        <w:t xml:space="preserve"> </w:t>
      </w:r>
      <w:r>
        <w:t xml:space="preserve">36.09) of female location points were taken within range of the base station (&lt; 100 m from the nest), while only 2.87% (</w:t>
      </w:r>
      <m:oMath>
        <m:r>
          <m:t>±</m:t>
        </m:r>
      </m:oMath>
      <w:r>
        <w:t xml:space="preserve"> </w:t>
      </w:r>
      <w:r>
        <w:t xml:space="preserve">4.26) of male points were taken at the nest. Males also traveled further from the nest. The mean furthest distance from the nest a male traveled was 7.05 km, while females on average only ventured 2.86 km from the nest. As the breeding season progressed, the length of time spent away from the nest increased noticeably for males but less so for females.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 of data collected</w:t>
            </w:r>
          </w:p>
        </w:tc>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Relation to nest</w:t>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Home range (ha)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days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points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 distance from nest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points taken at nest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MCP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KDE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KDE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FMT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2,302.320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152.140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GRV</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2,441.140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5,456.710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4,013.480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2,858.030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106.666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MTC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4,413.190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2,611.200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3,032.760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RLK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7,773.290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4,441.080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4,407.620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SKA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8,026.150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1,548.170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6,052.920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6,674.730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2018-09-14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7,976.540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904.780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4,531.450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5,263.070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7,047.292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851.515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4,409.163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947.855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4,844.545</w:t>
            </w:r>
          </w:p>
        </w:tc>
      </w:tr>
    </w:tbl>
    <w:p>
      <w:pPr>
        <w:pStyle w:val="BodyText"/>
      </w:pPr>
      <w:r>
        <w:t xml:space="preserve">We encountered several challenges over the course of the three-year pilot. The dho-gaza method is biased toward the capture of females and resulted in a larger number of females than males in our sample. Because males provide most of the food during the breeding season, this provided us with relatively little foraging location data. Further, the geolocator tags only download data on a 15-minute cycle and when within 100 m of the base station. Males spend little time near the nest, save briefly while making prey deliveries, so we obtained only infrequent data downloads from males. Overall, our methods favored the collection of location data from females, which offered relatively little insight into foraging habitat use. We also struggled to relocate tagged birds in subsequent years and so failed to obtain location data for multiple breeding seasons or winter movement. It is difficult to determine the fate of these missing birds. Several were tentatively resighted but could not be definitely relocated, and it is unclear if they nested the year after being tagged. We cannot rule out the possibility that tags negatively impacted these birds’ ability to initiate. However, we observed only one probable mortality and no nest failures or abandonment among tagged birds, which suggests tag effects were not large. The location data we were able to retrieve, although less than anticipated, was of much higher resolution than VHF data and much higher accuracy than satellite data. Despite setbacks, this technology may therefore be uniquely well-suited to studies of foraging habitat selection.</w:t>
      </w:r>
    </w:p>
    <w:p>
      <w:pPr>
        <w:pStyle w:val="BodyText"/>
      </w:pPr>
      <w:r>
        <w:drawing>
          <wp:inline>
            <wp:extent cx="4620126" cy="3696101"/>
            <wp:effectExtent b="0" l="0" r="0" t="0"/>
            <wp:docPr descr="Location data from female (a) and male (b) goshawks" title="" id="1" name="Picture"/>
            <a:graphic>
              <a:graphicData uri="http://schemas.openxmlformats.org/drawingml/2006/picture">
                <pic:pic>
                  <pic:nvPicPr>
                    <pic:cNvPr descr="1_20210517_bookends_0-3_files/figure-docx/telemetry-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Location data from female (a) and male (b) goshawks" title="" id="1" name="Picture"/>
            <a:graphic>
              <a:graphicData uri="http://schemas.openxmlformats.org/drawingml/2006/picture">
                <pic:pic>
                  <pic:nvPicPr>
                    <pic:cNvPr descr="1_20210517_bookends_0-3_files/figure-docx/telemetry-map-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My results, though preliminary, show several interesting patterns and offer promising suggestions for management. The high fidelity of females to the nest area confirms the importance of protected buffers around nests to prevent the disturbance of critical habitat. However, the large distances traveled by males and the irregular shape of their home ranges shows that circular buffers based on estimates of mean home range size are not good approximations of true space use. Home ranges were rarely circular, but rather shaped by geographic constraints such as coastlines or mountains peaks. Within home ranges, kernel density estimates show habitat use is not even across a male’s territory. Instead, there are clusters of activity around areas which are likely high-quality foraging habitat. These areas usually fall outside the nest area and are not be captured by current nesting habitat protections. Goshawks readily crossed narrow barriers such as roads, rivers, and powerline cuts, and sometimes appeared to use these features for travel or foraging. On the other hand, goshawks seemed to generally route around larger barriers such as lakes or clearcuts. This suggests managed areas around nests should be tailored to the amount and configuration of suitable foraging habitat present in the surrounding landscape, and that any timber harvest within the foraging area should prioritize the preservation of connectivity between patches of high-quality foraging habitat. However, a great deal of additional research is needed to confirm and refine these suggestions, particularly regarding the characteristics of suitable and high-quality foraging habitat.</w:t>
      </w:r>
    </w:p>
    <w:p>
      <w:pPr>
        <w:pStyle w:val="BodyText"/>
      </w:pPr>
      <w:r>
        <w:rPr>
          <w:b/>
        </w:rPr>
        <w:t xml:space="preserve">Management implications</w:t>
      </w:r>
    </w:p>
    <w:p>
      <w:pPr>
        <w:pStyle w:val="BodyText"/>
      </w:pPr>
      <w:r>
        <w:t xml:space="preserve">Climate change is one of the largest and most difficult to anticipate threats facing biodiversity (Bellard et al. 2012). The current understanding of how climate change will impact goshawks in coastal British Columbia is largely speculative (Parks Canada 2018). Although I found no evidence of a link between the degree of dietary specialization and goshawk productivity, the level of specialization I observed and findings from other studies suggest goshawks in my study area are highly dependent on tree squirrels for successful reproduction. Notably, Ethier (1999) found goshawk productivity on Vancouver Island to be significantly correlated with red squirrel abundance. Tree squirrels are themselves highly dependent on conifer seeds and their abundance varies with the size of the annual cone crop. (Smith 1970)</w:t>
      </w:r>
      <w:r>
        <w:t xml:space="preserve">. Seed production is cyclical, but may be increased by higher temperatures and inhibited by drought (Boucher et al. 2020). As the climate warms and drought risk rises, climate-driven changes in seed production may cascade upward through prey abundance to impact goshawk populations in coastal British Columbia. Significantly more work is needed to understand the relationship between prey abundance, the buffering ability of alternate prey, and goshawk productivity, but my results provide an important starting point for incorporating climate change into goshawk management.</w:t>
      </w:r>
    </w:p>
    <w:p>
      <w:pPr>
        <w:pStyle w:val="BodyText"/>
      </w:pPr>
      <w:r>
        <w:t xml:space="preserve">Wildlife management, whether rooted in a single-species or ecosystem-based approach, generally centers around species, subspecies, or unique populations at risk of extinction (cite). My thesis examines a single population of goshawks on the south coast of British Columbia which is currently classified as part of the subspecies</w:t>
      </w:r>
      <w:r>
        <w:t xml:space="preserve"> </w:t>
      </w:r>
      <w:r>
        <w:rPr>
          <w:i/>
        </w:rPr>
        <w:t xml:space="preserve">laingi</w:t>
      </w:r>
      <w:r>
        <w:t xml:space="preserve">. The precise range of</w:t>
      </w:r>
      <w:r>
        <w:t xml:space="preserve"> </w:t>
      </w:r>
      <w:r>
        <w:rPr>
          <w:i/>
        </w:rPr>
        <w:t xml:space="preserve">laingi</w:t>
      </w:r>
      <w:r>
        <w:t xml:space="preserve"> </w:t>
      </w:r>
      <w:r>
        <w:t xml:space="preserve">has always been unclear, but recent genetic evidence calls into question the boundaries currently used in goshawk management. Geraldes et al. (2019) identified the Haida Gwaii population as highly unique and distinct from populations on Vancouver Island and the mainland coast. Their findings indicate the distribution of</w:t>
      </w:r>
      <w:r>
        <w:t xml:space="preserve"> </w:t>
      </w:r>
      <w:r>
        <w:rPr>
          <w:i/>
        </w:rPr>
        <w:t xml:space="preserve">laingi</w:t>
      </w:r>
      <w:r>
        <w:t xml:space="preserve"> </w:t>
      </w:r>
      <w:r>
        <w:t xml:space="preserve">may be restricted to Haida Gwaii and challenge the conservation status of goshawk populations elsewhere within the putative range of</w:t>
      </w:r>
      <w:r>
        <w:t xml:space="preserve"> </w:t>
      </w:r>
      <w:r>
        <w:rPr>
          <w:i/>
        </w:rPr>
        <w:t xml:space="preserve">laingi</w:t>
      </w:r>
      <w:r>
        <w:t xml:space="preserve">. My results suggest a strong ecological similarity between goshawks within my study area, Vancouver Island, and Haida Gwaii, where goshawks are also highly dependent on tree squirrels (COSEWIC 2013). The diet of these populations stands in contrast to others in temperate rainforest ecosystems which are currently considered</w:t>
      </w:r>
      <w:r>
        <w:t xml:space="preserve"> </w:t>
      </w:r>
      <w:r>
        <w:rPr>
          <w:i/>
        </w:rPr>
        <w:t xml:space="preserve">laingi</w:t>
      </w:r>
      <w:r>
        <w:t xml:space="preserve">, such as the Olympic Peninsula or Southeast Alaska, where goshawks consume mainly birds. It is further different from populations elsewhere in western North America, where goshawks also consume primarily mammals but do not specialize on tree squirrels. Goshawks in coastal British Columbia may therefore be ecologically similar to each other, and ecologically distinct from other populations, even if they are genetically dissimilar. This does not indicate a single, uniform management strategy is appropriate for all goshawks in the region: red squirrels, for instance, are an introduced species on Haida Gwaii. It does, however, demonstrate that management plans benefit from the type of fine-scale ecological information my thesis provides. It further suggests these goshawks may deserve special management consideration as a population unique to the temperate rainforests of coastal British Columbia.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Bookends 0.4</dc:title>
  <dc:creator/>
  <cp:keywords/>
  <dcterms:created xsi:type="dcterms:W3CDTF">2021-05-17T19:32:33Z</dcterms:created>
  <dcterms:modified xsi:type="dcterms:W3CDTF">2021-05-17T19:32:33Z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