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34A70" w14:textId="77777777" w:rsidR="004A2A8F" w:rsidRDefault="00BE6864">
      <w:pPr>
        <w:pStyle w:val="Title"/>
      </w:pPr>
      <w:r>
        <w:t>Chapter One 0.3</w:t>
      </w:r>
    </w:p>
    <w:p w14:paraId="493B6761" w14:textId="77777777" w:rsidR="004A2A8F" w:rsidRDefault="00BE6864">
      <w:pPr>
        <w:pStyle w:val="FirstParagraph"/>
      </w:pPr>
      <w:commentRangeStart w:id="0"/>
      <w:r>
        <w:t xml:space="preserve">The development of effective wildlife conservation strategies requires an understanding of diet and its consequences for population </w:t>
      </w:r>
      <w:commentRangeStart w:id="1"/>
      <w:r>
        <w:t>demographics</w:t>
      </w:r>
      <w:commentRangeEnd w:id="1"/>
      <w:r w:rsidR="00A86316">
        <w:rPr>
          <w:rStyle w:val="CommentReference"/>
        </w:rPr>
        <w:commentReference w:id="1"/>
      </w:r>
      <w:r>
        <w:t>. Predators with a narrow, specialized diet are sensitive to fluctuations in prey abundance</w:t>
      </w:r>
      <w:commentRangeStart w:id="2"/>
      <w:r>
        <w:t>. As a result, they a</w:t>
      </w:r>
      <w:r>
        <w:t>re more vulnerable to population declines than a generalist.</w:t>
      </w:r>
      <w:commentRangeEnd w:id="2"/>
      <w:r w:rsidR="00A86316">
        <w:rPr>
          <w:rStyle w:val="CommentReference"/>
        </w:rPr>
        <w:commentReference w:id="2"/>
      </w:r>
      <w:r>
        <w:t xml:space="preserve"> The broad, diverse diet of a generalist predator reduces the likelihood that prey species abundance will fluctuate synchronously. This increases the predator’s opportunities to switch between alt</w:t>
      </w:r>
      <w:r>
        <w:t>ernate prey species when one becomes rare. Despite this flexibility, a single key prey species or limited suite of species may still act as the primary driver of productivity, site occupancy, and other demographic parameters.</w:t>
      </w:r>
      <w:commentRangeEnd w:id="0"/>
      <w:r w:rsidR="00A86316">
        <w:rPr>
          <w:rStyle w:val="CommentReference"/>
        </w:rPr>
        <w:commentReference w:id="0"/>
      </w:r>
    </w:p>
    <w:p w14:paraId="06F9D307" w14:textId="77777777" w:rsidR="004A2A8F" w:rsidRDefault="00BE6864">
      <w:pPr>
        <w:pStyle w:val="BodyText"/>
      </w:pPr>
      <w:r>
        <w:t xml:space="preserve">The northern goshawk </w:t>
      </w:r>
      <w:commentRangeStart w:id="3"/>
      <w:r>
        <w:t>is a fore</w:t>
      </w:r>
      <w:r>
        <w:t>st-dwelling raptor with a wide geographic range and a generalist diet.</w:t>
      </w:r>
      <w:commentRangeEnd w:id="3"/>
      <w:r w:rsidR="00A86316">
        <w:rPr>
          <w:rStyle w:val="CommentReference"/>
        </w:rPr>
        <w:commentReference w:id="3"/>
      </w:r>
      <w:r>
        <w:t xml:space="preserve"> In North America they are associated with mature, closed-canopy coniferous forest. </w:t>
      </w:r>
      <w:commentRangeStart w:id="4"/>
      <w:r>
        <w:t>These forest characteristics are thought to increase prey availability, as goshawks appear to select f</w:t>
      </w:r>
      <w:r>
        <w:t>oraging habitat based on the availability, rather than the abundance, of prey</w:t>
      </w:r>
      <w:commentRangeEnd w:id="4"/>
      <w:r w:rsidR="00A86316">
        <w:rPr>
          <w:rStyle w:val="CommentReference"/>
        </w:rPr>
        <w:commentReference w:id="4"/>
      </w:r>
      <w:r>
        <w:t xml:space="preserve">. </w:t>
      </w:r>
      <w:commentRangeStart w:id="5"/>
      <w:r>
        <w:t>However, the number and identity of key prey species varies across the goshawk’s range, with consequences for foraging habitat selection, productivity, dispersal, and more.</w:t>
      </w:r>
      <w:commentRangeEnd w:id="5"/>
      <w:r w:rsidR="00A86316">
        <w:rPr>
          <w:rStyle w:val="CommentReference"/>
        </w:rPr>
        <w:commentReference w:id="5"/>
      </w:r>
      <w:r>
        <w:t xml:space="preserve"> In t</w:t>
      </w:r>
      <w:r>
        <w:t>he Yukon, goshawks are primarily dependent on snowshoe hare (</w:t>
      </w:r>
      <w:r>
        <w:rPr>
          <w:i/>
        </w:rPr>
        <w:t>Lepus americanus</w:t>
      </w:r>
      <w:r>
        <w:t>) and show strong variations in productivity, space use, and dispersal in response to cyclical variations in hare abundance. Goshawks in Scandinavia  likewise rely heavily on a si</w:t>
      </w:r>
      <w:r>
        <w:t xml:space="preserve">ngle narrow prey group, grouse (subfamily Tetraoninae), and show changes in productivity and occupancy based on grouse abundance. </w:t>
      </w:r>
      <w:commentRangeStart w:id="6"/>
      <w:r>
        <w:t>In contrast, goshawks in the American Southwest have a wide prey base, regularly taking some fourteen different species. Popul</w:t>
      </w:r>
      <w:r>
        <w:t>ation fluctuations are small and driven by total prey abundance, but are strongly influenced by the abundance of red squirrel (</w:t>
      </w:r>
      <w:r>
        <w:rPr>
          <w:i/>
        </w:rPr>
        <w:t>Tamiasciurus hudsonicus</w:t>
      </w:r>
      <w:r>
        <w:t xml:space="preserve">). </w:t>
      </w:r>
      <w:commentRangeEnd w:id="6"/>
      <w:r w:rsidR="00C755F4">
        <w:rPr>
          <w:rStyle w:val="CommentReference"/>
        </w:rPr>
        <w:commentReference w:id="6"/>
      </w:r>
      <w:r>
        <w:t xml:space="preserve">For such </w:t>
      </w:r>
      <w:proofErr w:type="gramStart"/>
      <w:r>
        <w:t>a</w:t>
      </w:r>
      <w:proofErr w:type="gramEnd"/>
      <w:r>
        <w:t xml:space="preserve"> adaptable predator, the identity and influence of key prey species on population demographic</w:t>
      </w:r>
      <w:r>
        <w:t>s may be highly specific to each population.</w:t>
      </w:r>
    </w:p>
    <w:p w14:paraId="39215E67" w14:textId="77777777" w:rsidR="004A2A8F" w:rsidRDefault="00BE6864">
      <w:pPr>
        <w:pStyle w:val="BodyText"/>
      </w:pPr>
      <w:commentRangeStart w:id="7"/>
      <w:r>
        <w:t xml:space="preserve">Where populations are food-limited, incorporating prey abundance or availability into management plans may prove an effective strategy. </w:t>
      </w:r>
      <w:commentRangeEnd w:id="7"/>
      <w:r w:rsidR="00C755F4">
        <w:rPr>
          <w:rStyle w:val="CommentReference"/>
        </w:rPr>
        <w:commentReference w:id="7"/>
      </w:r>
      <w:r>
        <w:t>Raptor populations are commonly food-limited, and goshawks in both Europe a</w:t>
      </w:r>
      <w:r>
        <w:t xml:space="preserve">nd North America appear to be limited primarily by </w:t>
      </w:r>
      <w:commentRangeStart w:id="8"/>
      <w:r>
        <w:t>food availability and nest site availability</w:t>
      </w:r>
      <w:commentRangeEnd w:id="8"/>
      <w:r w:rsidR="00F56CF8">
        <w:rPr>
          <w:rStyle w:val="CommentReference"/>
        </w:rPr>
        <w:commentReference w:id="8"/>
      </w:r>
      <w:r>
        <w:t xml:space="preserve">. For this reason, longstanding guidelines for the American Southwest suggest managing forests for both goshawks and goshawk prey. Under this plan, </w:t>
      </w:r>
      <w:proofErr w:type="gramStart"/>
      <w:r>
        <w:t xml:space="preserve">the majority </w:t>
      </w:r>
      <w:r>
        <w:t>of</w:t>
      </w:r>
      <w:proofErr w:type="gramEnd"/>
      <w:r>
        <w:t xml:space="preserve"> managed forest is recommended to remain in the older age classes preferred by goshawks for </w:t>
      </w:r>
      <w:commentRangeStart w:id="9"/>
      <w:r>
        <w:t>nesting and foraging</w:t>
      </w:r>
      <w:commentRangeEnd w:id="9"/>
      <w:r w:rsidR="00F56CF8">
        <w:rPr>
          <w:rStyle w:val="CommentReference"/>
        </w:rPr>
        <w:commentReference w:id="9"/>
      </w:r>
      <w:r>
        <w:t>. However, a portion should be managed as a mosaic of differently-aged stands and small gap for the benefit of goshawk prey species. This appr</w:t>
      </w:r>
      <w:r>
        <w:t>oach remains controversial, but by manipulating the amount and character of forest habitat managers seek to affect occupancy and productivity, two key drivers of breeding density.</w:t>
      </w:r>
    </w:p>
    <w:p w14:paraId="502F6B5C" w14:textId="77777777" w:rsidR="004A2A8F" w:rsidRDefault="00BE6864">
      <w:pPr>
        <w:pStyle w:val="BodyText"/>
      </w:pPr>
      <w:r>
        <w:t>In British Columbia, the coastal population of northern goshawks is the focu</w:t>
      </w:r>
      <w:r>
        <w:t>s of federal and provincial management efforts. Current management strategies focus primarily on the protection of nesting habitat rather than foraging habitat. This is due to a lack of knowledge regarding goshawk foraging behavior and foraging habitat req</w:t>
      </w:r>
      <w:r>
        <w:t xml:space="preserve">uirements. While goshawks </w:t>
      </w:r>
      <w:r>
        <w:lastRenderedPageBreak/>
        <w:t xml:space="preserve">in this regions are known to consume a wide range of birds and small mammals, their diet has never been quantified. </w:t>
      </w:r>
      <w:commentRangeStart w:id="10"/>
      <w:r>
        <w:t>One objective of this study was therefore to describe goshawk diet at the nest during the breeding season. Further</w:t>
      </w:r>
      <w:r>
        <w:t>more, there is no local data on how goshawk diet changes at small and large scales in response to different forest types. This region is ecologically diverse, so a second objective was to identify which landscape characteristics are correlated with variati</w:t>
      </w:r>
      <w:r>
        <w:t>on in breeding season diet. Finally, the consequences of habitat-driven variation in goshawk diet may have a significant–-or negligible-–effect on goshawk productivity. The last objective was therefore to determine whether occupancy and reproductive succes</w:t>
      </w:r>
      <w:r>
        <w:t>s vary with diet and landscape characteristics. Addressing these fundamental knowledge gaps will assist in improving existing forest management strategies.</w:t>
      </w:r>
      <w:commentRangeEnd w:id="10"/>
      <w:r w:rsidR="00F56CF8">
        <w:rPr>
          <w:rStyle w:val="CommentReference"/>
        </w:rPr>
        <w:commentReference w:id="10"/>
      </w:r>
    </w:p>
    <w:sectPr w:rsidR="004A2A8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avid Green" w:date="2020-09-01T14:26:00Z" w:initials="DG">
    <w:p w14:paraId="27B9A9B8" w14:textId="77777777" w:rsidR="00A86316" w:rsidRDefault="00A86316">
      <w:pPr>
        <w:pStyle w:val="CommentText"/>
      </w:pPr>
      <w:r>
        <w:rPr>
          <w:rStyle w:val="CommentReference"/>
        </w:rPr>
        <w:annotationRef/>
      </w:r>
      <w:r>
        <w:t xml:space="preserve">You likely have refs for most </w:t>
      </w:r>
      <w:proofErr w:type="gramStart"/>
      <w:r>
        <w:t>statements</w:t>
      </w:r>
      <w:proofErr w:type="gramEnd"/>
      <w:r>
        <w:t xml:space="preserve"> so I’d add them in now rather than later so Mel others know what you are using to back up your statements</w:t>
      </w:r>
    </w:p>
    <w:p w14:paraId="524C398A" w14:textId="77777777" w:rsidR="00A86316" w:rsidRDefault="00A86316">
      <w:pPr>
        <w:pStyle w:val="CommentText"/>
      </w:pPr>
    </w:p>
    <w:p w14:paraId="31178427" w14:textId="6FAE9247" w:rsidR="00A86316" w:rsidRDefault="00A86316">
      <w:pPr>
        <w:pStyle w:val="CommentText"/>
      </w:pPr>
      <w:r>
        <w:t xml:space="preserve">I </w:t>
      </w:r>
      <w:proofErr w:type="spellStart"/>
      <w:r>
        <w:t>hven’t</w:t>
      </w:r>
      <w:proofErr w:type="spellEnd"/>
      <w:r>
        <w:t xml:space="preserve"> used </w:t>
      </w:r>
      <w:proofErr w:type="spellStart"/>
      <w:r>
        <w:t>github</w:t>
      </w:r>
      <w:proofErr w:type="spellEnd"/>
      <w:r>
        <w:t xml:space="preserve"> for reference tracking but </w:t>
      </w:r>
      <w:proofErr w:type="spellStart"/>
      <w:r>
        <w:t>Philina</w:t>
      </w:r>
      <w:proofErr w:type="spellEnd"/>
      <w:r>
        <w:t xml:space="preserve"> was saying that she had been asked to switch over by her modelling guru DFO advisor</w:t>
      </w:r>
    </w:p>
  </w:comment>
  <w:comment w:id="2" w:author="David Green" w:date="2020-09-01T14:29:00Z" w:initials="DG">
    <w:p w14:paraId="2404EDC7" w14:textId="77777777" w:rsidR="00A86316" w:rsidRDefault="00A86316">
      <w:pPr>
        <w:pStyle w:val="CommentText"/>
      </w:pPr>
      <w:r>
        <w:rPr>
          <w:rStyle w:val="CommentReference"/>
        </w:rPr>
        <w:annotationRef/>
      </w:r>
      <w:r>
        <w:t xml:space="preserve">Probably move to later </w:t>
      </w:r>
    </w:p>
    <w:p w14:paraId="172E94AC" w14:textId="260628F7" w:rsidR="00A86316" w:rsidRDefault="00A86316">
      <w:pPr>
        <w:pStyle w:val="CommentText"/>
      </w:pPr>
      <w:r>
        <w:t>and switch round generalists less vulnerable to fluctuations in prey abundance as they can switch to alternate prey</w:t>
      </w:r>
    </w:p>
  </w:comment>
  <w:comment w:id="0" w:author="David Green" w:date="2020-09-01T14:31:00Z" w:initials="DG">
    <w:p w14:paraId="4CA05188" w14:textId="77777777" w:rsidR="00A86316" w:rsidRDefault="00A86316">
      <w:pPr>
        <w:pStyle w:val="CommentText"/>
      </w:pPr>
      <w:r>
        <w:rPr>
          <w:rStyle w:val="CommentReference"/>
        </w:rPr>
        <w:annotationRef/>
      </w:r>
      <w:r>
        <w:t xml:space="preserve">can edit to </w:t>
      </w:r>
    </w:p>
    <w:p w14:paraId="1DC80D9D" w14:textId="695DC01F" w:rsidR="00A86316" w:rsidRDefault="00A86316">
      <w:pPr>
        <w:pStyle w:val="CommentText"/>
      </w:pPr>
      <w:r>
        <w:t xml:space="preserve">remove redundant words/phrases </w:t>
      </w:r>
    </w:p>
  </w:comment>
  <w:comment w:id="3" w:author="David Green" w:date="2020-09-01T14:33:00Z" w:initials="DG">
    <w:p w14:paraId="64C3A115" w14:textId="54336BF3" w:rsidR="00A86316" w:rsidRDefault="00A86316">
      <w:pPr>
        <w:pStyle w:val="CommentText"/>
      </w:pPr>
      <w:r>
        <w:rPr>
          <w:rStyle w:val="CommentReference"/>
        </w:rPr>
        <w:annotationRef/>
      </w:r>
      <w:r>
        <w:t xml:space="preserve">simplify </w:t>
      </w:r>
      <w:proofErr w:type="gramStart"/>
      <w:r>
        <w:t>to  reduce</w:t>
      </w:r>
      <w:proofErr w:type="gramEnd"/>
      <w:r>
        <w:t xml:space="preserve"> repetition -forest is in next sentence</w:t>
      </w:r>
    </w:p>
    <w:p w14:paraId="609EB9C2" w14:textId="77777777" w:rsidR="00A86316" w:rsidRDefault="00A86316">
      <w:pPr>
        <w:pStyle w:val="CommentText"/>
      </w:pPr>
      <w:r>
        <w:t xml:space="preserve">is a generalist predator with a wide </w:t>
      </w:r>
      <w:proofErr w:type="spellStart"/>
      <w:r>
        <w:t>gepgraphic</w:t>
      </w:r>
      <w:proofErr w:type="spellEnd"/>
      <w:r>
        <w:t xml:space="preserve"> range</w:t>
      </w:r>
    </w:p>
    <w:p w14:paraId="33F59CAC" w14:textId="77777777" w:rsidR="00C755F4" w:rsidRDefault="00C755F4">
      <w:pPr>
        <w:pStyle w:val="CommentText"/>
      </w:pPr>
      <w:r>
        <w:t xml:space="preserve">or </w:t>
      </w:r>
    </w:p>
    <w:p w14:paraId="3D64BA4E" w14:textId="588FDED4" w:rsidR="00C755F4" w:rsidRDefault="00C755F4">
      <w:pPr>
        <w:pStyle w:val="CommentText"/>
      </w:pPr>
      <w:r>
        <w:t>is a forest-dwelling generalist predator with a wide range and dump next sentence</w:t>
      </w:r>
    </w:p>
  </w:comment>
  <w:comment w:id="4" w:author="David Green" w:date="2020-09-01T14:34:00Z" w:initials="DG">
    <w:p w14:paraId="055889A8" w14:textId="18370E41" w:rsidR="00A86316" w:rsidRDefault="00A86316">
      <w:pPr>
        <w:pStyle w:val="CommentText"/>
      </w:pPr>
      <w:r>
        <w:rPr>
          <w:rStyle w:val="CommentReference"/>
        </w:rPr>
        <w:annotationRef/>
      </w:r>
      <w:r w:rsidR="00C755F4">
        <w:t xml:space="preserve">is this </w:t>
      </w:r>
      <w:proofErr w:type="spellStart"/>
      <w:r>
        <w:t>neeeded</w:t>
      </w:r>
      <w:proofErr w:type="spellEnd"/>
      <w:r>
        <w:t>?</w:t>
      </w:r>
    </w:p>
  </w:comment>
  <w:comment w:id="5" w:author="David Green" w:date="2020-09-01T14:34:00Z" w:initials="DG">
    <w:p w14:paraId="53C13B18" w14:textId="7E40570D" w:rsidR="00A86316" w:rsidRDefault="00A86316">
      <w:pPr>
        <w:pStyle w:val="CommentText"/>
      </w:pPr>
      <w:r>
        <w:rPr>
          <w:rStyle w:val="CommentReference"/>
        </w:rPr>
        <w:annotationRef/>
      </w:r>
      <w:r>
        <w:t xml:space="preserve">should </w:t>
      </w:r>
      <w:proofErr w:type="gramStart"/>
      <w:r>
        <w:t>be  second</w:t>
      </w:r>
      <w:proofErr w:type="gramEnd"/>
      <w:r>
        <w:t xml:space="preserve"> </w:t>
      </w:r>
      <w:proofErr w:type="spellStart"/>
      <w:r>
        <w:t>seenteence</w:t>
      </w:r>
      <w:proofErr w:type="spellEnd"/>
    </w:p>
  </w:comment>
  <w:comment w:id="6" w:author="David Green" w:date="2020-09-01T14:38:00Z" w:initials="DG">
    <w:p w14:paraId="46DAB353" w14:textId="77777777" w:rsidR="00C755F4" w:rsidRDefault="00C755F4">
      <w:pPr>
        <w:pStyle w:val="CommentText"/>
      </w:pPr>
      <w:r>
        <w:rPr>
          <w:rStyle w:val="CommentReference"/>
        </w:rPr>
        <w:annotationRef/>
      </w:r>
      <w:r>
        <w:t xml:space="preserve">needs polishing as appears a bit contradictory  </w:t>
      </w:r>
    </w:p>
    <w:p w14:paraId="3090A619" w14:textId="13F7ED9B" w:rsidR="00C755F4" w:rsidRDefault="00C755F4">
      <w:pPr>
        <w:pStyle w:val="CommentText"/>
      </w:pPr>
      <w:r>
        <w:t>highlight diversity yet importance of a single prey species</w:t>
      </w:r>
    </w:p>
  </w:comment>
  <w:comment w:id="7" w:author="David Green" w:date="2020-09-01T14:39:00Z" w:initials="DG">
    <w:p w14:paraId="082407A6" w14:textId="77777777" w:rsidR="00C755F4" w:rsidRDefault="00C755F4">
      <w:pPr>
        <w:pStyle w:val="CommentText"/>
      </w:pPr>
      <w:r>
        <w:rPr>
          <w:rStyle w:val="CommentReference"/>
        </w:rPr>
        <w:annotationRef/>
      </w:r>
      <w:r>
        <w:t xml:space="preserve">Having focused in on </w:t>
      </w:r>
      <w:proofErr w:type="gramStart"/>
      <w:r>
        <w:t>NOGO  in</w:t>
      </w:r>
      <w:proofErr w:type="gramEnd"/>
      <w:r>
        <w:t xml:space="preserve"> the second paragraph </w:t>
      </w:r>
    </w:p>
    <w:p w14:paraId="19A1916A" w14:textId="2AD85A02" w:rsidR="00C755F4" w:rsidRDefault="00C755F4">
      <w:pPr>
        <w:pStyle w:val="CommentText"/>
      </w:pPr>
      <w:r>
        <w:t xml:space="preserve">the topic sentence for this paragraph should keep the focus – </w:t>
      </w:r>
      <w:proofErr w:type="spellStart"/>
      <w:r>
        <w:t>ie</w:t>
      </w:r>
      <w:proofErr w:type="spellEnd"/>
      <w:r>
        <w:t xml:space="preserve"> not jump back out again</w:t>
      </w:r>
      <w:r w:rsidR="00F56CF8">
        <w:t xml:space="preserve">  </w:t>
      </w:r>
    </w:p>
    <w:p w14:paraId="4D1E46BD" w14:textId="77777777" w:rsidR="00C755F4" w:rsidRDefault="00C755F4">
      <w:pPr>
        <w:pStyle w:val="CommentText"/>
      </w:pPr>
    </w:p>
    <w:p w14:paraId="38BE21C7" w14:textId="77777777" w:rsidR="00C755F4" w:rsidRDefault="00C755F4">
      <w:pPr>
        <w:pStyle w:val="CommentText"/>
      </w:pPr>
      <w:r>
        <w:t xml:space="preserve">topic is really goshawk </w:t>
      </w:r>
      <w:proofErr w:type="gramStart"/>
      <w:r>
        <w:t xml:space="preserve">management  </w:t>
      </w:r>
      <w:r w:rsidR="00F56CF8">
        <w:t>so</w:t>
      </w:r>
      <w:proofErr w:type="gramEnd"/>
      <w:r w:rsidR="00F56CF8">
        <w:t xml:space="preserve"> TS can be more specific</w:t>
      </w:r>
    </w:p>
    <w:p w14:paraId="2963122D" w14:textId="6224CC4A" w:rsidR="00F56CF8" w:rsidRDefault="00F56CF8">
      <w:pPr>
        <w:pStyle w:val="CommentText"/>
      </w:pPr>
    </w:p>
  </w:comment>
  <w:comment w:id="8" w:author="David Green" w:date="2020-09-01T14:47:00Z" w:initials="DG">
    <w:p w14:paraId="6BA5FD3A" w14:textId="77777777" w:rsidR="00F56CF8" w:rsidRDefault="00F56CF8">
      <w:pPr>
        <w:pStyle w:val="CommentText"/>
      </w:pPr>
      <w:r>
        <w:rPr>
          <w:rStyle w:val="CommentReference"/>
        </w:rPr>
        <w:annotationRef/>
      </w:r>
      <w:r>
        <w:t>depending on how paragraph is constructed switch as then has same order as next sentence</w:t>
      </w:r>
    </w:p>
    <w:p w14:paraId="7122A289" w14:textId="240355A4" w:rsidR="00F56CF8" w:rsidRDefault="00F56CF8">
      <w:pPr>
        <w:pStyle w:val="CommentText"/>
      </w:pPr>
      <w:r>
        <w:t>also matches next paragraph</w:t>
      </w:r>
    </w:p>
  </w:comment>
  <w:comment w:id="9" w:author="David Green" w:date="2020-09-01T14:48:00Z" w:initials="DG">
    <w:p w14:paraId="25204E77" w14:textId="606BF65E" w:rsidR="00F56CF8" w:rsidRDefault="00F56CF8">
      <w:pPr>
        <w:pStyle w:val="CommentText"/>
      </w:pPr>
      <w:r>
        <w:rPr>
          <w:rStyle w:val="CommentReference"/>
        </w:rPr>
        <w:annotationRef/>
      </w:r>
      <w:r>
        <w:t>true but as a slight of hand split into management for nesting drop foraging and then next sentence is prey</w:t>
      </w:r>
    </w:p>
  </w:comment>
  <w:comment w:id="10" w:author="David Green" w:date="2020-09-01T14:49:00Z" w:initials="DG">
    <w:p w14:paraId="26AB23D9" w14:textId="77777777" w:rsidR="00F56CF8" w:rsidRDefault="00F56CF8">
      <w:pPr>
        <w:pStyle w:val="CommentText"/>
      </w:pPr>
      <w:r>
        <w:rPr>
          <w:rStyle w:val="CommentReference"/>
        </w:rPr>
        <w:annotationRef/>
      </w:r>
      <w:r>
        <w:t xml:space="preserve">all true but can be written as simpler </w:t>
      </w:r>
      <w:proofErr w:type="spellStart"/>
      <w:r>
        <w:t>statemnets</w:t>
      </w:r>
      <w:proofErr w:type="spellEnd"/>
      <w:r>
        <w:t xml:space="preserve"> that don’t need the </w:t>
      </w:r>
    </w:p>
    <w:p w14:paraId="1F45CF24" w14:textId="77777777" w:rsidR="00F56CF8" w:rsidRDefault="00F56CF8">
      <w:pPr>
        <w:pStyle w:val="CommentText"/>
      </w:pPr>
      <w:r>
        <w:t>one objective</w:t>
      </w:r>
    </w:p>
    <w:p w14:paraId="00178376" w14:textId="77777777" w:rsidR="00F56CF8" w:rsidRDefault="00F56CF8">
      <w:pPr>
        <w:pStyle w:val="CommentText"/>
      </w:pPr>
      <w:r>
        <w:t>2</w:t>
      </w:r>
      <w:r w:rsidRPr="00F56CF8">
        <w:rPr>
          <w:vertAlign w:val="superscript"/>
        </w:rPr>
        <w:t>nd</w:t>
      </w:r>
      <w:r>
        <w:t xml:space="preserve"> </w:t>
      </w:r>
      <w:proofErr w:type="spellStart"/>
      <w:r>
        <w:t>etc</w:t>
      </w:r>
      <w:proofErr w:type="spellEnd"/>
    </w:p>
    <w:p w14:paraId="21B463F7" w14:textId="77777777" w:rsidR="00F56CF8" w:rsidRDefault="00F56CF8">
      <w:pPr>
        <w:pStyle w:val="CommentText"/>
      </w:pPr>
    </w:p>
    <w:p w14:paraId="32728F53" w14:textId="77777777" w:rsidR="00F56CF8" w:rsidRDefault="00F56CF8">
      <w:pPr>
        <w:pStyle w:val="CommentText"/>
      </w:pPr>
      <w:r>
        <w:t>Here we quantify the diet of NOGO using xx</w:t>
      </w:r>
    </w:p>
    <w:p w14:paraId="2EF93E02" w14:textId="700516EC" w:rsidR="00F56CF8" w:rsidRDefault="00F56CF8">
      <w:pPr>
        <w:pStyle w:val="CommentText"/>
      </w:pPr>
      <w:r>
        <w:t xml:space="preserve">We also evaluate how </w:t>
      </w:r>
      <w:proofErr w:type="spellStart"/>
      <w:r>
        <w:t>xxxx</w:t>
      </w:r>
      <w:proofErr w:type="spellEnd"/>
      <w:r>
        <w:t xml:space="preserve"> influences diet composition and explore xxx </w:t>
      </w:r>
      <w:proofErr w:type="spellStart"/>
      <w:r>
        <w:t>neest</w:t>
      </w:r>
      <w:proofErr w:type="spellEnd"/>
      <w:r>
        <w:t xml:space="preserve"> occupancy and productivity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178427" w15:done="0"/>
  <w15:commentEx w15:paraId="172E94AC" w15:done="0"/>
  <w15:commentEx w15:paraId="1DC80D9D" w15:done="0"/>
  <w15:commentEx w15:paraId="3D64BA4E" w15:done="0"/>
  <w15:commentEx w15:paraId="055889A8" w15:done="0"/>
  <w15:commentEx w15:paraId="53C13B18" w15:done="0"/>
  <w15:commentEx w15:paraId="3090A619" w15:done="0"/>
  <w15:commentEx w15:paraId="2963122D" w15:done="0"/>
  <w15:commentEx w15:paraId="7122A289" w15:done="0"/>
  <w15:commentEx w15:paraId="25204E77" w15:done="0"/>
  <w15:commentEx w15:paraId="2EF93E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8D8AA" w16cex:dateUtc="2020-09-01T21:26:00Z"/>
  <w16cex:commentExtensible w16cex:durableId="22F8D963" w16cex:dateUtc="2020-09-01T21:29:00Z"/>
  <w16cex:commentExtensible w16cex:durableId="22F8D9C1" w16cex:dateUtc="2020-09-01T21:31:00Z"/>
  <w16cex:commentExtensible w16cex:durableId="22F8DA1C" w16cex:dateUtc="2020-09-01T21:33:00Z"/>
  <w16cex:commentExtensible w16cex:durableId="22F8DA8A" w16cex:dateUtc="2020-09-01T21:34:00Z"/>
  <w16cex:commentExtensible w16cex:durableId="22F8DA7B" w16cex:dateUtc="2020-09-01T21:34:00Z"/>
  <w16cex:commentExtensible w16cex:durableId="22F8DB63" w16cex:dateUtc="2020-09-01T21:38:00Z"/>
  <w16cex:commentExtensible w16cex:durableId="22F8DBB5" w16cex:dateUtc="2020-09-01T21:39:00Z"/>
  <w16cex:commentExtensible w16cex:durableId="22F8DD7F" w16cex:dateUtc="2020-09-01T21:47:00Z"/>
  <w16cex:commentExtensible w16cex:durableId="22F8DDAD" w16cex:dateUtc="2020-09-01T21:48:00Z"/>
  <w16cex:commentExtensible w16cex:durableId="22F8DE01" w16cex:dateUtc="2020-09-01T2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178427" w16cid:durableId="22F8D8AA"/>
  <w16cid:commentId w16cid:paraId="172E94AC" w16cid:durableId="22F8D963"/>
  <w16cid:commentId w16cid:paraId="1DC80D9D" w16cid:durableId="22F8D9C1"/>
  <w16cid:commentId w16cid:paraId="3D64BA4E" w16cid:durableId="22F8DA1C"/>
  <w16cid:commentId w16cid:paraId="055889A8" w16cid:durableId="22F8DA8A"/>
  <w16cid:commentId w16cid:paraId="53C13B18" w16cid:durableId="22F8DA7B"/>
  <w16cid:commentId w16cid:paraId="3090A619" w16cid:durableId="22F8DB63"/>
  <w16cid:commentId w16cid:paraId="2963122D" w16cid:durableId="22F8DBB5"/>
  <w16cid:commentId w16cid:paraId="7122A289" w16cid:durableId="22F8DD7F"/>
  <w16cid:commentId w16cid:paraId="25204E77" w16cid:durableId="22F8DDAD"/>
  <w16cid:commentId w16cid:paraId="2EF93E02" w16cid:durableId="22F8DE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FFA90" w14:textId="77777777" w:rsidR="00BE6864" w:rsidRDefault="00BE6864">
      <w:pPr>
        <w:spacing w:after="0"/>
      </w:pPr>
      <w:r>
        <w:separator/>
      </w:r>
    </w:p>
  </w:endnote>
  <w:endnote w:type="continuationSeparator" w:id="0">
    <w:p w14:paraId="1D2D6530" w14:textId="77777777" w:rsidR="00BE6864" w:rsidRDefault="00BE68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11C0F" w14:textId="77777777" w:rsidR="00BE6864" w:rsidRDefault="00BE6864">
      <w:r>
        <w:separator/>
      </w:r>
    </w:p>
  </w:footnote>
  <w:footnote w:type="continuationSeparator" w:id="0">
    <w:p w14:paraId="051BA368" w14:textId="77777777" w:rsidR="00BE6864" w:rsidRDefault="00BE6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62CA0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Green">
    <w15:presenceInfo w15:providerId="AD" w15:userId="S::davidg@sfu.ca::4e4b9f20-7b6e-4244-86b3-e94757e711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A2A8F"/>
    <w:rsid w:val="004E29B3"/>
    <w:rsid w:val="00590D07"/>
    <w:rsid w:val="00784D58"/>
    <w:rsid w:val="008D6863"/>
    <w:rsid w:val="00981F6F"/>
    <w:rsid w:val="00A86316"/>
    <w:rsid w:val="00B86B75"/>
    <w:rsid w:val="00BC48D5"/>
    <w:rsid w:val="00BE6864"/>
    <w:rsid w:val="00C36279"/>
    <w:rsid w:val="00C755F4"/>
    <w:rsid w:val="00E315A3"/>
    <w:rsid w:val="00F56C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62964"/>
  <w15:docId w15:val="{60ED5939-8D1E-5F46-9CAE-0FA26F51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A8631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63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3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6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863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631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63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One 0.3</vt:lpstr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One 0.3</dc:title>
  <dc:creator>David Green</dc:creator>
  <cp:keywords/>
  <cp:lastModifiedBy>David Green</cp:lastModifiedBy>
  <cp:revision>2</cp:revision>
  <dcterms:created xsi:type="dcterms:W3CDTF">2020-09-01T21:54:00Z</dcterms:created>
  <dcterms:modified xsi:type="dcterms:W3CDTF">2020-09-01T21:54:00Z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</Properties>
</file>