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91EE6" w14:textId="77777777" w:rsidR="00C05DB0" w:rsidRDefault="007D018A">
      <w:pPr>
        <w:pStyle w:val="Title"/>
      </w:pPr>
      <w:r>
        <w:t>Chapter One: Introduction 0.3</w:t>
      </w:r>
    </w:p>
    <w:p w14:paraId="71F340FB" w14:textId="77777777" w:rsidR="00C05DB0" w:rsidRDefault="007D018A">
      <w:pPr>
        <w:pStyle w:val="FirstParagraph"/>
      </w:pPr>
      <w:r>
        <w:t xml:space="preserve">Effective wildlife conservation requires an understanding of diet and its consequences for population demographics. Generalist predators are less sensitive to fluctuations in prey abundance than specialists, as their broad diet reduces the likelihood that </w:t>
      </w:r>
      <w:r>
        <w:t>prey species will fluctuate synchronously. Their ability to switch between alternate prey species when one becomes rare increases population stability and decreases the risk of population decline. Despite this flexibility, a single key prey species or limi</w:t>
      </w:r>
      <w:r>
        <w:t>ted suite of species may still have a major influence on productivity, site occupancy, and other demographic drivers.</w:t>
      </w:r>
    </w:p>
    <w:p w14:paraId="1C10DED0" w14:textId="77777777" w:rsidR="00C05DB0" w:rsidRDefault="007D018A">
      <w:pPr>
        <w:pStyle w:val="BodyText"/>
      </w:pPr>
      <w:r>
        <w:t>The northern goshawk (</w:t>
      </w:r>
      <w:r>
        <w:rPr>
          <w:i/>
        </w:rPr>
        <w:t>Accipiter gentilis</w:t>
      </w:r>
      <w:r>
        <w:t>) is a forest-dwelling raptor with a wide distribution and generalist diet. However, the number an</w:t>
      </w:r>
      <w:r>
        <w:t>d identity of key prey species varies across its range, with consequences for demographic parameters. In the Yukon, goshawks depend on snowshoe hare (</w:t>
      </w:r>
      <w:r>
        <w:rPr>
          <w:i/>
        </w:rPr>
        <w:t>Lepus americanus</w:t>
      </w:r>
      <w:r>
        <w:t>) and show strong variation in productivity, mortality, and space use in response to cycli</w:t>
      </w:r>
      <w:r>
        <w:t>cal changes in hare abundance (Doyle and Smith 1994). Goshawks in Scandinavia  likewise rely heavily on a single narrow prey group, grouse (subfamily Tetraoninae), and show changes in productivity and occupancy based on grouse abundance (Tornberg et al. 20</w:t>
      </w:r>
      <w:r>
        <w:t>05). In contrast, goshawks in the American Southwest have a wide prey base, regularly taking some fourteen different species. Population fluctuations are small and driven by total prey abundance, though the most influential single species is red squirrel (</w:t>
      </w:r>
      <w:r>
        <w:rPr>
          <w:i/>
        </w:rPr>
        <w:t>Tamiasciurus hudsonicus</w:t>
      </w:r>
      <w:r>
        <w:t>) (Salafsky et al. 2007). For such an adaptable predator, the identity and influence of key prey species on population demographics may be specific to each population.</w:t>
      </w:r>
    </w:p>
    <w:p w14:paraId="4E408E54" w14:textId="77777777" w:rsidR="00C05DB0" w:rsidRDefault="007D018A">
      <w:pPr>
        <w:pStyle w:val="BodyText"/>
      </w:pPr>
      <w:r>
        <w:t>Like many raptors, goshawks in both Europe and North America appe</w:t>
      </w:r>
      <w:r>
        <w:t xml:space="preserve">ar to be limited primarily by nest site availability and food availability (Reynolds, Wiens, and Salafsky 2006; Rutz et al. 2006). </w:t>
      </w:r>
      <w:commentRangeStart w:id="0"/>
      <w:r>
        <w:t>For this reason, longstanding guidelines in the American Southwest suggest managing forests for both goshawks and goshawk pre</w:t>
      </w:r>
      <w:r>
        <w:t>y (Reynolds et al. 1992). Under this plan, the majority of managed forest is recommended to remain in the older age classes preferred by goshawks for nesting and foraging. However, a portion should be managed as a mosaic of differently-aged stands and smal</w:t>
      </w:r>
      <w:r>
        <w:t>l gaps for the benefit of goshawk prey species. This approach remains controversial (Greenwald et al. 2005), but by manipulating the amount and character of forest habitat managers seek to affect occupancy and productivity, two key drivers of breeding dens</w:t>
      </w:r>
      <w:r>
        <w:t xml:space="preserve">ity. </w:t>
      </w:r>
      <w:commentRangeEnd w:id="0"/>
      <w:r w:rsidR="00AF40FA">
        <w:rPr>
          <w:rStyle w:val="CommentReference"/>
        </w:rPr>
        <w:commentReference w:id="0"/>
      </w:r>
    </w:p>
    <w:p w14:paraId="1DA11245" w14:textId="77777777" w:rsidR="00C05DB0" w:rsidRDefault="007D018A">
      <w:pPr>
        <w:pStyle w:val="BodyText"/>
      </w:pPr>
      <w:r>
        <w:t>In British Columbia, the coastal population of northern goshawks is the object of federal and provincial management that focuses on the protection of nesting habitat. This strategy is due, in part, to a lack of knowledge regarding goshawk foraging be</w:t>
      </w:r>
      <w:r>
        <w:t>havior and foraging habitat requirements. Goshawks in this region are known to consume a diverse range of birds and small mammals, but their diet has never been quantified. There is also little known about variation in diet in response to landscape charact</w:t>
      </w:r>
      <w:r>
        <w:t>eristics. The consequences of such habitat-driven variation in diet may have significant–-or negligible-–effects on goshawk productivity and site occupancy. Here we describe goshawk diet at the nest during the breeding season and evaluate whether dietary v</w:t>
      </w:r>
      <w:r>
        <w:t>ariation affects reproductive success.</w:t>
      </w:r>
    </w:p>
    <w:p w14:paraId="4746AE2B" w14:textId="77777777" w:rsidR="00C05DB0" w:rsidRDefault="007D018A">
      <w:pPr>
        <w:pStyle w:val="Bibliography"/>
      </w:pPr>
      <w:bookmarkStart w:id="1" w:name="ref-doyle_population_1994"/>
      <w:bookmarkStart w:id="2" w:name="refs"/>
      <w:r>
        <w:lastRenderedPageBreak/>
        <w:t xml:space="preserve">Doyle, Frank I., and James M. N. Smith. 1994. “Population Responses of Northern Goshawks to the 10-Year Cycle in Numbers of Snowshoe Hares.” </w:t>
      </w:r>
      <w:r>
        <w:rPr>
          <w:i/>
        </w:rPr>
        <w:t>Studies in Avian Biology</w:t>
      </w:r>
      <w:r>
        <w:t xml:space="preserve"> 16: 122–29.</w:t>
      </w:r>
    </w:p>
    <w:p w14:paraId="7D947DEF" w14:textId="77777777" w:rsidR="00C05DB0" w:rsidRDefault="007D018A">
      <w:pPr>
        <w:pStyle w:val="Bibliography"/>
      </w:pPr>
      <w:bookmarkStart w:id="3" w:name="ref-greenwald_review_2005"/>
      <w:bookmarkEnd w:id="1"/>
      <w:r>
        <w:t>Greenwald, Noah D., D. Coleman Crocker-</w:t>
      </w:r>
      <w:r>
        <w:t xml:space="preserve">Bedford, Len Broberg, Kieran F. Suckling, and Timothy Tibbitts. 2005. “A Review of Northern Goshawk Habitat Selection in the Home Range and Implications for Forest Management in the Western United States.” </w:t>
      </w:r>
      <w:r>
        <w:rPr>
          <w:i/>
        </w:rPr>
        <w:t>Wildlife Society Bulletin</w:t>
      </w:r>
      <w:r>
        <w:t xml:space="preserve"> 33 (1): 120–29.</w:t>
      </w:r>
    </w:p>
    <w:p w14:paraId="44B0439E" w14:textId="77777777" w:rsidR="00C05DB0" w:rsidRDefault="007D018A">
      <w:pPr>
        <w:pStyle w:val="Bibliography"/>
      </w:pPr>
      <w:bookmarkStart w:id="4" w:name="ref-reynolds_management_1992"/>
      <w:bookmarkEnd w:id="3"/>
      <w:r>
        <w:t>Reynolds</w:t>
      </w:r>
      <w:r>
        <w:t>, Richard T., Russell T. Graham, M. Hildegard Reiser, Richard L. Bassett, Patricia L. Kennedy, Douglas A. Boyce, Greg Goodwin, Randall Smith, and E. Leon Fisher. 1992. “Management Recommendations for the Northern Goshawk in the Southwestern United States.”</w:t>
      </w:r>
      <w:r>
        <w:t xml:space="preserve"> General Technical Report RM-217. Ft. Collins, CO: U.S. Department of Agriculture, Forest Service, Rocky Mountain Forest; Range Experiment Station. </w:t>
      </w:r>
      <w:hyperlink r:id="rId11">
        <w:r>
          <w:rPr>
            <w:rStyle w:val="Hyperlink"/>
          </w:rPr>
          <w:t>http://www.fs.fed.us/rm /pubs_rm/rm_gtr2</w:t>
        </w:r>
        <w:r>
          <w:rPr>
            <w:rStyle w:val="Hyperlink"/>
          </w:rPr>
          <w:t>17.pdf</w:t>
        </w:r>
      </w:hyperlink>
      <w:r>
        <w:t>.</w:t>
      </w:r>
    </w:p>
    <w:p w14:paraId="391EDFBD" w14:textId="77777777" w:rsidR="00C05DB0" w:rsidRDefault="007D018A">
      <w:pPr>
        <w:pStyle w:val="Bibliography"/>
      </w:pPr>
      <w:bookmarkStart w:id="5" w:name="ref-reynolds_review_2006"/>
      <w:bookmarkEnd w:id="4"/>
      <w:r>
        <w:t xml:space="preserve">Reynolds, Richard T., J. David Wiens, and Susan R. Salafsky. 2006. “A Review and Evaluation of Factors Limiting Northern Goshawk Populations.” </w:t>
      </w:r>
      <w:r>
        <w:rPr>
          <w:i/>
        </w:rPr>
        <w:t>Studies in Avian Biology</w:t>
      </w:r>
      <w:r>
        <w:t xml:space="preserve"> 31: 260–73.</w:t>
      </w:r>
    </w:p>
    <w:p w14:paraId="707A193E" w14:textId="77777777" w:rsidR="00C05DB0" w:rsidRDefault="007D018A">
      <w:pPr>
        <w:pStyle w:val="Bibliography"/>
      </w:pPr>
      <w:bookmarkStart w:id="6" w:name="ref-rutz_population_2006"/>
      <w:bookmarkEnd w:id="5"/>
      <w:r>
        <w:t>Rutz, Christian, Rob G. Bijlsma, Mick Marquiss, and Robert E. Kenwar</w:t>
      </w:r>
      <w:r>
        <w:t xml:space="preserve">d. 2006. “Population Limitation in the Northern Goshawk in Europe: A Review with Case Studies.” </w:t>
      </w:r>
      <w:r>
        <w:rPr>
          <w:i/>
        </w:rPr>
        <w:t>Studies in Avian Biology</w:t>
      </w:r>
      <w:r>
        <w:t xml:space="preserve"> 31: 158–97.</w:t>
      </w:r>
    </w:p>
    <w:p w14:paraId="17275996" w14:textId="77777777" w:rsidR="00C05DB0" w:rsidRDefault="007D018A">
      <w:pPr>
        <w:pStyle w:val="Bibliography"/>
      </w:pPr>
      <w:bookmarkStart w:id="7" w:name="ref-salafsky_reproductive_2007"/>
      <w:bookmarkEnd w:id="6"/>
      <w:r>
        <w:t>Salafsky, Susan R., Richard T. Reynolds, Barry R. Noon, and John A. Wiens. 2007. “Reproductive Responses of Northern Goshaw</w:t>
      </w:r>
      <w:r>
        <w:t xml:space="preserve">ks to Variable Prey Populations.” </w:t>
      </w:r>
      <w:r>
        <w:rPr>
          <w:i/>
        </w:rPr>
        <w:t>The Journal of Wildlife Management</w:t>
      </w:r>
      <w:r>
        <w:t xml:space="preserve"> 71 (7): 2274–83. </w:t>
      </w:r>
      <w:hyperlink r:id="rId12">
        <w:r>
          <w:rPr>
            <w:rStyle w:val="Hyperlink"/>
          </w:rPr>
          <w:t>https://doi.org/10.2193/2006-357</w:t>
        </w:r>
      </w:hyperlink>
      <w:r>
        <w:t>.</w:t>
      </w:r>
    </w:p>
    <w:p w14:paraId="5BA47EEC" w14:textId="77777777" w:rsidR="00C05DB0" w:rsidRDefault="007D018A">
      <w:pPr>
        <w:pStyle w:val="Bibliography"/>
      </w:pPr>
      <w:bookmarkStart w:id="8" w:name="ref-tornberg_delayed_2005"/>
      <w:bookmarkEnd w:id="7"/>
      <w:r>
        <w:t>Tornberg, Risto, Erkki Korpimäki, Sven Jungell, and Vitali Reif. 2005. “Delayed Nume</w:t>
      </w:r>
      <w:r>
        <w:t xml:space="preserve">rical Response of Goshawks to Population Fluctuations of Forest Grouse.” </w:t>
      </w:r>
      <w:r>
        <w:rPr>
          <w:i/>
        </w:rPr>
        <w:t>Oikos</w:t>
      </w:r>
      <w:r>
        <w:t xml:space="preserve"> 111: 408–15.</w:t>
      </w:r>
      <w:bookmarkEnd w:id="2"/>
      <w:bookmarkEnd w:id="8"/>
    </w:p>
    <w:sectPr w:rsidR="00C05DB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wyn Case" w:date="2020-11-10T17:39:00Z" w:initials="GC">
    <w:p w14:paraId="09BEE7F1" w14:textId="6596FBA0" w:rsidR="00AF40FA" w:rsidRDefault="00AF40FA">
      <w:pPr>
        <w:pStyle w:val="CommentText"/>
      </w:pPr>
      <w:r>
        <w:rPr>
          <w:rStyle w:val="CommentReference"/>
        </w:rPr>
        <w:annotationRef/>
      </w:r>
      <w:r>
        <w:t>Since all of the landscape analysis has been moved to chapter two, I suppose it no longer makes sense to have all this landscape and management stuff here. Swap out for something more diet-relevant?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BEE7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54EEB" w16cex:dateUtc="2020-11-11T0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BEE7F1" w16cid:durableId="23554E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B2522" w14:textId="77777777" w:rsidR="007D018A" w:rsidRDefault="007D018A">
      <w:pPr>
        <w:spacing w:after="0"/>
      </w:pPr>
      <w:r>
        <w:separator/>
      </w:r>
    </w:p>
  </w:endnote>
  <w:endnote w:type="continuationSeparator" w:id="0">
    <w:p w14:paraId="5881DC05" w14:textId="77777777" w:rsidR="007D018A" w:rsidRDefault="007D01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5FCFB" w14:textId="77777777" w:rsidR="007D018A" w:rsidRDefault="007D018A">
      <w:r>
        <w:separator/>
      </w:r>
    </w:p>
  </w:footnote>
  <w:footnote w:type="continuationSeparator" w:id="0">
    <w:p w14:paraId="27A0C269" w14:textId="77777777" w:rsidR="007D018A" w:rsidRDefault="007D0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FEAC6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wyn Case">
    <w15:presenceInfo w15:providerId="None" w15:userId="Gwyn Ca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4BA7"/>
    <w:rsid w:val="004E29B3"/>
    <w:rsid w:val="00590D07"/>
    <w:rsid w:val="006F1F22"/>
    <w:rsid w:val="00784D58"/>
    <w:rsid w:val="007D018A"/>
    <w:rsid w:val="008D6863"/>
    <w:rsid w:val="00AF40FA"/>
    <w:rsid w:val="00B86B75"/>
    <w:rsid w:val="00BC48D5"/>
    <w:rsid w:val="00C05DB0"/>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E6EAD"/>
  <w15:docId w15:val="{018E930E-7C08-453C-8B44-ACC7BD79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AF40FA"/>
    <w:rPr>
      <w:sz w:val="16"/>
      <w:szCs w:val="16"/>
    </w:rPr>
  </w:style>
  <w:style w:type="paragraph" w:styleId="CommentText">
    <w:name w:val="annotation text"/>
    <w:basedOn w:val="Normal"/>
    <w:link w:val="CommentTextChar"/>
    <w:semiHidden/>
    <w:unhideWhenUsed/>
    <w:rsid w:val="00AF40FA"/>
    <w:rPr>
      <w:sz w:val="20"/>
      <w:szCs w:val="20"/>
    </w:rPr>
  </w:style>
  <w:style w:type="character" w:customStyle="1" w:styleId="CommentTextChar">
    <w:name w:val="Comment Text Char"/>
    <w:basedOn w:val="DefaultParagraphFont"/>
    <w:link w:val="CommentText"/>
    <w:semiHidden/>
    <w:rsid w:val="00AF40FA"/>
    <w:rPr>
      <w:sz w:val="20"/>
      <w:szCs w:val="20"/>
    </w:rPr>
  </w:style>
  <w:style w:type="paragraph" w:styleId="CommentSubject">
    <w:name w:val="annotation subject"/>
    <w:basedOn w:val="CommentText"/>
    <w:next w:val="CommentText"/>
    <w:link w:val="CommentSubjectChar"/>
    <w:semiHidden/>
    <w:unhideWhenUsed/>
    <w:rsid w:val="00AF40FA"/>
    <w:rPr>
      <w:b/>
      <w:bCs/>
    </w:rPr>
  </w:style>
  <w:style w:type="character" w:customStyle="1" w:styleId="CommentSubjectChar">
    <w:name w:val="Comment Subject Char"/>
    <w:basedOn w:val="CommentTextChar"/>
    <w:link w:val="CommentSubject"/>
    <w:semiHidden/>
    <w:rsid w:val="00AF40FA"/>
    <w:rPr>
      <w:b/>
      <w:bCs/>
      <w:sz w:val="20"/>
      <w:szCs w:val="20"/>
    </w:rPr>
  </w:style>
  <w:style w:type="paragraph" w:styleId="BalloonText">
    <w:name w:val="Balloon Text"/>
    <w:basedOn w:val="Normal"/>
    <w:link w:val="BalloonTextChar"/>
    <w:semiHidden/>
    <w:unhideWhenUsed/>
    <w:rsid w:val="00AF40F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F40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2193/2006-3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s.fed.us/rm%20/pubs_rm/rm_gtr217.pdf"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Introduction 0.3</dc:title>
  <dc:creator>Gwyn Case</dc:creator>
  <cp:keywords/>
  <cp:lastModifiedBy>Gwyn Case</cp:lastModifiedBy>
  <cp:revision>3</cp:revision>
  <dcterms:created xsi:type="dcterms:W3CDTF">2020-11-11T01:39:00Z</dcterms:created>
  <dcterms:modified xsi:type="dcterms:W3CDTF">2020-11-11T01:40:00Z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chapter-one.bib</vt:lpwstr>
  </property>
  <property fmtid="{D5CDD505-2E9C-101B-9397-08002B2CF9AE}" pid="4" name="output">
    <vt:lpwstr>word_document</vt:lpwstr>
  </property>
</Properties>
</file>