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0DE4" w14:textId="77777777" w:rsidR="00197B80" w:rsidRDefault="00387E87">
      <w:pPr>
        <w:pStyle w:val="Title"/>
      </w:pPr>
      <w:r>
        <w:t>Northern goshawk diet in southwestern British Columbia</w:t>
      </w:r>
    </w:p>
    <w:p w14:paraId="25529BCD" w14:textId="77777777" w:rsidR="00197B80" w:rsidRDefault="00387E87">
      <w:pPr>
        <w:pStyle w:val="Heading1"/>
      </w:pPr>
      <w:bookmarkStart w:id="0" w:name="introduction"/>
      <w:r>
        <w:t>1</w:t>
      </w:r>
      <w:r>
        <w:tab/>
        <w:t>Introduction</w:t>
      </w:r>
      <w:bookmarkEnd w:id="0"/>
    </w:p>
    <w:p w14:paraId="6D2FD53F" w14:textId="77777777" w:rsidR="00197B80" w:rsidRDefault="00387E87">
      <w:pPr>
        <w:pStyle w:val="FirstParagraph"/>
      </w:pPr>
      <w:r>
        <w:t>Effective wildlife conservation often requires understanding diet composition and its consequences for population demographics (Ferrer and Negro 2004, Stier et al. 2016). Specialist predators consume a narrow range of prey species, which increases foraging</w:t>
      </w:r>
      <w:r>
        <w:t xml:space="preserve"> efficiency on preferred prey at the cost of decreased reproductive success for the specialist when that prey is scarce (Newton 1998). Generalist predators consume a greater diversity of prey and readily switch between prey species, so are less sensitive t</w:t>
      </w:r>
      <w:r>
        <w:t>o changes in prey abundance (Steenhof and Kochert 1988, Terraube and Arroyo 2011). However, for a generalist predator a single key prey species may still be a major driver of reproductive success (Elmhagen et al. 2000, Resano‐Mayor et al. 2016). For at-ris</w:t>
      </w:r>
      <w:r>
        <w:t>k predators, increasing the abundance of key prey species may be a useful conservation tool (Ferrer and Negro 2004, Forsman et al. 2004, Resano‐Mayor et al. 2016).</w:t>
      </w:r>
    </w:p>
    <w:p w14:paraId="5F14C08E" w14:textId="77777777" w:rsidR="00197B80" w:rsidRDefault="00387E87">
      <w:pPr>
        <w:pStyle w:val="BodyText"/>
      </w:pPr>
      <w:r>
        <w:t>The northern goshawk (</w:t>
      </w:r>
      <w:r>
        <w:rPr>
          <w:i/>
        </w:rPr>
        <w:t>Accipiter gentilis</w:t>
      </w:r>
      <w:r>
        <w:t>) is a large forest-dwelling raptor with a Holarctic</w:t>
      </w:r>
      <w:r>
        <w:t xml:space="preserve"> distribution. A generalist predator, the goshawk hunts a variety of small- and medium-sized mammals and birds, including squirrels, rabbits and hares, grouse, jays and crows, and pigeons (Squires et al. 2020). Despite this diverse diet, a single prey spec</w:t>
      </w:r>
      <w:r>
        <w:t>ies or narrow suite of species has a strong effect on the demographics of many goshawk populations. In the Yukon, goshawks depend on snowshoe hare (</w:t>
      </w:r>
      <w:r>
        <w:rPr>
          <w:i/>
        </w:rPr>
        <w:t>Lepus americanus</w:t>
      </w:r>
      <w:r>
        <w:t>) and show strong variation in productivity, mortality, and space use in response to cyclica</w:t>
      </w:r>
      <w:r>
        <w:t>l changes in hare abundance (Doyle and Smith 1994). Goshawks in Scandinavia likewise rely on a single prey taxon (subfamily Tetraoninae) and show changes in productivity and occupancy based on the annual abundance of four grouse species (Tornberg et al. 20</w:t>
      </w:r>
      <w:r>
        <w:t xml:space="preserve">05). In contrast, goshawks in the American Southwest have a wide prey base and regularly consume some fourteen different species (Boal and Mannan 1994). Fluctuations in goshawk productivity in this region are small and driven </w:t>
      </w:r>
      <w:r>
        <w:lastRenderedPageBreak/>
        <w:t>by total prey abundance, thoug</w:t>
      </w:r>
      <w:r>
        <w:t>h the most influential single species is red squirrel (</w:t>
      </w:r>
      <w:r>
        <w:rPr>
          <w:i/>
        </w:rPr>
        <w:t>Tamiasciurus hudsonicus</w:t>
      </w:r>
      <w:r>
        <w:t>) (Salafsky et al. 2007). These examples suggest the identity and influence of key prey species in such an adaptable predator may be specific to each population.</w:t>
      </w:r>
    </w:p>
    <w:p w14:paraId="3A2BEC5D" w14:textId="77777777" w:rsidR="00197B80" w:rsidRDefault="00387E87">
      <w:pPr>
        <w:pStyle w:val="BodyText"/>
      </w:pPr>
      <w:r>
        <w:t>In British Colum</w:t>
      </w:r>
      <w:r>
        <w:t>bia, Canada, the coastal population of northern goshawks is the subject of federal and provincial management which focuses on the protection of breeding habitat to increase nest site availability (COSEWIC 2013). Like many raptors, goshawks are generally co</w:t>
      </w:r>
      <w:r>
        <w:t>nsidered to be limited by both nest site availability and prey abundance (Reynolds et al. 2006, Rutz et al. 2006). However, current management plans contain minimal protections for foraging habitat and do not include actions to increase prey populations, i</w:t>
      </w:r>
      <w:r>
        <w:t>n part due to a lack of knowledge regarding goshawk diet and foraging behavior in this region.</w:t>
      </w:r>
    </w:p>
    <w:p w14:paraId="42179163" w14:textId="77777777" w:rsidR="00197B80" w:rsidRDefault="00387E87">
      <w:pPr>
        <w:pStyle w:val="BodyText"/>
      </w:pPr>
      <w:r>
        <w:t>Goshawk diet in the coastal Pacific Northwest is variable, with hawks on Vancouver Island, British Columbia, consuming primarily red squirrels (Ethier 1999), whe</w:t>
      </w:r>
      <w:r>
        <w:t>reas hawks in nearby southeast Alaska (Lewis et al. 2006) and western Washington (Bloxton 2002) consume mostly medium and large birds. The mainland coast of British Columbia is ecologically similar to Vancouver Island and hawks in this region might be pred</w:t>
      </w:r>
      <w:r>
        <w:t>icted to consume a similar diet to hawks on Vancouver Island. However, a gradient of forest types across the coastal mainland may produce dietary variation at fine scales. Snowshoe hare, a key prey species in many portions of the goshawk’s range, is absent</w:t>
      </w:r>
      <w:r>
        <w:t xml:space="preserve"> from Vancouver Island, scarce on the coastal mainland, and abundant in the British Columbia interior (Nagorsen 2002). Goshawk diet on the mainland coast may reflect this variation in available prey between Vancouver Island and the mainland, as well as the</w:t>
      </w:r>
      <w:r>
        <w:t xml:space="preserve"> variation in prey abundance between the coast and the interior. Where coastal forest types transition to interior forest types, it is unclear how goshawk diet might respond to fine variation in prey availability and abundance. Detailed, local information </w:t>
      </w:r>
      <w:r>
        <w:t>on goshawk diet is therefore necessary if limiting factors beyond nest site availability are to be included in management plans.</w:t>
      </w:r>
    </w:p>
    <w:p w14:paraId="1D31687F" w14:textId="77777777" w:rsidR="00197B80" w:rsidRDefault="00387E87">
      <w:pPr>
        <w:pStyle w:val="BodyText"/>
      </w:pPr>
      <w:r>
        <w:lastRenderedPageBreak/>
        <w:t>Here we describe the breeding season diet of northern goshawks in coastal British Columbia over a two-year period using nest ca</w:t>
      </w:r>
      <w:r>
        <w:t xml:space="preserve">meras, egested pellets, and prey remains. We assess whether goshawk diet differs within this region between the wetter </w:t>
      </w:r>
      <w:r>
        <w:rPr>
          <w:i/>
        </w:rPr>
        <w:t>coastal</w:t>
      </w:r>
      <w:r>
        <w:t xml:space="preserve"> zone and the drier </w:t>
      </w:r>
      <w:r>
        <w:rPr>
          <w:i/>
        </w:rPr>
        <w:t>transition</w:t>
      </w:r>
      <w:r>
        <w:t xml:space="preserve"> zone. We further evaluate whether diet composition and diet diversity influence goshawk reproductiv</w:t>
      </w:r>
      <w:r>
        <w:t>e success.</w:t>
      </w:r>
    </w:p>
    <w:p w14:paraId="0B828856" w14:textId="77777777" w:rsidR="00197B80" w:rsidRDefault="00387E87">
      <w:pPr>
        <w:pStyle w:val="Heading1"/>
      </w:pPr>
      <w:bookmarkStart w:id="1" w:name="methods"/>
      <w:r>
        <w:t>2</w:t>
      </w:r>
      <w:r>
        <w:tab/>
        <w:t>Methods</w:t>
      </w:r>
      <w:bookmarkEnd w:id="1"/>
    </w:p>
    <w:p w14:paraId="29B50790" w14:textId="77777777" w:rsidR="00197B80" w:rsidRDefault="00387E87">
      <w:pPr>
        <w:pStyle w:val="Heading2"/>
      </w:pPr>
      <w:bookmarkStart w:id="2" w:name="study-area-and-species"/>
      <w:r>
        <w:t>2.1</w:t>
      </w:r>
      <w:r>
        <w:tab/>
        <w:t>Study Area and Species</w:t>
      </w:r>
      <w:bookmarkEnd w:id="2"/>
    </w:p>
    <w:p w14:paraId="20EFDB42" w14:textId="77777777" w:rsidR="00197B80" w:rsidRDefault="00387E87">
      <w:pPr>
        <w:pStyle w:val="FirstParagraph"/>
      </w:pPr>
      <w:r>
        <w:t xml:space="preserve">In North America the northern goshawk ranges from the boreal forests of the Yukon south to the high-elevation forests of Arizona and New Mexico. Two subspecies are recognized: the widespread </w:t>
      </w:r>
      <w:r>
        <w:rPr>
          <w:i/>
        </w:rPr>
        <w:t>atricapillus</w:t>
      </w:r>
      <w:r>
        <w:t xml:space="preserve"> and </w:t>
      </w:r>
      <w:r>
        <w:t xml:space="preserve">the restricted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 found elsewhere on the continent (Taverner 1940). The range</w:t>
      </w:r>
      <w:r>
        <w:t xml:space="preserve"> of this subspecies is limited to the west coast of North America, from southeast Alaska through mainland British Columbia and Vancouver Island, possibly as far south as Washington’s Olympic Peninsula (COSEWIC 2013). Within British Columbia the Coast Mount</w:t>
      </w:r>
      <w:r>
        <w:t xml:space="preserve">ains form a major barrier to movement and mark the boundary between the </w:t>
      </w:r>
      <w:r>
        <w:rPr>
          <w:i/>
        </w:rPr>
        <w:t>laingi</w:t>
      </w:r>
      <w:r>
        <w:t xml:space="preserve"> and </w:t>
      </w:r>
      <w:r>
        <w:rPr>
          <w:i/>
        </w:rPr>
        <w:t>atricapillus</w:t>
      </w:r>
      <w:r>
        <w:t xml:space="preserve"> ranges. </w:t>
      </w:r>
      <w:r>
        <w:rPr>
          <w:i/>
        </w:rPr>
        <w:t>A. g. laingi</w:t>
      </w:r>
      <w:r>
        <w:t xml:space="preserve"> is considered a species at risk in British Columbia by both the federal and provincial governments due to significant habitat loss from ind</w:t>
      </w:r>
      <w:r>
        <w:t>ustrial timber harvest (Team 2008, COSEWIC 2013).</w:t>
      </w:r>
    </w:p>
    <w:p w14:paraId="2CBB3271" w14:textId="77777777" w:rsidR="00197B80" w:rsidRDefault="00387E87">
      <w:pPr>
        <w:pStyle w:val="BodyText"/>
      </w:pPr>
      <w:r>
        <w:t xml:space="preserve">We conducted research in southwestern British Columbia, where goshawks are considered part of the </w:t>
      </w:r>
      <w:r>
        <w:rPr>
          <w:i/>
        </w:rPr>
        <w:t>laingi</w:t>
      </w:r>
      <w:r>
        <w:t xml:space="preserve"> subspecies [Team (2008); COSEWIC (2013); but see Geraldes et al. (2018)). The region is characterized</w:t>
      </w:r>
      <w:r>
        <w:t xml:space="preserve"> by rugged mountains interspersed with coastal fjords and low-lying valleys. The maritime climate supports temperate rainforest dominated by western redcedar (</w:t>
      </w:r>
      <w:r>
        <w:rPr>
          <w:i/>
        </w:rPr>
        <w:t>Thuja plicata</w:t>
      </w:r>
      <w:r>
        <w:t>), western hemlock (</w:t>
      </w:r>
      <w:r>
        <w:rPr>
          <w:i/>
        </w:rPr>
        <w:t>Tsuga heterophylla</w:t>
      </w:r>
      <w:r>
        <w:t>), and Douglas-fir (</w:t>
      </w:r>
      <w:r>
        <w:rPr>
          <w:i/>
        </w:rPr>
        <w:t>Pseudotsuga menziesii</w:t>
      </w:r>
      <w:r>
        <w:t>) (Me</w:t>
      </w:r>
      <w:r>
        <w:t xml:space="preserve">idinger and Pojar 1991).  Within this region, goshawk managers have delineated a </w:t>
      </w:r>
      <w:r>
        <w:rPr>
          <w:i/>
        </w:rPr>
        <w:t>transition zone</w:t>
      </w:r>
      <w:r>
        <w:t xml:space="preserve"> comprised of </w:t>
      </w:r>
      <w:r>
        <w:lastRenderedPageBreak/>
        <w:t>low-elevation valleys in the Coast Mountain Range which connect the coast and the interior (Team 2008). The narrow transition zone contains temper</w:t>
      </w:r>
      <w:r>
        <w:t xml:space="preserve">ate rainforest ecosystems which are slightly drier than the forests found further west, termed the </w:t>
      </w:r>
      <w:r>
        <w:rPr>
          <w:i/>
        </w:rPr>
        <w:t>coastal zone</w:t>
      </w:r>
      <w:r>
        <w:t xml:space="preserve">, and somewhat intermediate with the arid interior forests forests found further east (Figure 5.1). The transition zone may represent an area of </w:t>
      </w:r>
      <w:r>
        <w:t xml:space="preserve">overlap between the coastal </w:t>
      </w:r>
      <w:r>
        <w:rPr>
          <w:i/>
        </w:rPr>
        <w:t>laingi</w:t>
      </w:r>
      <w:r>
        <w:t xml:space="preserve"> population and the interior </w:t>
      </w:r>
      <w:r>
        <w:rPr>
          <w:i/>
        </w:rPr>
        <w:t>atricapillus</w:t>
      </w:r>
      <w:r>
        <w:t xml:space="preserve"> population (Team 2008).</w:t>
      </w:r>
    </w:p>
    <w:p w14:paraId="248AED1F" w14:textId="77777777" w:rsidR="00197B80" w:rsidRDefault="00387E87">
      <w:pPr>
        <w:pStyle w:val="Heading2"/>
      </w:pPr>
      <w:bookmarkStart w:id="3" w:name="data-collection"/>
      <w:r>
        <w:t>2.2</w:t>
      </w:r>
      <w:r>
        <w:tab/>
        <w:t>Data Collection</w:t>
      </w:r>
      <w:bookmarkEnd w:id="3"/>
    </w:p>
    <w:p w14:paraId="00B79076" w14:textId="77777777" w:rsidR="00197B80" w:rsidRDefault="00387E87">
      <w:pPr>
        <w:pStyle w:val="FirstParagraph"/>
      </w:pPr>
      <w:r>
        <w:t>We assessed goshawk diet during the 2019 and 2020 breeding seasons through a combination of egested pellets, prey remains, and nest came</w:t>
      </w:r>
      <w:r>
        <w:t xml:space="preserve">ra photos. Active goshawk nests were located as part of long-term population monitoring conducted by the British Columbia Ministry of Forests, Lands, Natural Resource Operations and Rural Development (FLNRORD). For detailed survey methodology see McClaren </w:t>
      </w:r>
      <w:r>
        <w:t>(2005). Some study sites contained active nests in both years of the study.</w:t>
      </w:r>
    </w:p>
    <w:p w14:paraId="1D2DBC50" w14:textId="77777777" w:rsidR="00197B80" w:rsidRDefault="00387E87">
      <w:pPr>
        <w:pStyle w:val="BodyText"/>
      </w:pPr>
      <w:r>
        <w:t xml:space="preserve">Prey remains and egested pellets were collected from 33 nests (2019 </w:t>
      </w:r>
      <w:r>
        <w:rPr>
          <w:i/>
        </w:rPr>
        <w:t>n</w:t>
      </w:r>
      <w:r>
        <w:t xml:space="preserve"> = 18, 2020 </w:t>
      </w:r>
      <w:r>
        <w:rPr>
          <w:i/>
        </w:rPr>
        <w:t>n</w:t>
      </w:r>
      <w:r>
        <w:t xml:space="preserve"> = 15). Pellets and remains were gathered from beneath active nests, from within nests after juven</w:t>
      </w:r>
      <w:r>
        <w:t>iles fledged, and from plucking-posts located within the site. Logistic constraints prevented more than one collection of pellets and remains at most sites, but some sites were visited multiple times during the breeding season. All prey remains and all pel</w:t>
      </w:r>
      <w:r>
        <w:t>lets from a collection location (one nest or one plucking post) were combined into a single sample for each visit to that location.</w:t>
      </w:r>
    </w:p>
    <w:p w14:paraId="7E9DFA70" w14:textId="77777777" w:rsidR="00197B80" w:rsidRDefault="00387E87">
      <w:pPr>
        <w:pStyle w:val="BodyText"/>
      </w:pPr>
      <w:r>
        <w:t xml:space="preserve">Nest cameras were installed at a subset of these nests (2019 </w:t>
      </w:r>
      <w:r>
        <w:rPr>
          <w:i/>
        </w:rPr>
        <w:t>n</w:t>
      </w:r>
      <w:r>
        <w:t xml:space="preserve"> = 6, 2020 </w:t>
      </w:r>
      <w:r>
        <w:rPr>
          <w:i/>
        </w:rPr>
        <w:t>n</w:t>
      </w:r>
      <w:r>
        <w:t xml:space="preserve"> = 7) to record prey delivered to goshawk chicks. </w:t>
      </w:r>
      <w:r>
        <w:t>Nest cameras are an effective and relatively unbiased method of measuring avian diet (García-Salgado et al. 2015 , Harrison et al. 2019). However, cameras may overestimate prey deliveries because goshawks cache prey items for redelivery to the nest at a la</w:t>
      </w:r>
      <w:r>
        <w:t xml:space="preserve">ter time, which creates a risk of double-counting items. Due to the discrete nature of our data we were unable to differentiate cached, re-delivered items from new items and did not attempt to account for caching in our </w:t>
      </w:r>
      <w:r>
        <w:lastRenderedPageBreak/>
        <w:t>analysis. We also did not attempt to</w:t>
      </w:r>
      <w:r>
        <w:t xml:space="preserve"> differentiate between prey consumed by the female at the nest and prey consumed by the chicks.</w:t>
      </w:r>
    </w:p>
    <w:p w14:paraId="0D9D9AEE" w14:textId="77777777" w:rsidR="00197B80" w:rsidRDefault="00387E87">
      <w:pPr>
        <w:pStyle w:val="BodyText"/>
      </w:pPr>
      <w:r>
        <w:t xml:space="preserve">Nest cameras were digital trail cameras (Reconyx brand, UltraFire and HyperFire models) mounted 2-5 meters distant from and slightly above the nest, usually in </w:t>
      </w:r>
      <w:r>
        <w:t>an adjacent tree. Cameras in 2019 were programmed to take three photos one second apart when triggered by motion, and an additional one photo every thirty minutes. Cameras in 2020 were programmed to take five photos one second apart when triggered by motio</w:t>
      </w:r>
      <w:r>
        <w:t>n, and an additional one photo every twenty minutes. Installation took place during the early nestling phase (between 4 June and 18 July; mean installation date 21 June) and cameras were left in place until after juveniles dispersed in the fall. Camera sit</w:t>
      </w:r>
      <w:r>
        <w:t>e selection was not random but constrained by topography, site access, and timing of nest discovery. We observed no nest abandonment following camera installation.</w:t>
      </w:r>
    </w:p>
    <w:p w14:paraId="724D5E78" w14:textId="77777777" w:rsidR="00197B80" w:rsidRDefault="00387E87">
      <w:pPr>
        <w:pStyle w:val="BodyText"/>
      </w:pPr>
      <w:r>
        <w:t>Breeding chronology was not available for most sites. At 12 of the 13 nests with cameras (20</w:t>
      </w:r>
      <w:r>
        <w:t xml:space="preserve">19 </w:t>
      </w:r>
      <w:r>
        <w:rPr>
          <w:i/>
        </w:rPr>
        <w:t>n</w:t>
      </w:r>
      <w:r>
        <w:t xml:space="preserve"> = 6, 2020 </w:t>
      </w:r>
      <w:r>
        <w:rPr>
          <w:i/>
        </w:rPr>
        <w:t>n</w:t>
      </w:r>
      <w:r>
        <w:t xml:space="preserve"> = 6), chicks were aged from photos taken shortly after camera installation using a pictorial guide (Boal 1994). Productivity was defined as the number of chicks to reach 32 days of age (Boal 1994, McClaren et al. 2002).</w:t>
      </w:r>
    </w:p>
    <w:p w14:paraId="1D2E22C6" w14:textId="77777777" w:rsidR="00197B80" w:rsidRDefault="00387E87">
      <w:pPr>
        <w:pStyle w:val="Heading2"/>
      </w:pPr>
      <w:bookmarkStart w:id="4" w:name="diet-quantification"/>
      <w:r>
        <w:t>2.3</w:t>
      </w:r>
      <w:r>
        <w:tab/>
        <w:t>Diet Quantifica</w:t>
      </w:r>
      <w:r>
        <w:t>tion</w:t>
      </w:r>
      <w:bookmarkEnd w:id="4"/>
    </w:p>
    <w:p w14:paraId="0DF8BF1A" w14:textId="77777777" w:rsidR="00197B80" w:rsidRDefault="00387E87">
      <w:pPr>
        <w:pStyle w:val="FirstParagraph"/>
      </w:pPr>
      <w:r>
        <w:t>We reconstructed prey from pellets and prey remains following a modification of the protocol used by Lewis et al. (2004). Within each sample, remains were identified to the lowest possible taxonomic category and the minimum number of individuals count</w:t>
      </w:r>
      <w:r>
        <w:t xml:space="preserve">ed (i.e. 3 hare femurs = 2 </w:t>
      </w:r>
      <w:r>
        <w:rPr>
          <w:i/>
        </w:rPr>
        <w:t>Lepus americanus</w:t>
      </w:r>
      <w:r>
        <w:t>). Intact pellets and broken but reassembled pellets were analyzed individually within each sample, while fragmented pellets were combined within each sample. Pellets were dissected and feathers, fur, and hard par</w:t>
      </w:r>
      <w:r>
        <w:t xml:space="preserve">ts (bones, teeth, claws) were identified to the lowest taxonomic level possible. We counted the minimum number of individuals represented within the pellet or pellet collection. Prey items from pellets and remains were additionally categorized by size </w:t>
      </w:r>
      <w:r>
        <w:lastRenderedPageBreak/>
        <w:t>(sma</w:t>
      </w:r>
      <w:r>
        <w:t>ll = sparrow- or vole-sized, medium = jay- or squirrel-sized, and large = grouse- or hare-sized).</w:t>
      </w:r>
    </w:p>
    <w:p w14:paraId="1AC812A0" w14:textId="77777777" w:rsidR="00197B80" w:rsidRDefault="00387E87">
      <w:pPr>
        <w:pStyle w:val="BodyText"/>
      </w:pPr>
      <w:r>
        <w:t>Prey items identified to species were assigned a mass using data from the literature. We assigned mass to mammals from Nagorsen (2002) and to birds from Bille</w:t>
      </w:r>
      <w:r>
        <w:t xml:space="preserve">rman et al. (2020), using the geographically closest estimates available and averaging the mass of males and females. We treated some homogenous genera for which we could not differentiate species (such as </w:t>
      </w:r>
      <w:r>
        <w:rPr>
          <w:i/>
        </w:rPr>
        <w:t>Eutamias</w:t>
      </w:r>
      <w:r>
        <w:t xml:space="preserve"> and </w:t>
      </w:r>
      <w:r>
        <w:rPr>
          <w:i/>
        </w:rPr>
        <w:t>Myotis</w:t>
      </w:r>
      <w:r>
        <w:t>) as a single taxonomic groupin</w:t>
      </w:r>
      <w:r>
        <w:t>g. For these genera, we assigned mass by averaging the masses of all possible species, based on range maps. Red squirrels (</w:t>
      </w:r>
      <w:r>
        <w:rPr>
          <w:i/>
        </w:rPr>
        <w:t>Tamiasciurus hudsonicus</w:t>
      </w:r>
      <w:r>
        <w:t>) were present at a single site within our study area; when unable to distinguish between the two members of t</w:t>
      </w:r>
      <w:r>
        <w:t xml:space="preserve">he genus </w:t>
      </w:r>
      <w:r>
        <w:rPr>
          <w:i/>
        </w:rPr>
        <w:t>Tamiasciurus</w:t>
      </w:r>
      <w:r>
        <w:t xml:space="preserve"> we assigned the item to the more common </w:t>
      </w:r>
      <w:r>
        <w:rPr>
          <w:i/>
        </w:rPr>
        <w:t>T. douglasii</w:t>
      </w:r>
      <w:r>
        <w:t>. Unidentified grouse were common among remains; these were assigned the mean mass of the two grouse species present in our study area (</w:t>
      </w:r>
      <w:r>
        <w:rPr>
          <w:i/>
        </w:rPr>
        <w:t>Bonasa umbellus</w:t>
      </w:r>
      <w:r>
        <w:t xml:space="preserve"> and </w:t>
      </w:r>
      <w:r>
        <w:rPr>
          <w:i/>
        </w:rPr>
        <w:t>Dendragapus fulignosus</w:t>
      </w:r>
      <w:r>
        <w:t>). Juveniles prey items (mainly grouse) were assigned 50% of adult mass. Unide</w:t>
      </w:r>
      <w:r>
        <w:t>ntified items were assigned mass by averaging the masses of the identified species in that size category and taxonomic class.</w:t>
      </w:r>
    </w:p>
    <w:p w14:paraId="087F5739" w14:textId="77777777" w:rsidR="00197B80" w:rsidRDefault="00387E87">
      <w:pPr>
        <w:pStyle w:val="BodyText"/>
      </w:pPr>
      <w:r>
        <w:t>Data from prey remains and egested pellets are known to be biased indices of diet. Some authors have found combining data from bot</w:t>
      </w:r>
      <w:r>
        <w:t>h sources to produce relatively unbiased results that can serve as a helpful supplement to nest camera data (Simmons et al. 1991, Lewis et al. 2004). After testing for differences between pooled pellets-and-remains data and camera data we found significant</w:t>
      </w:r>
      <w:r>
        <w:t xml:space="preserve"> differences between these two sources. We therefore report results from pellets, pooled pellets-and-remains, and cameras separately. We do not report results from prey remains alone, as diet composition estimates from prey remains are highly biased and in</w:t>
      </w:r>
      <w:r>
        <w:t>frequently used in raptor diet studies.</w:t>
      </w:r>
    </w:p>
    <w:p w14:paraId="1841EA0B" w14:textId="77777777" w:rsidR="00197B80" w:rsidRDefault="00387E87">
      <w:pPr>
        <w:pStyle w:val="BodyText"/>
      </w:pPr>
      <w:r>
        <w:t>Nest camera photos were reviewed and each new prey item delivered to the nest was recorded and identified to species when possible. When items could not be identified to species, they were identified to the lowest po</w:t>
      </w:r>
      <w:r>
        <w:t xml:space="preserve">ssible taxonomic level. Prey items </w:t>
      </w:r>
      <w:r>
        <w:lastRenderedPageBreak/>
        <w:t>identified from photos were assigned a size category and biomass by the same method used for remains and pellets. Partial items were assigned the average mass for that size category and taxonomic class.</w:t>
      </w:r>
    </w:p>
    <w:p w14:paraId="33BC74A6" w14:textId="77777777" w:rsidR="00197B80" w:rsidRDefault="00387E87">
      <w:pPr>
        <w:pStyle w:val="BodyText"/>
      </w:pPr>
      <w:r>
        <w:t>We quantified gosh</w:t>
      </w:r>
      <w:r>
        <w:t xml:space="preserve">awk diet across the entire study area in several ways using data from pellets, pooled pellets-and-remains, and nest cameras. For ease of comparison, we simplified prey items into eight broad categories: tree squirrels (genus </w:t>
      </w:r>
      <w:r>
        <w:rPr>
          <w:i/>
        </w:rPr>
        <w:t>Tamiasciurus</w:t>
      </w:r>
      <w:r>
        <w:t xml:space="preserve">), hares (genus </w:t>
      </w:r>
      <w:r>
        <w:rPr>
          <w:i/>
        </w:rPr>
        <w:t>Lep</w:t>
      </w:r>
      <w:r>
        <w:rPr>
          <w:i/>
        </w:rPr>
        <w:t>us</w:t>
      </w:r>
      <w:r>
        <w:t>), all other mammals, grouse (subfamily Tetraoninae), thrushes (family Turdidae), corvids (family Corvidae), all other birds, and unidentified items. We calculated the relative proportion of avian and mammalian biomass, as well as the relative proportion</w:t>
      </w:r>
      <w:r>
        <w:t xml:space="preserve"> of biomass composed of tree squirrels (genus </w:t>
      </w:r>
      <w:r>
        <w:rPr>
          <w:i/>
        </w:rPr>
        <w:t>Tamiasciurus</w:t>
      </w:r>
      <w:r>
        <w:t>), which are known to be an important source of prey for goshawks in British Columbia (Ethier 1999). For nests with cameras, we additionally quantified diet at the level of the individual nest and f</w:t>
      </w:r>
      <w:r>
        <w:t xml:space="preserve">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standard deviation except where counts</w:t>
      </w:r>
      <w:r>
        <w:t xml:space="preserve"> or percents of items are explicitly specified.</w:t>
      </w:r>
    </w:p>
    <w:p w14:paraId="5FD3D72C" w14:textId="77777777" w:rsidR="00197B80" w:rsidRDefault="00387E87">
      <w:pPr>
        <w:pStyle w:val="Heading2"/>
      </w:pPr>
      <w:bookmarkStart w:id="5" w:name="statistical-analysis"/>
      <w:r>
        <w:t>2.4</w:t>
      </w:r>
      <w:r>
        <w:tab/>
        <w:t>Statistical Analysis</w:t>
      </w:r>
      <w:bookmarkEnd w:id="5"/>
    </w:p>
    <w:p w14:paraId="5CF2AF24" w14:textId="77777777" w:rsidR="00197B80" w:rsidRDefault="00387E87">
      <w:pPr>
        <w:pStyle w:val="FirstParagraph"/>
      </w:pPr>
      <w:r>
        <w:t>Sites were classified as either coastal or transition based on whether the site was centered within the transition zone defined by Team (2008). We used counts of items assigned to the</w:t>
      </w:r>
      <w:r>
        <w:t xml:space="preserve"> eight broad prey categories to assess differences in goshawk diet between the coastal and transition zones. We combined all data within each zone and tested each data source separately using a chi-squared test with simulated Monte Carlo </w:t>
      </w:r>
      <w:r>
        <w:rPr>
          <w:i/>
        </w:rPr>
        <w:t>p</w:t>
      </w:r>
      <w:r>
        <w:t>-values (2000 per</w:t>
      </w:r>
      <w:r>
        <w:t xml:space="preserve">mutations) due to small sample sizes (Hope 1968). For nests with cameras, we also calculated the proportion of squirrel biomass and diet diversity at the individual nest level and compared these between the zones using a </w:t>
      </w:r>
      <w:r>
        <w:rPr>
          <w:i/>
        </w:rPr>
        <w:t>t</w:t>
      </w:r>
      <w:r>
        <w:t>-test. Finally, we tested for diff</w:t>
      </w:r>
      <w:r>
        <w:t xml:space="preserve">erences in goshawk productivity between the two zones using a </w:t>
      </w:r>
      <w:r>
        <w:rPr>
          <w:i/>
        </w:rPr>
        <w:t>t</w:t>
      </w:r>
      <w:r>
        <w:t>-test.</w:t>
      </w:r>
    </w:p>
    <w:p w14:paraId="6535D117" w14:textId="77777777" w:rsidR="00197B80" w:rsidRDefault="00387E87">
      <w:pPr>
        <w:pStyle w:val="BodyText"/>
      </w:pPr>
      <w:r>
        <w:t xml:space="preserve">To determine the potential reproductive consequences of dietary variation, we examined how two aspects of diet, diet diversity and the proportion squirrel biomass in </w:t>
      </w:r>
      <w:r>
        <w:lastRenderedPageBreak/>
        <w:t>the diet, influenced</w:t>
      </w:r>
      <w:r>
        <w:t xml:space="preserve"> productivity using linear regressions. We pooled data from both years of the study after testing for differences in prey group composition, diet diversity, proportion squirrel biomass, and productivity between years. We included all available nests in thi</w:t>
      </w:r>
      <w:r>
        <w:t>s analysis, including one site which contained an active nest in both years of the study. The presented results are not altered if variables for this site are averaged across years or a single year is randomly selected for inclusion. Because productivity d</w:t>
      </w:r>
      <w:r>
        <w:t>ata were available only from sites with nest cameras and nest-level diet data from pellets and prey remains were sparse, we performed this analysis using only diet data from nest cameras. All analyses were performed in R (Team 2020). We used a significance</w:t>
      </w:r>
      <w:r>
        <w:t xml:space="preserve"> level of </w:t>
      </w:r>
      <w:r>
        <w:rPr>
          <w:i/>
        </w:rPr>
        <w:t>P</w:t>
      </w:r>
      <w:r>
        <w:t xml:space="preserve"> = 0.05 for all tests.</w:t>
      </w:r>
    </w:p>
    <w:p w14:paraId="5CA35777" w14:textId="77777777" w:rsidR="00197B80" w:rsidRDefault="00387E87">
      <w:pPr>
        <w:pStyle w:val="Heading1"/>
      </w:pPr>
      <w:bookmarkStart w:id="6" w:name="results"/>
      <w:r>
        <w:t>3</w:t>
      </w:r>
      <w:r>
        <w:tab/>
        <w:t>Results</w:t>
      </w:r>
      <w:bookmarkEnd w:id="6"/>
    </w:p>
    <w:p w14:paraId="015F5098" w14:textId="77777777" w:rsidR="00197B80" w:rsidRDefault="00387E87">
      <w:pPr>
        <w:pStyle w:val="Heading2"/>
      </w:pPr>
      <w:bookmarkStart w:id="7" w:name="goshawk-diet"/>
      <w:r>
        <w:t>3.1</w:t>
      </w:r>
      <w:r>
        <w:tab/>
        <w:t>Goshawk Diet</w:t>
      </w:r>
      <w:bookmarkEnd w:id="7"/>
    </w:p>
    <w:p w14:paraId="40A37AF6" w14:textId="77777777" w:rsidR="00197B80" w:rsidRDefault="00387E87">
      <w:pPr>
        <w:pStyle w:val="FirstParagraph"/>
      </w:pPr>
      <w:r>
        <w:t>We identified a total of 9 unique species from pellets collected at 25 nests. Of the 135 prey items obtained from pellets, 58% could be identified to genus or better and all items were identified at least to class. Of the 121 prey items obtained from remai</w:t>
      </w:r>
      <w:r>
        <w:t>ns, 51% were identified to genus or better and all items were identified at least to class. There were 18 species identified from remains collected at 30 nests, for a total of 21 unique prey species from the pooled pellets-and-remains sample (Table 5.1).</w:t>
      </w:r>
    </w:p>
    <w:p w14:paraId="5AB0FB7F" w14:textId="77777777" w:rsidR="00197B80" w:rsidRDefault="00387E87">
      <w:pPr>
        <w:pStyle w:val="BodyText"/>
      </w:pPr>
      <w:r>
        <w:t>T</w:t>
      </w:r>
      <w:r>
        <w:t>he majority of prey identified from pellets was mammalian (75% of biomass). Squirrels made up 61% of biomass, while other birds (neither grouse, corvids, nor thrushes) made up 21%, and other mammals (neither tree squirrels nor hares) made up another 15%. T</w:t>
      </w:r>
      <w:r>
        <w:t>he remaining 4% of biomass was made up of corvids and thrushes.</w:t>
      </w:r>
    </w:p>
    <w:p w14:paraId="52AD0B0E" w14:textId="77777777" w:rsidR="00197B80" w:rsidRDefault="00387E87">
      <w:pPr>
        <w:pStyle w:val="BodyText"/>
      </w:pPr>
      <w:r>
        <w:t>In contrast, the majority of prey (63% of biomass) identified from the pooled pellets-and-remains sample was avian. The largest prey group was grouse (37%), followed by other birds (23%) and h</w:t>
      </w:r>
      <w:r>
        <w:t>are (18%). Squirrels made up only 14% of the pooled sample. The remaining 3% of biomass was made up of corvids and thrushes.</w:t>
      </w:r>
    </w:p>
    <w:p w14:paraId="538E02B5" w14:textId="77777777" w:rsidR="00197B80" w:rsidRDefault="00387E87">
      <w:pPr>
        <w:pStyle w:val="BodyText"/>
      </w:pPr>
      <w:r>
        <w:lastRenderedPageBreak/>
        <w:t>We identified a total of 22 unique species from 518 prey deliveries recorded on 13 nest cameras (Table 5.1. After excluding 68 deli</w:t>
      </w:r>
      <w:r>
        <w:t>veries that were completely obscured from the cameras, each nest contributed an average of 35 items (range 1 - 69). We were able to identify 60% to genus or better, and 78% at least to class. Small and medium birds were disproportionately represented among</w:t>
      </w:r>
      <w:r>
        <w:t xml:space="preserve"> items identified only to class, frequently arriving at the nest already plucked and decapitated. Variability in the number of items recorded and the rate of identification was due to differences in camera placement and sensitivity settings.</w:t>
      </w:r>
    </w:p>
    <w:p w14:paraId="0A0AC5CE" w14:textId="77777777" w:rsidR="00197B80" w:rsidRDefault="00387E87">
      <w:pPr>
        <w:pStyle w:val="BodyText"/>
      </w:pPr>
      <w:r>
        <w:t>The majority o</w:t>
      </w:r>
      <w:r>
        <w:t xml:space="preserve">f prey identified on nest cameras was mammalian (73% of biomass, mean = 71 </w:t>
      </w:r>
      <m:oMath>
        <m:r>
          <w:rPr>
            <w:rFonts w:ascii="Cambria Math" w:hAnsi="Cambria Math"/>
          </w:rPr>
          <m:t>±</m:t>
        </m:r>
      </m:oMath>
      <w:r>
        <w:t xml:space="preserve"> 12, n = 13). Birds accounted for only 15%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high proportion of mammalian bi</w:t>
      </w:r>
      <w:r>
        <w:t xml:space="preserve">omass was driven by the dominance of tree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w:t>
      </w:r>
      <w:r>
        <w:t xml:space="preserve">other birds (7%, mean = 7 </w:t>
      </w:r>
      <m:oMath>
        <m:r>
          <w:rPr>
            <w:rFonts w:ascii="Cambria Math" w:hAnsi="Cambria Math"/>
          </w:rPr>
          <m:t>±</m:t>
        </m:r>
      </m:oMath>
      <w:r>
        <w:t xml:space="preserve"> 8), grouse (5%, mean = 9 </w:t>
      </w:r>
      <m:oMath>
        <m:r>
          <w:rPr>
            <w:rFonts w:ascii="Cambria Math" w:hAnsi="Cambria Math"/>
          </w:rPr>
          <m:t>±</m:t>
        </m:r>
      </m:oMath>
      <w:r>
        <w:t xml:space="preserve"> 5), thrushes (3% ,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w:t>
      </w:r>
      <w:r>
        <w:t xml:space="preserve">f individual nests was highly variable, ranging from 0 to 0.72 (mean = 0.46 </w:t>
      </w:r>
      <m:oMath>
        <m:r>
          <w:rPr>
            <w:rFonts w:ascii="Cambria Math" w:hAnsi="Cambria Math"/>
          </w:rPr>
          <m:t>±</m:t>
        </m:r>
      </m:oMath>
      <w:r>
        <w:t xml:space="preserve"> 0.21.)</w:t>
      </w:r>
    </w:p>
    <w:p w14:paraId="5A532077" w14:textId="77777777" w:rsidR="00197B80" w:rsidRDefault="00387E87">
      <w:pPr>
        <w:pStyle w:val="Heading2"/>
      </w:pPr>
      <w:bookmarkStart w:id="8" w:name="difference-between-ecological-regions"/>
      <w:r>
        <w:t>3.2</w:t>
      </w:r>
      <w:r>
        <w:tab/>
        <w:t>Difference between ecological regions</w:t>
      </w:r>
      <w:bookmarkEnd w:id="8"/>
    </w:p>
    <w:p w14:paraId="42114AA6" w14:textId="77777777" w:rsidR="00197B80" w:rsidRDefault="00387E87">
      <w:pPr>
        <w:pStyle w:val="FirstParagraph"/>
      </w:pPr>
      <w:r>
        <w:t>We observed a difference in the diet of goshawks in the coastal and transition zones, although these differences were more pronou</w:t>
      </w:r>
      <w:r>
        <w:t>nced in the camera data (</w:t>
      </w:r>
      <m:oMath>
        <m:r>
          <w:rPr>
            <w:rFonts w:ascii="Cambria Math" w:hAnsi="Cambria Math"/>
          </w:rPr>
          <m:t>χ</m:t>
        </m:r>
      </m:oMath>
      <w:r>
        <w:rPr>
          <w:vertAlign w:val="superscript"/>
        </w:rPr>
        <w:t>2</w:t>
      </w:r>
      <w:r>
        <w:t xml:space="preserve"> = 23.84, </w:t>
      </w:r>
      <w:r>
        <w:rPr>
          <w:i/>
        </w:rPr>
        <w:t>P</w:t>
      </w:r>
      <w:r>
        <w:t xml:space="preserve"> = 0.003) and pooled pellets-and-remains data (</w:t>
      </w:r>
      <m:oMath>
        <m:r>
          <w:rPr>
            <w:rFonts w:ascii="Cambria Math" w:hAnsi="Cambria Math"/>
          </w:rPr>
          <m:t>χ</m:t>
        </m:r>
      </m:oMath>
      <w:r>
        <w:rPr>
          <w:vertAlign w:val="superscript"/>
        </w:rPr>
        <w:t>2</w:t>
      </w:r>
      <w:r>
        <w:t xml:space="preserve"> = 41.75, </w:t>
      </w:r>
      <w:r>
        <w:rPr>
          <w:i/>
        </w:rPr>
        <w:t>P</w:t>
      </w:r>
      <w:r>
        <w:t xml:space="preserve"> &lt;&lt; 0.05) than in data from pellets alone (</w:t>
      </w:r>
      <m:oMath>
        <m:r>
          <w:rPr>
            <w:rFonts w:ascii="Cambria Math" w:hAnsi="Cambria Math"/>
          </w:rPr>
          <m:t>χ</m:t>
        </m:r>
      </m:oMath>
      <w:r>
        <w:rPr>
          <w:vertAlign w:val="superscript"/>
        </w:rPr>
        <w:t>2</w:t>
      </w:r>
      <w:r>
        <w:t xml:space="preserve"> = 7.53, </w:t>
      </w:r>
      <w:r>
        <w:rPr>
          <w:i/>
        </w:rPr>
        <w:t>P</w:t>
      </w:r>
      <w:r>
        <w:t xml:space="preserve"> = 0.09) (Figure 5.2). However, we observed no significant differences in diet diversity (mean = 0.4</w:t>
      </w:r>
      <w:r>
        <w:t xml:space="preserve">6 </w:t>
      </w:r>
      <m:oMath>
        <m:r>
          <w:rPr>
            <w:rFonts w:ascii="Cambria Math" w:hAnsi="Cambria Math"/>
          </w:rPr>
          <m:t>±</m:t>
        </m:r>
      </m:oMath>
      <w:r>
        <w:t xml:space="preserve"> 0.21; coastal zone mean = 0.29 </w:t>
      </w:r>
      <m:oMath>
        <m:r>
          <w:rPr>
            <w:rFonts w:ascii="Cambria Math" w:hAnsi="Cambria Math"/>
          </w:rPr>
          <m:t>±</m:t>
        </m:r>
      </m:oMath>
      <w:r>
        <w:t xml:space="preserve"> 0.24, </w:t>
      </w:r>
      <w:r>
        <w:rPr>
          <w:i/>
        </w:rPr>
        <w:t>n</w:t>
      </w:r>
      <w:r>
        <w:t xml:space="preserve"> = 5, transition zone mean = 0.54 </w:t>
      </w:r>
      <m:oMath>
        <m:r>
          <w:rPr>
            <w:rFonts w:ascii="Cambria Math" w:hAnsi="Cambria Math"/>
          </w:rPr>
          <m:t>±</m:t>
        </m:r>
      </m:oMath>
      <w:r>
        <w:t xml:space="preserve"> 0.14, </w:t>
      </w:r>
      <w:r>
        <w:rPr>
          <w:i/>
        </w:rPr>
        <w:t>n</w:t>
      </w:r>
      <w:r>
        <w:t xml:space="preserve"> = 8; </w:t>
      </w:r>
      <w:r>
        <w:rPr>
          <w:i/>
        </w:rPr>
        <w:t>t</w:t>
      </w:r>
      <w:r>
        <w:t xml:space="preserve"> = -1.9, df = 4.13, </w:t>
      </w:r>
      <w:r>
        <w:rPr>
          <w:i/>
        </w:rPr>
        <w:t>P</w:t>
      </w:r>
      <w:r>
        <w:t xml:space="preserve"> = 0.13) or the proportion of squirrel biomass (mean = 50 </w:t>
      </w:r>
      <m:oMath>
        <m:r>
          <w:rPr>
            <w:rFonts w:ascii="Cambria Math" w:hAnsi="Cambria Math"/>
          </w:rPr>
          <m:t>±</m:t>
        </m:r>
      </m:oMath>
      <w:r>
        <w:t xml:space="preserve"> 14; coastal zone mean = 57 </w:t>
      </w:r>
      <m:oMath>
        <m:r>
          <w:rPr>
            <w:rFonts w:ascii="Cambria Math" w:hAnsi="Cambria Math"/>
          </w:rPr>
          <m:t>±</m:t>
        </m:r>
      </m:oMath>
      <w:r>
        <w:t xml:space="preserve"> 20, </w:t>
      </w:r>
      <w:r>
        <w:rPr>
          <w:i/>
        </w:rPr>
        <w:t>n</w:t>
      </w:r>
      <w:r>
        <w:t xml:space="preserve"> </w:t>
      </w:r>
      <w:r>
        <w:t xml:space="preserve">= 5, transition zone mean = 47 </w:t>
      </w:r>
      <m:oMath>
        <m:r>
          <w:rPr>
            <w:rFonts w:ascii="Cambria Math" w:hAnsi="Cambria Math"/>
          </w:rPr>
          <m:t>±</m:t>
        </m:r>
      </m:oMath>
      <w:r>
        <w:t xml:space="preserve"> 10, </w:t>
      </w:r>
      <w:r>
        <w:rPr>
          <w:i/>
        </w:rPr>
        <w:t>n</w:t>
      </w:r>
      <w:r>
        <w:t xml:space="preserve"> = 8; </w:t>
      </w:r>
      <w:r>
        <w:rPr>
          <w:i/>
        </w:rPr>
        <w:t>t</w:t>
      </w:r>
      <w:r>
        <w:t xml:space="preserve"> = 1, df = 3.75, </w:t>
      </w:r>
      <w:r>
        <w:rPr>
          <w:i/>
        </w:rPr>
        <w:t>P</w:t>
      </w:r>
      <w:r>
        <w:t xml:space="preserve"> = 0.38) between the zones.</w:t>
      </w:r>
    </w:p>
    <w:p w14:paraId="2C699ED8" w14:textId="77777777" w:rsidR="00197B80" w:rsidRDefault="00387E87">
      <w:pPr>
        <w:pStyle w:val="Heading2"/>
      </w:pPr>
      <w:bookmarkStart w:id="9" w:name="productivity"/>
      <w:r>
        <w:lastRenderedPageBreak/>
        <w:t>3.3</w:t>
      </w:r>
      <w:r>
        <w:tab/>
        <w:t>Productivity</w:t>
      </w:r>
      <w:bookmarkEnd w:id="9"/>
    </w:p>
    <w:p w14:paraId="6AFF8475" w14:textId="77777777" w:rsidR="00197B80" w:rsidRDefault="00387E87">
      <w:pPr>
        <w:pStyle w:val="FirstParagraph"/>
      </w:pPr>
      <w:r>
        <w:t>We were able to measure productivity for 12 of 13 [</w:t>
      </w:r>
      <w:r>
        <w:rPr>
          <w:b/>
        </w:rPr>
        <w:t>this will be updated to 14 when GRV data comes in</w:t>
      </w:r>
      <w:r>
        <w:t>] nests monitored with nest cameras. Productivit</w:t>
      </w:r>
      <w:r>
        <w:t>y data were not obtained from two nests because the camera memory cards filled prior to fledging.</w:t>
      </w:r>
    </w:p>
    <w:p w14:paraId="67895AFD" w14:textId="77777777" w:rsidR="00197B80" w:rsidRDefault="00387E87">
      <w:pPr>
        <w:pStyle w:val="BodyText"/>
      </w:pPr>
      <w:r>
        <w:t xml:space="preserve">Goshawks successfully fledged young from 11 of 12 nests, producing 0-3 chicks per active nest (mean = 1.36 </w:t>
      </w:r>
      <m:oMath>
        <m:r>
          <w:rPr>
            <w:rFonts w:ascii="Cambria Math" w:hAnsi="Cambria Math"/>
          </w:rPr>
          <m:t>±</m:t>
        </m:r>
      </m:oMath>
      <w:r>
        <w:t xml:space="preserve"> 0.81) and 1-3 chicks per successful nest (mean = </w:t>
      </w:r>
      <w:r>
        <w:t xml:space="preserve">1.55 </w:t>
      </w:r>
      <m:oMath>
        <m:r>
          <w:rPr>
            <w:rFonts w:ascii="Cambria Math" w:hAnsi="Cambria Math"/>
          </w:rPr>
          <m:t>±</m:t>
        </m:r>
      </m:oMath>
      <w:r>
        <w:t xml:space="preserve"> 0.69). Siblicide was common, accounting for two of the three deaths in the failed nest and one death in each of four other nests. We observed no difference in productivity between years (mean = 1.42 </w:t>
      </w:r>
      <m:oMath>
        <m:r>
          <w:rPr>
            <w:rFonts w:ascii="Cambria Math" w:hAnsi="Cambria Math"/>
          </w:rPr>
          <m:t>±</m:t>
        </m:r>
      </m:oMath>
      <w:r>
        <w:t xml:space="preserve"> 0.79; 2019 mean = 1.67 </w:t>
      </w:r>
      <m:oMath>
        <m:r>
          <w:rPr>
            <w:rFonts w:ascii="Cambria Math" w:hAnsi="Cambria Math"/>
          </w:rPr>
          <m:t>±</m:t>
        </m:r>
      </m:oMath>
      <w:r>
        <w:t xml:space="preserve"> 1.03, </w:t>
      </w:r>
      <w:r>
        <w:rPr>
          <w:i/>
        </w:rPr>
        <w:t>n</w:t>
      </w:r>
      <w:r>
        <w:t xml:space="preserve"> = 6, 2020 mean </w:t>
      </w:r>
      <w:r>
        <w:t xml:space="preserve">= 1.17 </w:t>
      </w:r>
      <m:oMath>
        <m:r>
          <w:rPr>
            <w:rFonts w:ascii="Cambria Math" w:hAnsi="Cambria Math"/>
          </w:rPr>
          <m:t>±</m:t>
        </m:r>
      </m:oMath>
      <w:r>
        <w:t xml:space="preserve"> 0.41, </w:t>
      </w:r>
      <w:r>
        <w:rPr>
          <w:i/>
        </w:rPr>
        <w:t>n</w:t>
      </w:r>
      <w:r>
        <w:t xml:space="preserve"> = 7; </w:t>
      </w:r>
      <w:r>
        <w:rPr>
          <w:i/>
        </w:rPr>
        <w:t>t</w:t>
      </w:r>
      <w:r>
        <w:t xml:space="preserve"> = 1.1, df = 6.53, </w:t>
      </w:r>
      <w:r>
        <w:rPr>
          <w:i/>
        </w:rPr>
        <w:t>P</w:t>
      </w:r>
      <w:r>
        <w:t xml:space="preserve"> = 0.31). Nor did we observed any difference in the prey group composition (using counts of items) in either in data from nest cameras (</w:t>
      </w:r>
      <m:oMath>
        <m:r>
          <w:rPr>
            <w:rFonts w:ascii="Cambria Math" w:hAnsi="Cambria Math"/>
          </w:rPr>
          <m:t>χ</m:t>
        </m:r>
      </m:oMath>
      <w:r>
        <w:rPr>
          <w:vertAlign w:val="superscript"/>
        </w:rPr>
        <w:t>2</w:t>
      </w:r>
      <w:r>
        <w:t xml:space="preserve"> = 8.34, </w:t>
      </w:r>
      <w:r>
        <w:rPr>
          <w:i/>
        </w:rPr>
        <w:t>P</w:t>
      </w:r>
      <w:r>
        <w:t xml:space="preserve"> = 0.32), pooled pellets-and-remains (</w:t>
      </w:r>
      <m:oMath>
        <m:r>
          <w:rPr>
            <w:rFonts w:ascii="Cambria Math" w:hAnsi="Cambria Math"/>
          </w:rPr>
          <m:t>χ</m:t>
        </m:r>
      </m:oMath>
      <w:r>
        <w:rPr>
          <w:vertAlign w:val="superscript"/>
        </w:rPr>
        <w:t>2</w:t>
      </w:r>
      <w:r>
        <w:t xml:space="preserve"> = 1.46, </w:t>
      </w:r>
      <w:r>
        <w:rPr>
          <w:i/>
        </w:rPr>
        <w:t>P</w:t>
      </w:r>
      <w:r>
        <w:t xml:space="preserve"> = 0.85), or </w:t>
      </w:r>
      <w:r>
        <w:t>pellets alone (</w:t>
      </w:r>
      <m:oMath>
        <m:r>
          <w:rPr>
            <w:rFonts w:ascii="Cambria Math" w:hAnsi="Cambria Math"/>
          </w:rPr>
          <m:t>χ</m:t>
        </m:r>
      </m:oMath>
      <w:r>
        <w:rPr>
          <w:vertAlign w:val="superscript"/>
        </w:rPr>
        <w:t>2</w:t>
      </w:r>
      <w:r>
        <w:t xml:space="preserve"> = 0.4, </w:t>
      </w:r>
      <w:r>
        <w:rPr>
          <w:i/>
        </w:rPr>
        <w:t>P</w:t>
      </w:r>
      <w:r>
        <w:t xml:space="preserve"> = 0.99). We also observed no difference in diet diversity (mean = 0.46 </w:t>
      </w:r>
      <m:oMath>
        <m:r>
          <w:rPr>
            <w:rFonts w:ascii="Cambria Math" w:hAnsi="Cambria Math"/>
          </w:rPr>
          <m:t>±</m:t>
        </m:r>
      </m:oMath>
      <w:r>
        <w:t xml:space="preserve"> 0.21; 2019 mean = 0.56 </w:t>
      </w:r>
      <m:oMath>
        <m:r>
          <w:rPr>
            <w:rFonts w:ascii="Cambria Math" w:hAnsi="Cambria Math"/>
          </w:rPr>
          <m:t>±</m:t>
        </m:r>
      </m:oMath>
      <w:r>
        <w:t xml:space="preserve"> 0.16, 2020 mean = 0.36 </w:t>
      </w:r>
      <m:oMath>
        <m:r>
          <w:rPr>
            <w:rFonts w:ascii="Cambria Math" w:hAnsi="Cambria Math"/>
          </w:rPr>
          <m:t>±</m:t>
        </m:r>
      </m:oMath>
      <w:r>
        <w:t xml:space="preserve"> 0.22; </w:t>
      </w:r>
      <w:r>
        <w:rPr>
          <w:i/>
        </w:rPr>
        <w:t>t</w:t>
      </w:r>
      <w:r>
        <w:t xml:space="preserve"> = 1.8, df = 9.35, </w:t>
      </w:r>
      <w:r>
        <w:rPr>
          <w:i/>
        </w:rPr>
        <w:t>P</w:t>
      </w:r>
      <w:r>
        <w:t xml:space="preserve"> = 0.1) or proportion of squirrel biomass (mean = 50 </w:t>
      </w:r>
      <m:oMath>
        <m:r>
          <w:rPr>
            <w:rFonts w:ascii="Cambria Math" w:hAnsi="Cambria Math"/>
          </w:rPr>
          <m:t>±</m:t>
        </m:r>
      </m:oMath>
      <w:r>
        <w:t xml:space="preserve"> 14; 2019 mean = 44.44 </w:t>
      </w:r>
      <m:oMath>
        <m:r>
          <w:rPr>
            <w:rFonts w:ascii="Cambria Math" w:hAnsi="Cambria Math"/>
          </w:rPr>
          <m:t>±</m:t>
        </m:r>
      </m:oMath>
      <w:r>
        <w:t xml:space="preserve"> 9.91, 2020 mean = 47.95 </w:t>
      </w:r>
      <m:oMath>
        <m:r>
          <w:rPr>
            <w:rFonts w:ascii="Cambria Math" w:hAnsi="Cambria Math"/>
          </w:rPr>
          <m:t>±</m:t>
        </m:r>
      </m:oMath>
      <w:r>
        <w:t xml:space="preserve"> 25.58; </w:t>
      </w:r>
      <w:r>
        <w:rPr>
          <w:i/>
        </w:rPr>
        <w:t>t</w:t>
      </w:r>
      <w:r>
        <w:t xml:space="preserve"> = -0.33, df = 7.99, </w:t>
      </w:r>
      <w:r>
        <w:rPr>
          <w:i/>
        </w:rPr>
        <w:t>P</w:t>
      </w:r>
      <w:r>
        <w:t xml:space="preserve"> = 0.75) between years.</w:t>
      </w:r>
    </w:p>
    <w:p w14:paraId="1B7477B3" w14:textId="77777777" w:rsidR="00197B80" w:rsidRDefault="00387E87">
      <w:pPr>
        <w:pStyle w:val="BodyText"/>
      </w:pPr>
      <w:r>
        <w:t>We found little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w:t>
      </w:r>
      <w:r>
        <w:t>= 0.44) (Figure 5.3) or diet diversity (</w:t>
      </w:r>
      <w:r>
        <w:rPr>
          <w:i/>
        </w:rPr>
        <w:t>F</w:t>
      </w:r>
      <w:r>
        <w:rPr>
          <w:vertAlign w:val="subscript"/>
        </w:rPr>
        <w:t>1</w:t>
      </w:r>
      <w:r>
        <w:t xml:space="preserve"> = 1.31, df = 9, </w:t>
      </w:r>
      <w:r>
        <w:rPr>
          <w:i/>
        </w:rPr>
        <w:t>P</w:t>
      </w:r>
      <w:r>
        <w:t xml:space="preserve"> = 0.28) (Figure 5.4). There was also no significant difference in goshawk productivity between the coastal and transition zones (</w:t>
      </w:r>
      <w:r>
        <w:rPr>
          <w:i/>
        </w:rPr>
        <w:t>t</w:t>
      </w:r>
      <w:r>
        <w:t xml:space="preserve"> = 0.93, df = 4.71, </w:t>
      </w:r>
      <w:r>
        <w:rPr>
          <w:i/>
        </w:rPr>
        <w:t>P</w:t>
      </w:r>
      <w:r>
        <w:t xml:space="preserve"> = 0.4).</w:t>
      </w:r>
    </w:p>
    <w:p w14:paraId="5E20D50F" w14:textId="77777777" w:rsidR="00197B80" w:rsidRDefault="00387E87">
      <w:pPr>
        <w:pStyle w:val="Heading1"/>
      </w:pPr>
      <w:bookmarkStart w:id="10" w:name="discussion"/>
      <w:r>
        <w:t>4</w:t>
      </w:r>
      <w:r>
        <w:tab/>
        <w:t>Discussion</w:t>
      </w:r>
      <w:bookmarkEnd w:id="10"/>
    </w:p>
    <w:p w14:paraId="2C9A81C8" w14:textId="77777777" w:rsidR="00197B80" w:rsidRDefault="00387E87">
      <w:pPr>
        <w:pStyle w:val="FirstParagraph"/>
      </w:pPr>
      <w:r>
        <w:t xml:space="preserve">Northern goshawks are </w:t>
      </w:r>
      <w:r>
        <w:t>considered generalist predators and consume a wide variety of prey species. Despite this, a single key prey species often contributes disproportionately to goshawk diet, and the identity of this species may be specific to each goshawk population (Doyle and</w:t>
      </w:r>
      <w:r>
        <w:t xml:space="preserve"> Smith 1994, Ethier 1999, Tornberg et al. 2005). In coastal British Columbia we found goshawks consumed 29 different species during the breeding </w:t>
      </w:r>
      <w:r>
        <w:lastRenderedPageBreak/>
        <w:t>season. These prey ranged in size from tiny bats (~ 6 grams) to grouse larger than the goshawks themselves (~ 1</w:t>
      </w:r>
      <w:r>
        <w:t xml:space="preserve">000 grams). However, the majority of their diet was composed of tree squirrels of the genus </w:t>
      </w:r>
      <w:r>
        <w:rPr>
          <w:i/>
        </w:rPr>
        <w:t>Tamiasciurus</w:t>
      </w:r>
      <w:r>
        <w:t>. Across the entire study area this single taxa made up approximately half of the total biomass recorded. Individual nests varied in the degree to to wh</w:t>
      </w:r>
      <w:r>
        <w:t>ich they specialized on tree squirrels, with some nests consuming as little as 26% squirrel biomass and others as much as 86%. Despite the clear importance of tree squirrels in the diet, the proportion of squirrel biomass delivered to the nest did not infl</w:t>
      </w:r>
      <w:r>
        <w:t>uence northern goshawk fledging success.</w:t>
      </w:r>
    </w:p>
    <w:p w14:paraId="3E71AD9F" w14:textId="77777777" w:rsidR="00197B80" w:rsidRDefault="00387E87">
      <w:pPr>
        <w:pStyle w:val="BodyText"/>
      </w:pPr>
      <w:r>
        <w:t>Goshawk survival, migration, reproductive success, and other demographic parameters are often related to the abundance of a key prey species (Doyle and Smith 1994, Tornberg et al. 2005, Rutz and Bijlsma 2006). Altho</w:t>
      </w:r>
      <w:r>
        <w:t>ugh we lacked data on prey abundance within our study area, other authors have found goshawk diet does reflect site-level prey abundance (Lewis et al. 2006, Rogers et al. 2006). We observed significant variation in the proportion of tree squirrel biomass d</w:t>
      </w:r>
      <w:r>
        <w:t>elivered to each nest, which may reflect differences in squirrel abundance between sites. However, we did not find evidence to support an effect of this variation on goshawk productivity. When key prey abundance is low, high diet diversity may indicate a r</w:t>
      </w:r>
      <w:r>
        <w:t>eliance on alternate prey, with associated negative reproductive consequences (Resano‐Mayor et al. 2016). We found no evidence of an effect of diet diversity on goshawk productivity, but it is notable that the only nest in our study to experience a complet</w:t>
      </w:r>
      <w:r>
        <w:t xml:space="preserve">e breeding failure received the smallest proportion of squirrel biomass we observed. Given the strength of evidence from other studies and the clear importance of tree squirrels in the diet of this population, it seems probable tree squirrel abundance has </w:t>
      </w:r>
      <w:r>
        <w:t>some affect on goshawk productivity. Tree squirrels experience large fluctuations in abundance following cyclical changes in conifer seed crop size (Smith 1970). Given the potential cascading consequences for goshawks, understanding the relationship betwee</w:t>
      </w:r>
      <w:r>
        <w:t>n variation in tree squirrel abundance and goshawk demography remains a crucial knowledge gap.</w:t>
      </w:r>
    </w:p>
    <w:p w14:paraId="2A1E900B" w14:textId="77777777" w:rsidR="00197B80" w:rsidRDefault="00387E87">
      <w:pPr>
        <w:pStyle w:val="BodyText"/>
      </w:pPr>
      <w:r>
        <w:t>Across much of North America the key goshawk prey species is usually mammalian, often from the family Leporidae or Sciuridae (Boal and Mannan 1994, Doyle and Smi</w:t>
      </w:r>
      <w:r>
        <w:t xml:space="preserve">th </w:t>
      </w:r>
      <w:r>
        <w:lastRenderedPageBreak/>
        <w:t>1994, DeStefano et al. 2006, Rogers et al. 2006, Miller et al. 2014). However, in the coastal temperate rainforests of the Pacific Northwest, goshawk diet generally contains more birds than mammals and the key prey is usually a species of grouse (subfam</w:t>
      </w:r>
      <w:r>
        <w:t>ily Tetraoninae) (Watson et al. 1998, Thrailkill et al. 2000, Bloxton 2002, Lewis et al. 2006).  Despite inhabiting coastal rainforests, goshawks on Vancouver Island, British Columbia, consume primarily red squirrels (</w:t>
      </w:r>
      <w:r>
        <w:rPr>
          <w:i/>
        </w:rPr>
        <w:t>T. hudsonicus</w:t>
      </w:r>
      <w:r>
        <w:t>) (Ethier 1999). Our resu</w:t>
      </w:r>
      <w:r>
        <w:t>lts from the coastal mainland of British Columbia are consistent with findings from Vancouver Island and more broadly with results from the interior of North America, but stand in contrast to findings from elsewhere in the Pacific Northwest. Goshawk diet v</w:t>
      </w:r>
      <w:r>
        <w:t>aries at large scales in response to available prey species and prey abundance (Drennan 2006), suggesting tree squirrel abundance is higher within Vancouver Island and the south coast than other temperate rainforest ecosystems.</w:t>
      </w:r>
    </w:p>
    <w:p w14:paraId="7188C352" w14:textId="77777777" w:rsidR="00197B80" w:rsidRDefault="00387E87">
      <w:pPr>
        <w:pStyle w:val="BodyText"/>
      </w:pPr>
      <w:r>
        <w:t>Prey availability and abunda</w:t>
      </w:r>
      <w:r>
        <w:t xml:space="preserve">nce may vary at both broad and fine scales due to differences in habitat type (Kenward 1982, Penteriani et al. 2013). Within our study area, low-elevation mountain valleys bridge the wet forests of the coast and the dry forests of the interior, creating a </w:t>
      </w:r>
      <w:r>
        <w:t>narrow region of intermediate habitat types (Team 2008). Coastal rainforests are believed to contain a lower overall abundance of goshawk prey (Mclaren et al. 2015) and a lower abundance of key mammalian prey, such as snowshoe hare (Nagorsen 2003), than in</w:t>
      </w:r>
      <w:r>
        <w:t>terior forests. Available prey species and prey abundance in the transition zone may be intermediate between the coastal zone and the interior, with associated consequences for goshawk diet and demography. We found evidence of a difference in diet composit</w:t>
      </w:r>
      <w:r>
        <w:t xml:space="preserve">ion between the coastal and transition zones, suggesting goshawk diet may reflect local prey abundance across habitat types. However, the identity of the key prey, tree squirrels, was the same in both zones and comprised an equally large proportion of the </w:t>
      </w:r>
      <w:r>
        <w:t>diet in each. We also found no difference in diet diversity between the zones. The consistent dominance of tree squirrels in the diet indicates prey assemblages are not meaningfully different between the coastal and transition zones.</w:t>
      </w:r>
    </w:p>
    <w:p w14:paraId="26BA0C03" w14:textId="77777777" w:rsidR="00197B80" w:rsidRDefault="00387E87">
      <w:pPr>
        <w:pStyle w:val="BodyText"/>
      </w:pPr>
      <w:r>
        <w:lastRenderedPageBreak/>
        <w:t>Raptor diet is studied</w:t>
      </w:r>
      <w:r>
        <w:t xml:space="preserve"> through a variety of indirect methods, such as the collection of pellets and prey remains, and direct methods, such as nest cameras and observation from blinds. Nest cameras are considered one of the least biased methods for measuring diet at the nest in </w:t>
      </w:r>
      <w:r>
        <w:t>raptors (Tornberg and Reif 2007, García-Salgado et al. 2015, Harrison et al. 2019). Cameras in this study provided significantly more data at a finer resolution than either pellets or prey remains, which could only be collected during the infrequent survey</w:t>
      </w:r>
      <w:r>
        <w:t>s each site received. However, the cost, effort, and logistical challenges of camera installation restricted the number of sites from which camera data could be collected. Additionally, technical issues relating to camera settings and placement resulted in</w:t>
      </w:r>
      <w:r>
        <w:t xml:space="preserve"> a loss of data at some sites. Despite these limitations, we believe nest cameras provided the most accurate and complete picture of goshawk diet. Compared to cameras, pellets were relatively unbiased in measuring coarse diet composition, but severely unde</w:t>
      </w:r>
      <w:r>
        <w:t>restimated prey species richness. The pooled pellets-and-remains sample captured a much greater prey richness, including several species not detected on nest cameras, but greatly overestimated the proportion of avian biomass relative to camera data. Measur</w:t>
      </w:r>
      <w:r>
        <w:t>ing diet composition by counts or biomass adds further uncertainty, with measurements of counts overestimating avian prey relative to measurements of biomass. These complex results highlight the importance of clearly reporting the source and measurement of</w:t>
      </w:r>
      <w:r>
        <w:t xml:space="preserve"> raptor diet data. Because these methods have all been used in past studies we believe there is value in reporting the results of each for ease of comparison. However, we advocate for future diet studies to prioritize the collection of data via cameras, ei</w:t>
      </w:r>
      <w:r>
        <w:t>ther video or still images, rather than physical specimens.</w:t>
      </w:r>
    </w:p>
    <w:p w14:paraId="4A6BA63B" w14:textId="77777777" w:rsidR="00197B80" w:rsidRDefault="00387E87">
      <w:pPr>
        <w:pStyle w:val="BodyText"/>
      </w:pPr>
      <w:r>
        <w:t xml:space="preserve">Our study addresses a fundamental question regarding the basic ecology of an at-risk population of the northern goshawk. This population is currently considered part of </w:t>
      </w:r>
      <w:r>
        <w:rPr>
          <w:i/>
        </w:rPr>
        <w:t>A. g. laingi</w:t>
      </w:r>
      <w:r>
        <w:t xml:space="preserve">, a subspecies </w:t>
      </w:r>
      <w:r>
        <w:t xml:space="preserve">restricted to the coastal Pacific Northwest. In portions of </w:t>
      </w:r>
      <w:r>
        <w:rPr>
          <w:i/>
        </w:rPr>
        <w:t>laingi</w:t>
      </w:r>
      <w:r>
        <w:t>’s range the diet is dominated by mammalian prey, specifically tree squirrels[Ethier (1999); this study], and in other by avian prey (Bloxton 2002, Lewis et al. 2006). Tree squirrels clearly</w:t>
      </w:r>
      <w:r>
        <w:t xml:space="preserve"> play a key role in the diet of some </w:t>
      </w:r>
      <w:r>
        <w:rPr>
          <w:i/>
        </w:rPr>
        <w:t>laingi</w:t>
      </w:r>
      <w:r>
        <w:t xml:space="preserve"> populations, including the population of </w:t>
      </w:r>
      <w:r>
        <w:lastRenderedPageBreak/>
        <w:t>Haida Gwaii (Roberts 1997, cited in COSEWIC (2013)), where red squirrel is an introduced species. Genetic evidence indicates goshawks on this isolated archipelago may be d</w:t>
      </w:r>
      <w:r>
        <w:t>istinct from goshawks on the mainland coast and Vancouver Island (Sonsthagen et al. 2012, Geraldes et al. 2018). Regardless of their taxonomic relationship, dietary evidence suggests the goshawk populations of Haida Gwaii, Vancouver Island, and the mainlan</w:t>
      </w:r>
      <w:r>
        <w:t xml:space="preserve">d coast are more similar to each other in foraging habits and habitats than to other putative </w:t>
      </w:r>
      <w:r>
        <w:rPr>
          <w:i/>
        </w:rPr>
        <w:t>laingi</w:t>
      </w:r>
      <w:r>
        <w:t xml:space="preserve"> populations. Ecological similarity, such as diet and habitat characteristics, may therefore prove a better guide than genetic similarity when when incorpor</w:t>
      </w:r>
      <w:r>
        <w:t>ating foraging habitat or prey populations into management plans.</w:t>
      </w:r>
    </w:p>
    <w:p w14:paraId="1ED508CA" w14:textId="77777777" w:rsidR="00197B80" w:rsidRDefault="00387E87">
      <w:pPr>
        <w:pStyle w:val="Heading1"/>
      </w:pPr>
      <w:bookmarkStart w:id="11" w:name="figures"/>
      <w:r>
        <w:t>5</w:t>
      </w:r>
      <w:r>
        <w:tab/>
        <w:t>Figures</w:t>
      </w:r>
      <w:bookmarkEnd w:id="11"/>
    </w:p>
    <w:p w14:paraId="6DBF01AD" w14:textId="77777777" w:rsidR="00197B80" w:rsidRDefault="00387E87">
      <w:pPr>
        <w:pStyle w:val="CaptionedFigure"/>
      </w:pPr>
      <w:r>
        <w:drawing>
          <wp:inline distT="0" distB="0" distL="0" distR="0" wp14:anchorId="10BB5754" wp14:editId="7E11E4FD">
            <wp:extent cx="4620126" cy="3696101"/>
            <wp:effectExtent l="0" t="0" r="0" b="0"/>
            <wp:docPr id="1" name="Picture" descr="Figure 5.1: Map of study area (highlighted region) showing the coastal and transition zone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tudy-area-ma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3B030F3" w14:textId="77777777" w:rsidR="00197B80" w:rsidRDefault="00387E87">
      <w:pPr>
        <w:pStyle w:val="ImageCaption"/>
      </w:pPr>
      <w:r>
        <w:t>Figure 5.1: Map of study area (highlighted region) showing the coastal and transition zones.</w:t>
      </w:r>
    </w:p>
    <w:p w14:paraId="2952B1B8" w14:textId="77777777" w:rsidR="00197B80" w:rsidRDefault="00387E87">
      <w:pPr>
        <w:pStyle w:val="CaptionedFigure"/>
      </w:pPr>
      <w:r>
        <w:lastRenderedPageBreak/>
        <w:drawing>
          <wp:inline distT="0" distB="0" distL="0" distR="0" wp14:anchorId="0F8AB5F3" wp14:editId="5772DE74">
            <wp:extent cx="4620126" cy="3696101"/>
            <wp:effectExtent l="0" t="0" r="0" b="0"/>
            <wp:docPr id="2" name="Picture" descr="Figure 5.2: Comparison of the diet of goshawks from the coastal and transition zones. Prey items are divided by data source and grouped into eight broad categories and measured by the proportion of items in a given group out of all items from that data source."/>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chi-square-graph-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78B8B5" w14:textId="77777777" w:rsidR="00197B80" w:rsidRDefault="00387E87">
      <w:pPr>
        <w:pStyle w:val="ImageCaption"/>
      </w:pPr>
      <w:r>
        <w:t>Figure 5.2: Comparison of the diet of goshawks from the coastal and transition zone</w:t>
      </w:r>
      <w:r>
        <w:t>s. Prey items are divided by data source and grouped into eight broad categories and measured by the proportion of items in a given group out of all items from that data source.</w:t>
      </w:r>
    </w:p>
    <w:p w14:paraId="0652E1EE" w14:textId="77777777" w:rsidR="00197B80" w:rsidRDefault="00387E87">
      <w:pPr>
        <w:pStyle w:val="CaptionedFigure"/>
      </w:pPr>
      <w:r>
        <w:lastRenderedPageBreak/>
        <w:drawing>
          <wp:inline distT="0" distB="0" distL="0" distR="0" wp14:anchorId="6CCCE44D" wp14:editId="0B5F47DA">
            <wp:extent cx="4620126" cy="3696101"/>
            <wp:effectExtent l="0" t="0" r="0" b="0"/>
            <wp:docPr id="3" name="Picture" descr="Figure 5.3: Productivity (number of chicks fledged) at 12 sites with nest cameras in 2019-2020. Percent squirrel biomass is the percent of biomass delivered to the nest composed of tree squirrel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quirrel-model-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4B229B3" w14:textId="77777777" w:rsidR="00197B80" w:rsidRDefault="00387E87">
      <w:pPr>
        <w:pStyle w:val="ImageCaption"/>
      </w:pPr>
      <w:r>
        <w:t>Figure 5.3: Productivity (number of chicks fledged) at 12 sites with nest ca</w:t>
      </w:r>
      <w:r>
        <w:t>meras in 2019-2020. Percent squirrel biomass is the percent of biomass delivered to the nest composed of tree squirrels.</w:t>
      </w:r>
    </w:p>
    <w:p w14:paraId="31F68162" w14:textId="77777777" w:rsidR="00197B80" w:rsidRDefault="00387E87">
      <w:pPr>
        <w:pStyle w:val="CaptionedFigure"/>
      </w:pPr>
      <w:r>
        <w:lastRenderedPageBreak/>
        <w:drawing>
          <wp:inline distT="0" distB="0" distL="0" distR="0" wp14:anchorId="61541CA2" wp14:editId="72DB53A8">
            <wp:extent cx="4620126" cy="3696101"/>
            <wp:effectExtent l="0" t="0" r="0" b="0"/>
            <wp:docPr id="4" name="Picture" descr="Figure 5.4: Productivity (number of chicks fledged) at 12 sites with nest cameras in 2019-2020. Diet diversity is Simpson’s Diversity Index for items identified at least to genu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diversity-model-graph-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CE5FC5" w14:textId="77777777" w:rsidR="00197B80" w:rsidRDefault="00387E87">
      <w:pPr>
        <w:pStyle w:val="ImageCaption"/>
      </w:pPr>
      <w:r>
        <w:t>Figure 5.4: Productivity (number of chicks fledged) at 12 sites with nest cameras in 2019-2020. Diet diversity is Simpson’s Diversity</w:t>
      </w:r>
      <w:r>
        <w:t xml:space="preserve"> Index for items identified at least to genus.</w:t>
      </w:r>
    </w:p>
    <w:p w14:paraId="003CFA3D" w14:textId="77777777" w:rsidR="00197B80" w:rsidRPr="0078405A" w:rsidRDefault="00387E87" w:rsidP="0078405A">
      <w:pPr>
        <w:pStyle w:val="Compact"/>
      </w:pPr>
      <w:r w:rsidRPr="0078405A">
        <w:t xml:space="preserve">Table 5.1: </w:t>
      </w:r>
      <w:bookmarkStart w:id="12" w:name="tab:biomass-table"/>
      <w:r w:rsidRPr="0078405A">
        <w:t>Summary of prey items recorded at 33 active goshawk nests in the south coast of British Columbia in 2019-2020. Nest camera data from 13 sites, pellet data from 25 sites, and prey remains data from 3</w:t>
      </w:r>
      <w:r w:rsidRPr="0078405A">
        <w:t>0 sites</w:t>
      </w:r>
      <w:bookmarkEnd w:id="12"/>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197B80" w14:paraId="3A84769E" w14:textId="77777777">
        <w:trPr>
          <w:cantSplit/>
          <w:tblHeader/>
          <w:jc w:val="center"/>
        </w:trPr>
        <w:tc>
          <w:tcPr>
            <w:tcW w:w="4320" w:type="dxa"/>
            <w:gridSpan w:val="4"/>
            <w:shd w:val="clear" w:color="auto" w:fill="FFFFFF"/>
            <w:tcMar>
              <w:top w:w="0" w:type="dxa"/>
              <w:left w:w="0" w:type="dxa"/>
              <w:bottom w:w="0" w:type="dxa"/>
              <w:right w:w="0" w:type="dxa"/>
            </w:tcMar>
            <w:vAlign w:val="center"/>
          </w:tcPr>
          <w:p w14:paraId="3E589854"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2160" w:type="dxa"/>
            <w:gridSpan w:val="2"/>
            <w:shd w:val="clear" w:color="auto" w:fill="FFFFFF"/>
            <w:tcMar>
              <w:top w:w="0" w:type="dxa"/>
              <w:left w:w="0" w:type="dxa"/>
              <w:bottom w:w="0" w:type="dxa"/>
              <w:right w:w="0" w:type="dxa"/>
            </w:tcMar>
            <w:vAlign w:val="center"/>
          </w:tcPr>
          <w:p w14:paraId="67D8A1C3" w14:textId="77777777" w:rsidR="00197B80" w:rsidRDefault="00387E87">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7CC2967E" w14:textId="77777777" w:rsidR="00197B80" w:rsidRDefault="00387E87">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50146C1D" w14:textId="77777777" w:rsidR="00197B80" w:rsidRDefault="00387E87">
            <w:pPr>
              <w:spacing w:before="100" w:after="100"/>
              <w:ind w:left="100" w:right="100"/>
            </w:pPr>
            <w:r>
              <w:rPr>
                <w:rFonts w:ascii="Arial" w:eastAsia="Arial" w:hAnsi="Arial" w:cs="Arial"/>
                <w:color w:val="000000"/>
                <w:sz w:val="22"/>
                <w:szCs w:val="22"/>
              </w:rPr>
              <w:t>Remains</w:t>
            </w:r>
          </w:p>
        </w:tc>
      </w:tr>
      <w:tr w:rsidR="00197B80" w14:paraId="67DE5820"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C75C53" w14:textId="77777777" w:rsidR="00197B80" w:rsidRDefault="00387E87">
            <w:pPr>
              <w:spacing w:before="100" w:after="100"/>
              <w:ind w:left="100" w:right="100"/>
            </w:pPr>
            <w:r>
              <w:rPr>
                <w:rFonts w:ascii="Arial" w:eastAsia="Arial" w:hAnsi="Arial" w:cs="Arial"/>
                <w:color w:val="000000"/>
                <w:sz w:val="22"/>
                <w:szCs w:val="22"/>
              </w:rPr>
              <w:t>Class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D9639" w14:textId="77777777" w:rsidR="00197B80" w:rsidRDefault="00387E87">
            <w:pPr>
              <w:spacing w:before="100" w:after="100"/>
              <w:ind w:left="100" w:right="100"/>
            </w:pPr>
            <w:r>
              <w:rPr>
                <w:rFonts w:ascii="Arial" w:eastAsia="Arial" w:hAnsi="Arial" w:cs="Arial"/>
                <w:color w:val="000000"/>
                <w:sz w:val="22"/>
                <w:szCs w:val="22"/>
              </w:rPr>
              <w:t>Common name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E8D9C7" w14:textId="77777777" w:rsidR="00197B80" w:rsidRDefault="00387E87">
            <w:pPr>
              <w:spacing w:before="100" w:after="100"/>
              <w:ind w:left="100" w:right="100"/>
            </w:pPr>
            <w:r>
              <w:rPr>
                <w:rFonts w:ascii="Arial" w:eastAsia="Arial" w:hAnsi="Arial" w:cs="Arial"/>
                <w:color w:val="000000"/>
                <w:sz w:val="22"/>
                <w:szCs w:val="22"/>
              </w:rPr>
              <w:t>binomial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F795AB" w14:textId="77777777" w:rsidR="00197B80" w:rsidRDefault="00387E87">
            <w:pP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356396" w14:textId="77777777" w:rsidR="00197B80" w:rsidRDefault="00387E87">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3A609D" w14:textId="77777777" w:rsidR="00197B80" w:rsidRDefault="00387E87">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9928D2" w14:textId="77777777" w:rsidR="00197B80" w:rsidRDefault="00387E87">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BFEC8F" w14:textId="77777777" w:rsidR="00197B80" w:rsidRDefault="00387E87">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E315D9" w14:textId="77777777" w:rsidR="00197B80" w:rsidRDefault="00387E87">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C9EEE4" w14:textId="77777777" w:rsidR="00197B80" w:rsidRDefault="00387E87">
            <w:pPr>
              <w:spacing w:before="100" w:after="100"/>
              <w:ind w:left="100" w:right="100"/>
              <w:jc w:val="right"/>
            </w:pPr>
            <w:r>
              <w:rPr>
                <w:rFonts w:ascii="Arial" w:eastAsia="Arial" w:hAnsi="Arial" w:cs="Arial"/>
                <w:color w:val="000000"/>
                <w:sz w:val="22"/>
                <w:szCs w:val="22"/>
              </w:rPr>
              <w:t>% biomass</w:t>
            </w:r>
          </w:p>
        </w:tc>
      </w:tr>
      <w:tr w:rsidR="00197B80" w14:paraId="1B0F4C79" w14:textId="77777777">
        <w:trPr>
          <w:cantSplit/>
          <w:jc w:val="center"/>
        </w:trPr>
        <w:tc>
          <w:tcPr>
            <w:tcW w:w="1080" w:type="dxa"/>
            <w:shd w:val="clear" w:color="auto" w:fill="FFFFFF"/>
            <w:tcMar>
              <w:top w:w="0" w:type="dxa"/>
              <w:left w:w="0" w:type="dxa"/>
              <w:bottom w:w="0" w:type="dxa"/>
              <w:right w:w="0" w:type="dxa"/>
            </w:tcMar>
            <w:vAlign w:val="center"/>
          </w:tcPr>
          <w:p w14:paraId="57E79F69"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BDB6C8A" w14:textId="77777777" w:rsidR="00197B80" w:rsidRDefault="00387E87">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5BDFCB77"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338D6C46" w14:textId="77777777" w:rsidR="00197B80" w:rsidRDefault="00387E87">
            <w:pPr>
              <w:spacing w:before="100" w:after="100"/>
              <w:ind w:left="100" w:right="100"/>
              <w:jc w:val="right"/>
            </w:pPr>
            <w:r>
              <w:rPr>
                <w:rFonts w:ascii="Arial" w:eastAsia="Arial" w:hAnsi="Arial" w:cs="Arial"/>
                <w:color w:val="000000"/>
                <w:sz w:val="22"/>
                <w:szCs w:val="22"/>
              </w:rPr>
              <w:t>157</w:t>
            </w:r>
          </w:p>
        </w:tc>
        <w:tc>
          <w:tcPr>
            <w:tcW w:w="1080" w:type="dxa"/>
            <w:shd w:val="clear" w:color="auto" w:fill="FFFFFF"/>
            <w:tcMar>
              <w:top w:w="0" w:type="dxa"/>
              <w:left w:w="0" w:type="dxa"/>
              <w:bottom w:w="0" w:type="dxa"/>
              <w:right w:w="0" w:type="dxa"/>
            </w:tcMar>
            <w:vAlign w:val="center"/>
          </w:tcPr>
          <w:p w14:paraId="537F7D50" w14:textId="77777777" w:rsidR="00197B80" w:rsidRDefault="00387E87">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5CF755A1" w14:textId="77777777" w:rsidR="00197B80" w:rsidRDefault="00387E87">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179CED17" w14:textId="77777777" w:rsidR="00197B80" w:rsidRDefault="00387E87">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7A403889" w14:textId="77777777" w:rsidR="00197B80" w:rsidRDefault="00387E87">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0CC5CDEB" w14:textId="77777777" w:rsidR="00197B80" w:rsidRDefault="00387E87">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1B796473" w14:textId="77777777" w:rsidR="00197B80" w:rsidRDefault="00387E87">
            <w:pPr>
              <w:spacing w:before="100" w:after="100"/>
              <w:ind w:left="100" w:right="100"/>
              <w:jc w:val="right"/>
            </w:pPr>
            <w:r>
              <w:rPr>
                <w:rFonts w:ascii="Arial" w:eastAsia="Arial" w:hAnsi="Arial" w:cs="Arial"/>
                <w:color w:val="000000"/>
                <w:sz w:val="22"/>
                <w:szCs w:val="22"/>
              </w:rPr>
              <w:t>54.86</w:t>
            </w:r>
          </w:p>
        </w:tc>
      </w:tr>
      <w:tr w:rsidR="00197B80" w14:paraId="5E2020C5" w14:textId="77777777">
        <w:trPr>
          <w:cantSplit/>
          <w:jc w:val="center"/>
        </w:trPr>
        <w:tc>
          <w:tcPr>
            <w:tcW w:w="1080" w:type="dxa"/>
            <w:shd w:val="clear" w:color="auto" w:fill="FFFFFF"/>
            <w:tcMar>
              <w:top w:w="0" w:type="dxa"/>
              <w:left w:w="0" w:type="dxa"/>
              <w:bottom w:w="0" w:type="dxa"/>
              <w:right w:w="0" w:type="dxa"/>
            </w:tcMar>
            <w:vAlign w:val="center"/>
          </w:tcPr>
          <w:p w14:paraId="34F57661"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7CB3876" w14:textId="77777777" w:rsidR="00197B80" w:rsidRDefault="00387E87">
            <w:pPr>
              <w:spacing w:before="100" w:after="100"/>
              <w:ind w:left="100" w:right="100"/>
            </w:pPr>
            <w:r>
              <w:rPr>
                <w:rFonts w:ascii="Arial" w:eastAsia="Arial" w:hAnsi="Arial" w:cs="Arial"/>
                <w:color w:val="000000"/>
                <w:sz w:val="22"/>
                <w:szCs w:val="22"/>
              </w:rPr>
              <w:t>Northern goshawk</w:t>
            </w:r>
          </w:p>
        </w:tc>
        <w:tc>
          <w:tcPr>
            <w:tcW w:w="1080" w:type="dxa"/>
            <w:shd w:val="clear" w:color="auto" w:fill="FFFFFF"/>
            <w:tcMar>
              <w:top w:w="0" w:type="dxa"/>
              <w:left w:w="0" w:type="dxa"/>
              <w:bottom w:w="0" w:type="dxa"/>
              <w:right w:w="0" w:type="dxa"/>
            </w:tcMar>
            <w:vAlign w:val="center"/>
          </w:tcPr>
          <w:p w14:paraId="5A41DCCF" w14:textId="77777777" w:rsidR="00197B80" w:rsidRDefault="00387E87">
            <w:pPr>
              <w:spacing w:before="100" w:after="100"/>
              <w:ind w:left="100" w:right="100"/>
            </w:pPr>
            <w:r>
              <w:rPr>
                <w:rFonts w:ascii="Arial" w:eastAsia="Arial" w:hAnsi="Arial" w:cs="Arial"/>
                <w:color w:val="000000"/>
                <w:sz w:val="22"/>
                <w:szCs w:val="22"/>
              </w:rPr>
              <w:t>Accipiter gentilis</w:t>
            </w:r>
          </w:p>
        </w:tc>
        <w:tc>
          <w:tcPr>
            <w:tcW w:w="1080" w:type="dxa"/>
            <w:shd w:val="clear" w:color="auto" w:fill="FFFFFF"/>
            <w:tcMar>
              <w:top w:w="0" w:type="dxa"/>
              <w:left w:w="0" w:type="dxa"/>
              <w:bottom w:w="0" w:type="dxa"/>
              <w:right w:w="0" w:type="dxa"/>
            </w:tcMar>
            <w:vAlign w:val="center"/>
          </w:tcPr>
          <w:p w14:paraId="2BC0D827" w14:textId="77777777" w:rsidR="00197B80" w:rsidRDefault="00387E87">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03119AD"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6B2BC9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1F9D647"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89E5170"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CA701E3" w14:textId="77777777" w:rsidR="00197B80" w:rsidRDefault="00387E87">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2E005741" w14:textId="77777777" w:rsidR="00197B80" w:rsidRDefault="00387E87">
            <w:pPr>
              <w:spacing w:before="100" w:after="100"/>
              <w:ind w:left="100" w:right="100"/>
              <w:jc w:val="right"/>
            </w:pPr>
            <w:r>
              <w:rPr>
                <w:rFonts w:ascii="Arial" w:eastAsia="Arial" w:hAnsi="Arial" w:cs="Arial"/>
                <w:color w:val="000000"/>
                <w:sz w:val="22"/>
                <w:szCs w:val="22"/>
              </w:rPr>
              <w:t>1.81</w:t>
            </w:r>
          </w:p>
        </w:tc>
      </w:tr>
      <w:tr w:rsidR="00197B80" w14:paraId="2B2542FC" w14:textId="77777777">
        <w:trPr>
          <w:cantSplit/>
          <w:jc w:val="center"/>
        </w:trPr>
        <w:tc>
          <w:tcPr>
            <w:tcW w:w="1080" w:type="dxa"/>
            <w:shd w:val="clear" w:color="auto" w:fill="FFFFFF"/>
            <w:tcMar>
              <w:top w:w="0" w:type="dxa"/>
              <w:left w:w="0" w:type="dxa"/>
              <w:bottom w:w="0" w:type="dxa"/>
              <w:right w:w="0" w:type="dxa"/>
            </w:tcMar>
            <w:vAlign w:val="center"/>
          </w:tcPr>
          <w:p w14:paraId="1195FC56"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1FE2FC1" w14:textId="77777777" w:rsidR="00197B80" w:rsidRDefault="00387E87">
            <w:pPr>
              <w:spacing w:before="100" w:after="100"/>
              <w:ind w:left="100" w:right="100"/>
            </w:pPr>
            <w:r>
              <w:rPr>
                <w:rFonts w:ascii="Arial" w:eastAsia="Arial" w:hAnsi="Arial" w:cs="Arial"/>
                <w:color w:val="000000"/>
                <w:sz w:val="22"/>
                <w:szCs w:val="22"/>
              </w:rPr>
              <w:t>Mallard</w:t>
            </w:r>
          </w:p>
        </w:tc>
        <w:tc>
          <w:tcPr>
            <w:tcW w:w="1080" w:type="dxa"/>
            <w:shd w:val="clear" w:color="auto" w:fill="FFFFFF"/>
            <w:tcMar>
              <w:top w:w="0" w:type="dxa"/>
              <w:left w:w="0" w:type="dxa"/>
              <w:bottom w:w="0" w:type="dxa"/>
              <w:right w:w="0" w:type="dxa"/>
            </w:tcMar>
            <w:vAlign w:val="center"/>
          </w:tcPr>
          <w:p w14:paraId="4F7AE803" w14:textId="77777777" w:rsidR="00197B80" w:rsidRDefault="00387E87">
            <w:pPr>
              <w:spacing w:before="100" w:after="100"/>
              <w:ind w:left="100" w:right="100"/>
            </w:pPr>
            <w:r>
              <w:rPr>
                <w:rFonts w:ascii="Arial" w:eastAsia="Arial" w:hAnsi="Arial" w:cs="Arial"/>
                <w:color w:val="000000"/>
                <w:sz w:val="22"/>
                <w:szCs w:val="22"/>
              </w:rPr>
              <w:t>Anas platyrhynchos</w:t>
            </w:r>
          </w:p>
        </w:tc>
        <w:tc>
          <w:tcPr>
            <w:tcW w:w="1080" w:type="dxa"/>
            <w:shd w:val="clear" w:color="auto" w:fill="FFFFFF"/>
            <w:tcMar>
              <w:top w:w="0" w:type="dxa"/>
              <w:left w:w="0" w:type="dxa"/>
              <w:bottom w:w="0" w:type="dxa"/>
              <w:right w:w="0" w:type="dxa"/>
            </w:tcMar>
            <w:vAlign w:val="center"/>
          </w:tcPr>
          <w:p w14:paraId="3923A052"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6CA2C7A"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519111F"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DB2B31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B8C8716"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9275720"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5460B1D" w14:textId="77777777" w:rsidR="00197B80" w:rsidRDefault="00387E87">
            <w:pPr>
              <w:spacing w:before="100" w:after="100"/>
              <w:ind w:left="100" w:right="100"/>
              <w:jc w:val="right"/>
            </w:pPr>
            <w:r>
              <w:rPr>
                <w:rFonts w:ascii="Arial" w:eastAsia="Arial" w:hAnsi="Arial" w:cs="Arial"/>
                <w:color w:val="000000"/>
                <w:sz w:val="22"/>
                <w:szCs w:val="22"/>
              </w:rPr>
              <w:t>1.60</w:t>
            </w:r>
          </w:p>
        </w:tc>
      </w:tr>
      <w:tr w:rsidR="00197B80" w14:paraId="75BCFC17" w14:textId="77777777">
        <w:trPr>
          <w:cantSplit/>
          <w:jc w:val="center"/>
        </w:trPr>
        <w:tc>
          <w:tcPr>
            <w:tcW w:w="1080" w:type="dxa"/>
            <w:shd w:val="clear" w:color="auto" w:fill="FFFFFF"/>
            <w:tcMar>
              <w:top w:w="0" w:type="dxa"/>
              <w:left w:w="0" w:type="dxa"/>
              <w:bottom w:w="0" w:type="dxa"/>
              <w:right w:w="0" w:type="dxa"/>
            </w:tcMar>
            <w:vAlign w:val="center"/>
          </w:tcPr>
          <w:p w14:paraId="4F878328"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1CBF658F" w14:textId="77777777" w:rsidR="00197B80" w:rsidRDefault="00387E87">
            <w:pPr>
              <w:spacing w:before="100" w:after="100"/>
              <w:ind w:left="100" w:right="100"/>
            </w:pPr>
            <w:r>
              <w:rPr>
                <w:rFonts w:ascii="Arial" w:eastAsia="Arial" w:hAnsi="Arial" w:cs="Arial"/>
                <w:color w:val="000000"/>
                <w:sz w:val="22"/>
                <w:szCs w:val="22"/>
              </w:rPr>
              <w:t>Ruffed grouse</w:t>
            </w:r>
          </w:p>
        </w:tc>
        <w:tc>
          <w:tcPr>
            <w:tcW w:w="1080" w:type="dxa"/>
            <w:shd w:val="clear" w:color="auto" w:fill="FFFFFF"/>
            <w:tcMar>
              <w:top w:w="0" w:type="dxa"/>
              <w:left w:w="0" w:type="dxa"/>
              <w:bottom w:w="0" w:type="dxa"/>
              <w:right w:w="0" w:type="dxa"/>
            </w:tcMar>
            <w:vAlign w:val="center"/>
          </w:tcPr>
          <w:p w14:paraId="75A7D21F" w14:textId="77777777" w:rsidR="00197B80" w:rsidRDefault="00387E87">
            <w:pPr>
              <w:spacing w:before="100" w:after="100"/>
              <w:ind w:left="100" w:right="100"/>
            </w:pPr>
            <w:r>
              <w:rPr>
                <w:rFonts w:ascii="Arial" w:eastAsia="Arial" w:hAnsi="Arial" w:cs="Arial"/>
                <w:color w:val="000000"/>
                <w:sz w:val="22"/>
                <w:szCs w:val="22"/>
              </w:rPr>
              <w:t>Bonasa umbellus</w:t>
            </w:r>
          </w:p>
        </w:tc>
        <w:tc>
          <w:tcPr>
            <w:tcW w:w="1080" w:type="dxa"/>
            <w:shd w:val="clear" w:color="auto" w:fill="FFFFFF"/>
            <w:tcMar>
              <w:top w:w="0" w:type="dxa"/>
              <w:left w:w="0" w:type="dxa"/>
              <w:bottom w:w="0" w:type="dxa"/>
              <w:right w:w="0" w:type="dxa"/>
            </w:tcMar>
            <w:vAlign w:val="center"/>
          </w:tcPr>
          <w:p w14:paraId="4234F1C9" w14:textId="77777777" w:rsidR="00197B80" w:rsidRDefault="00387E87">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042C960C" w14:textId="77777777" w:rsidR="00197B80" w:rsidRDefault="00387E87">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D84FEA9" w14:textId="77777777" w:rsidR="00197B80" w:rsidRDefault="00387E87">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322A6AFE"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5764B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BED302"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AB1E577" w14:textId="77777777" w:rsidR="00197B80" w:rsidRDefault="00387E87">
            <w:pPr>
              <w:spacing w:before="100" w:after="100"/>
              <w:ind w:left="100" w:right="100"/>
              <w:jc w:val="right"/>
            </w:pPr>
            <w:r>
              <w:rPr>
                <w:rFonts w:ascii="Arial" w:eastAsia="Arial" w:hAnsi="Arial" w:cs="Arial"/>
                <w:color w:val="000000"/>
                <w:sz w:val="22"/>
                <w:szCs w:val="22"/>
              </w:rPr>
              <w:t>0.74</w:t>
            </w:r>
          </w:p>
        </w:tc>
      </w:tr>
      <w:tr w:rsidR="00197B80" w14:paraId="76FA9E68" w14:textId="77777777">
        <w:trPr>
          <w:cantSplit/>
          <w:jc w:val="center"/>
        </w:trPr>
        <w:tc>
          <w:tcPr>
            <w:tcW w:w="1080" w:type="dxa"/>
            <w:shd w:val="clear" w:color="auto" w:fill="FFFFFF"/>
            <w:tcMar>
              <w:top w:w="0" w:type="dxa"/>
              <w:left w:w="0" w:type="dxa"/>
              <w:bottom w:w="0" w:type="dxa"/>
              <w:right w:w="0" w:type="dxa"/>
            </w:tcMar>
            <w:vAlign w:val="center"/>
          </w:tcPr>
          <w:p w14:paraId="6E1FF3D7" w14:textId="77777777" w:rsidR="00197B80" w:rsidRDefault="00387E87">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5ADA781D" w14:textId="77777777" w:rsidR="00197B80" w:rsidRDefault="00387E87">
            <w:pPr>
              <w:spacing w:before="100" w:after="100"/>
              <w:ind w:left="100" w:right="100"/>
            </w:pPr>
            <w:r>
              <w:rPr>
                <w:rFonts w:ascii="Arial" w:eastAsia="Arial" w:hAnsi="Arial" w:cs="Arial"/>
                <w:color w:val="000000"/>
                <w:sz w:val="22"/>
                <w:szCs w:val="22"/>
              </w:rPr>
              <w:t>Swainson's thrush</w:t>
            </w:r>
          </w:p>
        </w:tc>
        <w:tc>
          <w:tcPr>
            <w:tcW w:w="1080" w:type="dxa"/>
            <w:shd w:val="clear" w:color="auto" w:fill="FFFFFF"/>
            <w:tcMar>
              <w:top w:w="0" w:type="dxa"/>
              <w:left w:w="0" w:type="dxa"/>
              <w:bottom w:w="0" w:type="dxa"/>
              <w:right w:w="0" w:type="dxa"/>
            </w:tcMar>
            <w:vAlign w:val="center"/>
          </w:tcPr>
          <w:p w14:paraId="0A3ED7DD" w14:textId="77777777" w:rsidR="00197B80" w:rsidRDefault="00387E87">
            <w:pPr>
              <w:spacing w:before="100" w:after="100"/>
              <w:ind w:left="100" w:right="100"/>
            </w:pPr>
            <w:r>
              <w:rPr>
                <w:rFonts w:ascii="Arial" w:eastAsia="Arial" w:hAnsi="Arial" w:cs="Arial"/>
                <w:color w:val="000000"/>
                <w:sz w:val="22"/>
                <w:szCs w:val="22"/>
              </w:rPr>
              <w:t>Catharus ustulatus</w:t>
            </w:r>
          </w:p>
        </w:tc>
        <w:tc>
          <w:tcPr>
            <w:tcW w:w="1080" w:type="dxa"/>
            <w:shd w:val="clear" w:color="auto" w:fill="FFFFFF"/>
            <w:tcMar>
              <w:top w:w="0" w:type="dxa"/>
              <w:left w:w="0" w:type="dxa"/>
              <w:bottom w:w="0" w:type="dxa"/>
              <w:right w:w="0" w:type="dxa"/>
            </w:tcMar>
            <w:vAlign w:val="center"/>
          </w:tcPr>
          <w:p w14:paraId="27EBFF45" w14:textId="77777777" w:rsidR="00197B80" w:rsidRDefault="00387E87">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23ACC692" w14:textId="77777777" w:rsidR="00197B80" w:rsidRDefault="00387E87">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364A93F9" w14:textId="77777777" w:rsidR="00197B80" w:rsidRDefault="00387E87">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661B957D" w14:textId="77777777" w:rsidR="00197B80" w:rsidRDefault="00387E87">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4B42DB0A" w14:textId="77777777" w:rsidR="00197B80" w:rsidRDefault="00387E87">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5ED9E76C"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8FFD70"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1C1BD7CB" w14:textId="77777777">
        <w:trPr>
          <w:cantSplit/>
          <w:jc w:val="center"/>
        </w:trPr>
        <w:tc>
          <w:tcPr>
            <w:tcW w:w="1080" w:type="dxa"/>
            <w:shd w:val="clear" w:color="auto" w:fill="FFFFFF"/>
            <w:tcMar>
              <w:top w:w="0" w:type="dxa"/>
              <w:left w:w="0" w:type="dxa"/>
              <w:bottom w:w="0" w:type="dxa"/>
              <w:right w:w="0" w:type="dxa"/>
            </w:tcMar>
            <w:vAlign w:val="center"/>
          </w:tcPr>
          <w:p w14:paraId="079BEB21"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3980179" w14:textId="77777777" w:rsidR="00197B80" w:rsidRDefault="00387E87">
            <w:pPr>
              <w:spacing w:before="100" w:after="100"/>
              <w:ind w:left="100" w:right="100"/>
            </w:pPr>
            <w:r>
              <w:rPr>
                <w:rFonts w:ascii="Arial" w:eastAsia="Arial" w:hAnsi="Arial" w:cs="Arial"/>
                <w:color w:val="000000"/>
                <w:sz w:val="22"/>
                <w:szCs w:val="22"/>
              </w:rPr>
              <w:t>Northern flicker</w:t>
            </w:r>
          </w:p>
        </w:tc>
        <w:tc>
          <w:tcPr>
            <w:tcW w:w="1080" w:type="dxa"/>
            <w:shd w:val="clear" w:color="auto" w:fill="FFFFFF"/>
            <w:tcMar>
              <w:top w:w="0" w:type="dxa"/>
              <w:left w:w="0" w:type="dxa"/>
              <w:bottom w:w="0" w:type="dxa"/>
              <w:right w:w="0" w:type="dxa"/>
            </w:tcMar>
            <w:vAlign w:val="center"/>
          </w:tcPr>
          <w:p w14:paraId="797D2012" w14:textId="77777777" w:rsidR="00197B80" w:rsidRDefault="00387E87">
            <w:pPr>
              <w:spacing w:before="100" w:after="100"/>
              <w:ind w:left="100" w:right="100"/>
            </w:pPr>
            <w:r>
              <w:rPr>
                <w:rFonts w:ascii="Arial" w:eastAsia="Arial" w:hAnsi="Arial" w:cs="Arial"/>
                <w:color w:val="000000"/>
                <w:sz w:val="22"/>
                <w:szCs w:val="22"/>
              </w:rPr>
              <w:t>Colaptes auratus</w:t>
            </w:r>
          </w:p>
        </w:tc>
        <w:tc>
          <w:tcPr>
            <w:tcW w:w="1080" w:type="dxa"/>
            <w:shd w:val="clear" w:color="auto" w:fill="FFFFFF"/>
            <w:tcMar>
              <w:top w:w="0" w:type="dxa"/>
              <w:left w:w="0" w:type="dxa"/>
              <w:bottom w:w="0" w:type="dxa"/>
              <w:right w:w="0" w:type="dxa"/>
            </w:tcMar>
            <w:vAlign w:val="center"/>
          </w:tcPr>
          <w:p w14:paraId="50445DAE" w14:textId="77777777" w:rsidR="00197B80" w:rsidRDefault="00387E87">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69CAC1E3"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27D0DF7"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28D70CF" w14:textId="77777777" w:rsidR="00197B80" w:rsidRDefault="00387E87">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772D71E3" w14:textId="77777777" w:rsidR="00197B80" w:rsidRDefault="00387E87">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2577169D" w14:textId="77777777" w:rsidR="00197B80" w:rsidRDefault="00387E87">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64AB5655" w14:textId="77777777" w:rsidR="00197B80" w:rsidRDefault="00387E87">
            <w:pPr>
              <w:spacing w:before="100" w:after="100"/>
              <w:ind w:left="100" w:right="100"/>
              <w:jc w:val="right"/>
            </w:pPr>
            <w:r>
              <w:rPr>
                <w:rFonts w:ascii="Arial" w:eastAsia="Arial" w:hAnsi="Arial" w:cs="Arial"/>
                <w:color w:val="000000"/>
                <w:sz w:val="22"/>
                <w:szCs w:val="22"/>
              </w:rPr>
              <w:t>1.11</w:t>
            </w:r>
          </w:p>
        </w:tc>
      </w:tr>
      <w:tr w:rsidR="00197B80" w14:paraId="2B24CB8D" w14:textId="77777777">
        <w:trPr>
          <w:cantSplit/>
          <w:jc w:val="center"/>
        </w:trPr>
        <w:tc>
          <w:tcPr>
            <w:tcW w:w="1080" w:type="dxa"/>
            <w:shd w:val="clear" w:color="auto" w:fill="FFFFFF"/>
            <w:tcMar>
              <w:top w:w="0" w:type="dxa"/>
              <w:left w:w="0" w:type="dxa"/>
              <w:bottom w:w="0" w:type="dxa"/>
              <w:right w:w="0" w:type="dxa"/>
            </w:tcMar>
            <w:vAlign w:val="center"/>
          </w:tcPr>
          <w:p w14:paraId="73324336"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A495EDC" w14:textId="77777777" w:rsidR="00197B80" w:rsidRDefault="00387E87">
            <w:pPr>
              <w:spacing w:before="100" w:after="100"/>
              <w:ind w:left="100" w:right="100"/>
            </w:pPr>
            <w:r>
              <w:rPr>
                <w:rFonts w:ascii="Arial" w:eastAsia="Arial" w:hAnsi="Arial" w:cs="Arial"/>
                <w:color w:val="000000"/>
                <w:sz w:val="22"/>
                <w:szCs w:val="22"/>
              </w:rPr>
              <w:t>Northwestern crow</w:t>
            </w:r>
          </w:p>
        </w:tc>
        <w:tc>
          <w:tcPr>
            <w:tcW w:w="1080" w:type="dxa"/>
            <w:shd w:val="clear" w:color="auto" w:fill="FFFFFF"/>
            <w:tcMar>
              <w:top w:w="0" w:type="dxa"/>
              <w:left w:w="0" w:type="dxa"/>
              <w:bottom w:w="0" w:type="dxa"/>
              <w:right w:w="0" w:type="dxa"/>
            </w:tcMar>
            <w:vAlign w:val="center"/>
          </w:tcPr>
          <w:p w14:paraId="1BC8FBA9" w14:textId="77777777" w:rsidR="00197B80" w:rsidRDefault="00387E87">
            <w:pPr>
              <w:spacing w:before="100" w:after="100"/>
              <w:ind w:left="100" w:right="100"/>
            </w:pPr>
            <w:r>
              <w:rPr>
                <w:rFonts w:ascii="Arial" w:eastAsia="Arial" w:hAnsi="Arial" w:cs="Arial"/>
                <w:color w:val="000000"/>
                <w:sz w:val="22"/>
                <w:szCs w:val="22"/>
              </w:rPr>
              <w:t>Corvus caurinus</w:t>
            </w:r>
          </w:p>
        </w:tc>
        <w:tc>
          <w:tcPr>
            <w:tcW w:w="1080" w:type="dxa"/>
            <w:shd w:val="clear" w:color="auto" w:fill="FFFFFF"/>
            <w:tcMar>
              <w:top w:w="0" w:type="dxa"/>
              <w:left w:w="0" w:type="dxa"/>
              <w:bottom w:w="0" w:type="dxa"/>
              <w:right w:w="0" w:type="dxa"/>
            </w:tcMar>
            <w:vAlign w:val="center"/>
          </w:tcPr>
          <w:p w14:paraId="086B3ECA"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5548E4C"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7E3B4F3"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5A1C916"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AAC1FA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847B252"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0190CD68" w14:textId="77777777" w:rsidR="00197B80" w:rsidRDefault="00387E87">
            <w:pPr>
              <w:spacing w:before="100" w:after="100"/>
              <w:ind w:left="100" w:right="100"/>
              <w:jc w:val="right"/>
            </w:pPr>
            <w:r>
              <w:rPr>
                <w:rFonts w:ascii="Arial" w:eastAsia="Arial" w:hAnsi="Arial" w:cs="Arial"/>
                <w:color w:val="000000"/>
                <w:sz w:val="22"/>
                <w:szCs w:val="22"/>
              </w:rPr>
              <w:t>0.55</w:t>
            </w:r>
          </w:p>
        </w:tc>
      </w:tr>
      <w:tr w:rsidR="00197B80" w14:paraId="4FC19E1B" w14:textId="77777777">
        <w:trPr>
          <w:cantSplit/>
          <w:jc w:val="center"/>
        </w:trPr>
        <w:tc>
          <w:tcPr>
            <w:tcW w:w="1080" w:type="dxa"/>
            <w:shd w:val="clear" w:color="auto" w:fill="FFFFFF"/>
            <w:tcMar>
              <w:top w:w="0" w:type="dxa"/>
              <w:left w:w="0" w:type="dxa"/>
              <w:bottom w:w="0" w:type="dxa"/>
              <w:right w:w="0" w:type="dxa"/>
            </w:tcMar>
            <w:vAlign w:val="center"/>
          </w:tcPr>
          <w:p w14:paraId="3DA19F9D"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C7522A2" w14:textId="77777777" w:rsidR="00197B80" w:rsidRDefault="00387E87">
            <w:pPr>
              <w:spacing w:before="100" w:after="100"/>
              <w:ind w:left="100" w:right="100"/>
            </w:pPr>
            <w:r>
              <w:rPr>
                <w:rFonts w:ascii="Arial" w:eastAsia="Arial" w:hAnsi="Arial" w:cs="Arial"/>
                <w:color w:val="000000"/>
                <w:sz w:val="22"/>
                <w:szCs w:val="22"/>
              </w:rPr>
              <w:t>Steller's jay</w:t>
            </w:r>
          </w:p>
        </w:tc>
        <w:tc>
          <w:tcPr>
            <w:tcW w:w="1080" w:type="dxa"/>
            <w:shd w:val="clear" w:color="auto" w:fill="FFFFFF"/>
            <w:tcMar>
              <w:top w:w="0" w:type="dxa"/>
              <w:left w:w="0" w:type="dxa"/>
              <w:bottom w:w="0" w:type="dxa"/>
              <w:right w:w="0" w:type="dxa"/>
            </w:tcMar>
            <w:vAlign w:val="center"/>
          </w:tcPr>
          <w:p w14:paraId="34BEAC38" w14:textId="77777777" w:rsidR="00197B80" w:rsidRDefault="00387E87">
            <w:pPr>
              <w:spacing w:before="100" w:after="100"/>
              <w:ind w:left="100" w:right="100"/>
            </w:pPr>
            <w:r>
              <w:rPr>
                <w:rFonts w:ascii="Arial" w:eastAsia="Arial" w:hAnsi="Arial" w:cs="Arial"/>
                <w:color w:val="000000"/>
                <w:sz w:val="22"/>
                <w:szCs w:val="22"/>
              </w:rPr>
              <w:t>Cyanocitta stelleri</w:t>
            </w:r>
          </w:p>
        </w:tc>
        <w:tc>
          <w:tcPr>
            <w:tcW w:w="1080" w:type="dxa"/>
            <w:shd w:val="clear" w:color="auto" w:fill="FFFFFF"/>
            <w:tcMar>
              <w:top w:w="0" w:type="dxa"/>
              <w:left w:w="0" w:type="dxa"/>
              <w:bottom w:w="0" w:type="dxa"/>
              <w:right w:w="0" w:type="dxa"/>
            </w:tcMar>
            <w:vAlign w:val="center"/>
          </w:tcPr>
          <w:p w14:paraId="11E1B47E" w14:textId="77777777" w:rsidR="00197B80" w:rsidRDefault="00387E87">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AD5F894" w14:textId="77777777" w:rsidR="00197B80" w:rsidRDefault="00387E87">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1DADFF17" w14:textId="77777777" w:rsidR="00197B80" w:rsidRDefault="00387E87">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371FC71C" w14:textId="77777777" w:rsidR="00197B80" w:rsidRDefault="00387E87">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59264806" w14:textId="77777777" w:rsidR="00197B80" w:rsidRDefault="00387E87">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2CA5F9A1" w14:textId="77777777" w:rsidR="00197B80" w:rsidRDefault="00387E87">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76665B18" w14:textId="77777777" w:rsidR="00197B80" w:rsidRDefault="00387E87">
            <w:pPr>
              <w:spacing w:before="100" w:after="100"/>
              <w:ind w:left="100" w:right="100"/>
              <w:jc w:val="right"/>
            </w:pPr>
            <w:r>
              <w:rPr>
                <w:rFonts w:ascii="Arial" w:eastAsia="Arial" w:hAnsi="Arial" w:cs="Arial"/>
                <w:color w:val="000000"/>
                <w:sz w:val="22"/>
                <w:szCs w:val="22"/>
              </w:rPr>
              <w:t>1.35</w:t>
            </w:r>
          </w:p>
        </w:tc>
      </w:tr>
      <w:tr w:rsidR="00197B80" w14:paraId="1F25BA98" w14:textId="77777777">
        <w:trPr>
          <w:cantSplit/>
          <w:jc w:val="center"/>
        </w:trPr>
        <w:tc>
          <w:tcPr>
            <w:tcW w:w="1080" w:type="dxa"/>
            <w:shd w:val="clear" w:color="auto" w:fill="FFFFFF"/>
            <w:tcMar>
              <w:top w:w="0" w:type="dxa"/>
              <w:left w:w="0" w:type="dxa"/>
              <w:bottom w:w="0" w:type="dxa"/>
              <w:right w:w="0" w:type="dxa"/>
            </w:tcMar>
            <w:vAlign w:val="center"/>
          </w:tcPr>
          <w:p w14:paraId="51DB4B59"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4E6717E" w14:textId="77777777" w:rsidR="00197B80" w:rsidRDefault="00387E87">
            <w:pPr>
              <w:spacing w:before="100" w:after="100"/>
              <w:ind w:left="100" w:right="100"/>
            </w:pPr>
            <w:r>
              <w:rPr>
                <w:rFonts w:ascii="Arial" w:eastAsia="Arial" w:hAnsi="Arial" w:cs="Arial"/>
                <w:color w:val="000000"/>
                <w:sz w:val="22"/>
                <w:szCs w:val="22"/>
              </w:rPr>
              <w:t>Sooty grouse</w:t>
            </w:r>
          </w:p>
        </w:tc>
        <w:tc>
          <w:tcPr>
            <w:tcW w:w="1080" w:type="dxa"/>
            <w:shd w:val="clear" w:color="auto" w:fill="FFFFFF"/>
            <w:tcMar>
              <w:top w:w="0" w:type="dxa"/>
              <w:left w:w="0" w:type="dxa"/>
              <w:bottom w:w="0" w:type="dxa"/>
              <w:right w:w="0" w:type="dxa"/>
            </w:tcMar>
            <w:vAlign w:val="center"/>
          </w:tcPr>
          <w:p w14:paraId="779CD8A5" w14:textId="77777777" w:rsidR="00197B80" w:rsidRDefault="00387E87">
            <w:pPr>
              <w:spacing w:before="100" w:after="100"/>
              <w:ind w:left="100" w:right="100"/>
            </w:pPr>
            <w:r>
              <w:rPr>
                <w:rFonts w:ascii="Arial" w:eastAsia="Arial" w:hAnsi="Arial" w:cs="Arial"/>
                <w:color w:val="000000"/>
                <w:sz w:val="22"/>
                <w:szCs w:val="22"/>
              </w:rPr>
              <w:t>Dendragapus fulignosus</w:t>
            </w:r>
          </w:p>
        </w:tc>
        <w:tc>
          <w:tcPr>
            <w:tcW w:w="1080" w:type="dxa"/>
            <w:shd w:val="clear" w:color="auto" w:fill="FFFFFF"/>
            <w:tcMar>
              <w:top w:w="0" w:type="dxa"/>
              <w:left w:w="0" w:type="dxa"/>
              <w:bottom w:w="0" w:type="dxa"/>
              <w:right w:w="0" w:type="dxa"/>
            </w:tcMar>
            <w:vAlign w:val="center"/>
          </w:tcPr>
          <w:p w14:paraId="57302508" w14:textId="77777777" w:rsidR="00197B80" w:rsidRDefault="00387E87">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6D097DBE" w14:textId="77777777" w:rsidR="00197B80" w:rsidRDefault="00387E87">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029DA10" w14:textId="77777777" w:rsidR="00197B80" w:rsidRDefault="00387E87">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009F4AFE"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A0CA81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298A46A" w14:textId="77777777" w:rsidR="00197B80" w:rsidRDefault="00387E87">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44E84ED9" w14:textId="77777777" w:rsidR="00197B80" w:rsidRDefault="00387E87">
            <w:pPr>
              <w:spacing w:before="100" w:after="100"/>
              <w:ind w:left="100" w:right="100"/>
              <w:jc w:val="right"/>
            </w:pPr>
            <w:r>
              <w:rPr>
                <w:rFonts w:ascii="Arial" w:eastAsia="Arial" w:hAnsi="Arial" w:cs="Arial"/>
                <w:color w:val="000000"/>
                <w:sz w:val="22"/>
                <w:szCs w:val="22"/>
              </w:rPr>
              <w:t>6.69</w:t>
            </w:r>
          </w:p>
        </w:tc>
      </w:tr>
      <w:tr w:rsidR="00197B80" w14:paraId="4106AC25" w14:textId="77777777">
        <w:trPr>
          <w:cantSplit/>
          <w:jc w:val="center"/>
        </w:trPr>
        <w:tc>
          <w:tcPr>
            <w:tcW w:w="1080" w:type="dxa"/>
            <w:shd w:val="clear" w:color="auto" w:fill="FFFFFF"/>
            <w:tcMar>
              <w:top w:w="0" w:type="dxa"/>
              <w:left w:w="0" w:type="dxa"/>
              <w:bottom w:w="0" w:type="dxa"/>
              <w:right w:w="0" w:type="dxa"/>
            </w:tcMar>
            <w:vAlign w:val="center"/>
          </w:tcPr>
          <w:p w14:paraId="057411F2"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50E11148" w14:textId="77777777" w:rsidR="00197B80" w:rsidRDefault="00387E87">
            <w:pPr>
              <w:spacing w:before="100" w:after="100"/>
              <w:ind w:left="100" w:right="100"/>
            </w:pPr>
            <w:r>
              <w:rPr>
                <w:rFonts w:ascii="Arial" w:eastAsia="Arial" w:hAnsi="Arial" w:cs="Arial"/>
                <w:color w:val="000000"/>
                <w:sz w:val="22"/>
                <w:szCs w:val="22"/>
              </w:rPr>
              <w:t>Downy woodpecker</w:t>
            </w:r>
          </w:p>
        </w:tc>
        <w:tc>
          <w:tcPr>
            <w:tcW w:w="1080" w:type="dxa"/>
            <w:shd w:val="clear" w:color="auto" w:fill="FFFFFF"/>
            <w:tcMar>
              <w:top w:w="0" w:type="dxa"/>
              <w:left w:w="0" w:type="dxa"/>
              <w:bottom w:w="0" w:type="dxa"/>
              <w:right w:w="0" w:type="dxa"/>
            </w:tcMar>
            <w:vAlign w:val="center"/>
          </w:tcPr>
          <w:p w14:paraId="6560E2FA" w14:textId="77777777" w:rsidR="00197B80" w:rsidRDefault="00387E87">
            <w:pPr>
              <w:spacing w:before="100" w:after="100"/>
              <w:ind w:left="100" w:right="100"/>
            </w:pPr>
            <w:r>
              <w:rPr>
                <w:rFonts w:ascii="Arial" w:eastAsia="Arial" w:hAnsi="Arial" w:cs="Arial"/>
                <w:color w:val="000000"/>
                <w:sz w:val="22"/>
                <w:szCs w:val="22"/>
              </w:rPr>
              <w:t>Dryobates pubescens</w:t>
            </w:r>
          </w:p>
        </w:tc>
        <w:tc>
          <w:tcPr>
            <w:tcW w:w="1080" w:type="dxa"/>
            <w:shd w:val="clear" w:color="auto" w:fill="FFFFFF"/>
            <w:tcMar>
              <w:top w:w="0" w:type="dxa"/>
              <w:left w:w="0" w:type="dxa"/>
              <w:bottom w:w="0" w:type="dxa"/>
              <w:right w:w="0" w:type="dxa"/>
            </w:tcMar>
            <w:vAlign w:val="center"/>
          </w:tcPr>
          <w:p w14:paraId="50F07945" w14:textId="77777777" w:rsidR="00197B80" w:rsidRDefault="00387E87">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4692DD9" w14:textId="77777777" w:rsidR="00197B80" w:rsidRDefault="00387E87">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4210B93F" w14:textId="77777777" w:rsidR="00197B80" w:rsidRDefault="00387E87">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169F7071"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DA96E9F"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05C637"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09220F2"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5B8ACA9C" w14:textId="77777777">
        <w:trPr>
          <w:cantSplit/>
          <w:jc w:val="center"/>
        </w:trPr>
        <w:tc>
          <w:tcPr>
            <w:tcW w:w="1080" w:type="dxa"/>
            <w:shd w:val="clear" w:color="auto" w:fill="FFFFFF"/>
            <w:tcMar>
              <w:top w:w="0" w:type="dxa"/>
              <w:left w:w="0" w:type="dxa"/>
              <w:bottom w:w="0" w:type="dxa"/>
              <w:right w:w="0" w:type="dxa"/>
            </w:tcMar>
            <w:vAlign w:val="center"/>
          </w:tcPr>
          <w:p w14:paraId="3806E52D"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B92D21A" w14:textId="77777777" w:rsidR="00197B80" w:rsidRDefault="00387E87">
            <w:pPr>
              <w:spacing w:before="100" w:after="100"/>
              <w:ind w:left="100" w:right="100"/>
            </w:pPr>
            <w:r>
              <w:rPr>
                <w:rFonts w:ascii="Arial" w:eastAsia="Arial" w:hAnsi="Arial" w:cs="Arial"/>
                <w:color w:val="000000"/>
                <w:sz w:val="22"/>
                <w:szCs w:val="22"/>
              </w:rPr>
              <w:t>Hairy woodpecker</w:t>
            </w:r>
          </w:p>
        </w:tc>
        <w:tc>
          <w:tcPr>
            <w:tcW w:w="1080" w:type="dxa"/>
            <w:shd w:val="clear" w:color="auto" w:fill="FFFFFF"/>
            <w:tcMar>
              <w:top w:w="0" w:type="dxa"/>
              <w:left w:w="0" w:type="dxa"/>
              <w:bottom w:w="0" w:type="dxa"/>
              <w:right w:w="0" w:type="dxa"/>
            </w:tcMar>
            <w:vAlign w:val="center"/>
          </w:tcPr>
          <w:p w14:paraId="4A9318B8" w14:textId="77777777" w:rsidR="00197B80" w:rsidRDefault="00387E87">
            <w:pPr>
              <w:spacing w:before="100" w:after="100"/>
              <w:ind w:left="100" w:right="100"/>
            </w:pPr>
            <w:r>
              <w:rPr>
                <w:rFonts w:ascii="Arial" w:eastAsia="Arial" w:hAnsi="Arial" w:cs="Arial"/>
                <w:color w:val="000000"/>
                <w:sz w:val="22"/>
                <w:szCs w:val="22"/>
              </w:rPr>
              <w:t>Dryobates villosus</w:t>
            </w:r>
          </w:p>
        </w:tc>
        <w:tc>
          <w:tcPr>
            <w:tcW w:w="1080" w:type="dxa"/>
            <w:shd w:val="clear" w:color="auto" w:fill="FFFFFF"/>
            <w:tcMar>
              <w:top w:w="0" w:type="dxa"/>
              <w:left w:w="0" w:type="dxa"/>
              <w:bottom w:w="0" w:type="dxa"/>
              <w:right w:w="0" w:type="dxa"/>
            </w:tcMar>
            <w:vAlign w:val="center"/>
          </w:tcPr>
          <w:p w14:paraId="08282CA1" w14:textId="77777777" w:rsidR="00197B80" w:rsidRDefault="00387E87">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0844D18B" w14:textId="77777777" w:rsidR="00197B80" w:rsidRDefault="00387E87">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532765B0" w14:textId="77777777" w:rsidR="00197B80" w:rsidRDefault="00387E87">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2974E083" w14:textId="77777777" w:rsidR="00197B80" w:rsidRDefault="00387E87">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03D5D7B0" w14:textId="77777777" w:rsidR="00197B80" w:rsidRDefault="00387E87">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3DC02319"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F0F5DB6"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7F45F8B9" w14:textId="77777777">
        <w:trPr>
          <w:cantSplit/>
          <w:jc w:val="center"/>
        </w:trPr>
        <w:tc>
          <w:tcPr>
            <w:tcW w:w="1080" w:type="dxa"/>
            <w:shd w:val="clear" w:color="auto" w:fill="FFFFFF"/>
            <w:tcMar>
              <w:top w:w="0" w:type="dxa"/>
              <w:left w:w="0" w:type="dxa"/>
              <w:bottom w:w="0" w:type="dxa"/>
              <w:right w:w="0" w:type="dxa"/>
            </w:tcMar>
            <w:vAlign w:val="center"/>
          </w:tcPr>
          <w:p w14:paraId="768BA50D"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647D084" w14:textId="77777777" w:rsidR="00197B80" w:rsidRDefault="00387E87">
            <w:pPr>
              <w:spacing w:before="100" w:after="100"/>
              <w:ind w:left="100" w:right="100"/>
            </w:pPr>
            <w:r>
              <w:rPr>
                <w:rFonts w:ascii="Arial" w:eastAsia="Arial" w:hAnsi="Arial" w:cs="Arial"/>
                <w:color w:val="000000"/>
                <w:sz w:val="22"/>
                <w:szCs w:val="22"/>
              </w:rPr>
              <w:t>Pileated woodpecker</w:t>
            </w:r>
          </w:p>
        </w:tc>
        <w:tc>
          <w:tcPr>
            <w:tcW w:w="1080" w:type="dxa"/>
            <w:shd w:val="clear" w:color="auto" w:fill="FFFFFF"/>
            <w:tcMar>
              <w:top w:w="0" w:type="dxa"/>
              <w:left w:w="0" w:type="dxa"/>
              <w:bottom w:w="0" w:type="dxa"/>
              <w:right w:w="0" w:type="dxa"/>
            </w:tcMar>
            <w:vAlign w:val="center"/>
          </w:tcPr>
          <w:p w14:paraId="6C174E43" w14:textId="77777777" w:rsidR="00197B80" w:rsidRDefault="00387E87">
            <w:pPr>
              <w:spacing w:before="100" w:after="100"/>
              <w:ind w:left="100" w:right="100"/>
            </w:pPr>
            <w:r>
              <w:rPr>
                <w:rFonts w:ascii="Arial" w:eastAsia="Arial" w:hAnsi="Arial" w:cs="Arial"/>
                <w:color w:val="000000"/>
                <w:sz w:val="22"/>
                <w:szCs w:val="22"/>
              </w:rPr>
              <w:t>Dryocopus pileatus</w:t>
            </w:r>
          </w:p>
        </w:tc>
        <w:tc>
          <w:tcPr>
            <w:tcW w:w="1080" w:type="dxa"/>
            <w:shd w:val="clear" w:color="auto" w:fill="FFFFFF"/>
            <w:tcMar>
              <w:top w:w="0" w:type="dxa"/>
              <w:left w:w="0" w:type="dxa"/>
              <w:bottom w:w="0" w:type="dxa"/>
              <w:right w:w="0" w:type="dxa"/>
            </w:tcMar>
            <w:vAlign w:val="center"/>
          </w:tcPr>
          <w:p w14:paraId="55225946" w14:textId="77777777" w:rsidR="00197B80" w:rsidRDefault="00387E87">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1C7B2DD"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525995D" w14:textId="77777777" w:rsidR="00197B80" w:rsidRDefault="00387E87">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0E79266E"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C412CA"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511BE80" w14:textId="77777777" w:rsidR="00197B80" w:rsidRDefault="00387E87">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44C61CA6" w14:textId="77777777" w:rsidR="00197B80" w:rsidRDefault="00387E87">
            <w:pPr>
              <w:spacing w:before="100" w:after="100"/>
              <w:ind w:left="100" w:right="100"/>
              <w:jc w:val="right"/>
            </w:pPr>
            <w:r>
              <w:rPr>
                <w:rFonts w:ascii="Arial" w:eastAsia="Arial" w:hAnsi="Arial" w:cs="Arial"/>
                <w:color w:val="000000"/>
                <w:sz w:val="22"/>
                <w:szCs w:val="22"/>
              </w:rPr>
              <w:t>0.81</w:t>
            </w:r>
          </w:p>
        </w:tc>
      </w:tr>
      <w:tr w:rsidR="00197B80" w14:paraId="2CE21F0C" w14:textId="77777777">
        <w:trPr>
          <w:cantSplit/>
          <w:jc w:val="center"/>
        </w:trPr>
        <w:tc>
          <w:tcPr>
            <w:tcW w:w="1080" w:type="dxa"/>
            <w:shd w:val="clear" w:color="auto" w:fill="FFFFFF"/>
            <w:tcMar>
              <w:top w:w="0" w:type="dxa"/>
              <w:left w:w="0" w:type="dxa"/>
              <w:bottom w:w="0" w:type="dxa"/>
              <w:right w:w="0" w:type="dxa"/>
            </w:tcMar>
            <w:vAlign w:val="center"/>
          </w:tcPr>
          <w:p w14:paraId="3A63CB0B"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17125F6" w14:textId="77777777" w:rsidR="00197B80" w:rsidRDefault="00387E87">
            <w:pPr>
              <w:spacing w:before="100" w:after="100"/>
              <w:ind w:left="100" w:right="100"/>
            </w:pPr>
            <w:r>
              <w:rPr>
                <w:rFonts w:ascii="Arial" w:eastAsia="Arial" w:hAnsi="Arial" w:cs="Arial"/>
                <w:color w:val="000000"/>
                <w:sz w:val="22"/>
                <w:szCs w:val="22"/>
              </w:rPr>
              <w:t>Varied thrush</w:t>
            </w:r>
          </w:p>
        </w:tc>
        <w:tc>
          <w:tcPr>
            <w:tcW w:w="1080" w:type="dxa"/>
            <w:shd w:val="clear" w:color="auto" w:fill="FFFFFF"/>
            <w:tcMar>
              <w:top w:w="0" w:type="dxa"/>
              <w:left w:w="0" w:type="dxa"/>
              <w:bottom w:w="0" w:type="dxa"/>
              <w:right w:w="0" w:type="dxa"/>
            </w:tcMar>
            <w:vAlign w:val="center"/>
          </w:tcPr>
          <w:p w14:paraId="0CCA145B" w14:textId="77777777" w:rsidR="00197B80" w:rsidRDefault="00387E87">
            <w:pPr>
              <w:spacing w:before="100" w:after="100"/>
              <w:ind w:left="100" w:right="100"/>
            </w:pPr>
            <w:r>
              <w:rPr>
                <w:rFonts w:ascii="Arial" w:eastAsia="Arial" w:hAnsi="Arial" w:cs="Arial"/>
                <w:color w:val="000000"/>
                <w:sz w:val="22"/>
                <w:szCs w:val="22"/>
              </w:rPr>
              <w:t>Ixoreus naevius</w:t>
            </w:r>
          </w:p>
        </w:tc>
        <w:tc>
          <w:tcPr>
            <w:tcW w:w="1080" w:type="dxa"/>
            <w:shd w:val="clear" w:color="auto" w:fill="FFFFFF"/>
            <w:tcMar>
              <w:top w:w="0" w:type="dxa"/>
              <w:left w:w="0" w:type="dxa"/>
              <w:bottom w:w="0" w:type="dxa"/>
              <w:right w:w="0" w:type="dxa"/>
            </w:tcMar>
            <w:vAlign w:val="center"/>
          </w:tcPr>
          <w:p w14:paraId="3F7B8D33" w14:textId="77777777" w:rsidR="00197B80" w:rsidRDefault="00387E87">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01E4A277" w14:textId="77777777" w:rsidR="00197B80" w:rsidRDefault="00387E87">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3B3966E7" w14:textId="77777777" w:rsidR="00197B80" w:rsidRDefault="00387E87">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242D8430" w14:textId="77777777" w:rsidR="00197B80" w:rsidRDefault="00387E87">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0134EEDF" w14:textId="77777777" w:rsidR="00197B80" w:rsidRDefault="00387E87">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66BC94C9" w14:textId="77777777" w:rsidR="00197B80" w:rsidRDefault="00387E87">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6BA4D090" w14:textId="77777777" w:rsidR="00197B80" w:rsidRDefault="00387E87">
            <w:pPr>
              <w:spacing w:before="100" w:after="100"/>
              <w:ind w:left="100" w:right="100"/>
              <w:jc w:val="right"/>
            </w:pPr>
            <w:r>
              <w:rPr>
                <w:rFonts w:ascii="Arial" w:eastAsia="Arial" w:hAnsi="Arial" w:cs="Arial"/>
                <w:color w:val="000000"/>
                <w:sz w:val="22"/>
                <w:szCs w:val="22"/>
              </w:rPr>
              <w:t>0.84</w:t>
            </w:r>
          </w:p>
        </w:tc>
      </w:tr>
      <w:tr w:rsidR="00197B80" w14:paraId="259E0415" w14:textId="77777777">
        <w:trPr>
          <w:cantSplit/>
          <w:jc w:val="center"/>
        </w:trPr>
        <w:tc>
          <w:tcPr>
            <w:tcW w:w="1080" w:type="dxa"/>
            <w:shd w:val="clear" w:color="auto" w:fill="FFFFFF"/>
            <w:tcMar>
              <w:top w:w="0" w:type="dxa"/>
              <w:left w:w="0" w:type="dxa"/>
              <w:bottom w:w="0" w:type="dxa"/>
              <w:right w:w="0" w:type="dxa"/>
            </w:tcMar>
            <w:vAlign w:val="center"/>
          </w:tcPr>
          <w:p w14:paraId="79CDD736"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8C63A3C" w14:textId="77777777" w:rsidR="00197B80" w:rsidRDefault="00387E87">
            <w:pPr>
              <w:spacing w:before="100" w:after="100"/>
              <w:ind w:left="100" w:right="100"/>
            </w:pPr>
            <w:r>
              <w:rPr>
                <w:rFonts w:ascii="Arial" w:eastAsia="Arial" w:hAnsi="Arial" w:cs="Arial"/>
                <w:color w:val="000000"/>
                <w:sz w:val="22"/>
                <w:szCs w:val="22"/>
              </w:rPr>
              <w:t>Mew gull</w:t>
            </w:r>
          </w:p>
        </w:tc>
        <w:tc>
          <w:tcPr>
            <w:tcW w:w="1080" w:type="dxa"/>
            <w:shd w:val="clear" w:color="auto" w:fill="FFFFFF"/>
            <w:tcMar>
              <w:top w:w="0" w:type="dxa"/>
              <w:left w:w="0" w:type="dxa"/>
              <w:bottom w:w="0" w:type="dxa"/>
              <w:right w:w="0" w:type="dxa"/>
            </w:tcMar>
            <w:vAlign w:val="center"/>
          </w:tcPr>
          <w:p w14:paraId="17B5074F" w14:textId="77777777" w:rsidR="00197B80" w:rsidRDefault="00387E87">
            <w:pPr>
              <w:spacing w:before="100" w:after="100"/>
              <w:ind w:left="100" w:right="100"/>
            </w:pPr>
            <w:r>
              <w:rPr>
                <w:rFonts w:ascii="Arial" w:eastAsia="Arial" w:hAnsi="Arial" w:cs="Arial"/>
                <w:color w:val="000000"/>
                <w:sz w:val="22"/>
                <w:szCs w:val="22"/>
              </w:rPr>
              <w:t>Larus canus</w:t>
            </w:r>
          </w:p>
        </w:tc>
        <w:tc>
          <w:tcPr>
            <w:tcW w:w="1080" w:type="dxa"/>
            <w:shd w:val="clear" w:color="auto" w:fill="FFFFFF"/>
            <w:tcMar>
              <w:top w:w="0" w:type="dxa"/>
              <w:left w:w="0" w:type="dxa"/>
              <w:bottom w:w="0" w:type="dxa"/>
              <w:right w:w="0" w:type="dxa"/>
            </w:tcMar>
            <w:vAlign w:val="center"/>
          </w:tcPr>
          <w:p w14:paraId="16E630AD"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7E6218F"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2A23414"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B4C7E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96573EE"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1D6634"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16E68C38" w14:textId="77777777" w:rsidR="00197B80" w:rsidRDefault="00387E87">
            <w:pPr>
              <w:spacing w:before="100" w:after="100"/>
              <w:ind w:left="100" w:right="100"/>
              <w:jc w:val="right"/>
            </w:pPr>
            <w:r>
              <w:rPr>
                <w:rFonts w:ascii="Arial" w:eastAsia="Arial" w:hAnsi="Arial" w:cs="Arial"/>
                <w:color w:val="000000"/>
                <w:sz w:val="22"/>
                <w:szCs w:val="22"/>
              </w:rPr>
              <w:t>0.55</w:t>
            </w:r>
          </w:p>
        </w:tc>
      </w:tr>
      <w:tr w:rsidR="00197B80" w14:paraId="06A701E2" w14:textId="77777777">
        <w:trPr>
          <w:cantSplit/>
          <w:jc w:val="center"/>
        </w:trPr>
        <w:tc>
          <w:tcPr>
            <w:tcW w:w="1080" w:type="dxa"/>
            <w:shd w:val="clear" w:color="auto" w:fill="FFFFFF"/>
            <w:tcMar>
              <w:top w:w="0" w:type="dxa"/>
              <w:left w:w="0" w:type="dxa"/>
              <w:bottom w:w="0" w:type="dxa"/>
              <w:right w:w="0" w:type="dxa"/>
            </w:tcMar>
            <w:vAlign w:val="center"/>
          </w:tcPr>
          <w:p w14:paraId="3A0F54E6"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938C907" w14:textId="77777777" w:rsidR="00197B80" w:rsidRDefault="00387E87">
            <w:pPr>
              <w:spacing w:before="100" w:after="100"/>
              <w:ind w:left="100" w:right="100"/>
            </w:pPr>
            <w:r>
              <w:rPr>
                <w:rFonts w:ascii="Arial" w:eastAsia="Arial" w:hAnsi="Arial" w:cs="Arial"/>
                <w:color w:val="000000"/>
                <w:sz w:val="22"/>
                <w:szCs w:val="22"/>
              </w:rPr>
              <w:t>Band-tailed pigeon</w:t>
            </w:r>
          </w:p>
        </w:tc>
        <w:tc>
          <w:tcPr>
            <w:tcW w:w="1080" w:type="dxa"/>
            <w:shd w:val="clear" w:color="auto" w:fill="FFFFFF"/>
            <w:tcMar>
              <w:top w:w="0" w:type="dxa"/>
              <w:left w:w="0" w:type="dxa"/>
              <w:bottom w:w="0" w:type="dxa"/>
              <w:right w:w="0" w:type="dxa"/>
            </w:tcMar>
            <w:vAlign w:val="center"/>
          </w:tcPr>
          <w:p w14:paraId="12850AB5" w14:textId="77777777" w:rsidR="00197B80" w:rsidRDefault="00387E87">
            <w:pPr>
              <w:spacing w:before="100" w:after="100"/>
              <w:ind w:left="100" w:right="100"/>
            </w:pPr>
            <w:r>
              <w:rPr>
                <w:rFonts w:ascii="Arial" w:eastAsia="Arial" w:hAnsi="Arial" w:cs="Arial"/>
                <w:color w:val="000000"/>
                <w:sz w:val="22"/>
                <w:szCs w:val="22"/>
              </w:rPr>
              <w:t>Patagoienas fasciata</w:t>
            </w:r>
          </w:p>
        </w:tc>
        <w:tc>
          <w:tcPr>
            <w:tcW w:w="1080" w:type="dxa"/>
            <w:shd w:val="clear" w:color="auto" w:fill="FFFFFF"/>
            <w:tcMar>
              <w:top w:w="0" w:type="dxa"/>
              <w:left w:w="0" w:type="dxa"/>
              <w:bottom w:w="0" w:type="dxa"/>
              <w:right w:w="0" w:type="dxa"/>
            </w:tcMar>
            <w:vAlign w:val="center"/>
          </w:tcPr>
          <w:p w14:paraId="14F86A4B" w14:textId="77777777" w:rsidR="00197B80" w:rsidRDefault="00387E87">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19127CFD" w14:textId="77777777" w:rsidR="00197B80" w:rsidRDefault="00387E87">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7551C329" w14:textId="77777777" w:rsidR="00197B80" w:rsidRDefault="00387E87">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5CB8E026"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7BED2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C456807"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DB4A83D" w14:textId="77777777" w:rsidR="00197B80" w:rsidRDefault="00387E87">
            <w:pPr>
              <w:spacing w:before="100" w:after="100"/>
              <w:ind w:left="100" w:right="100"/>
              <w:jc w:val="right"/>
            </w:pPr>
            <w:r>
              <w:rPr>
                <w:rFonts w:ascii="Arial" w:eastAsia="Arial" w:hAnsi="Arial" w:cs="Arial"/>
                <w:color w:val="000000"/>
                <w:sz w:val="22"/>
                <w:szCs w:val="22"/>
              </w:rPr>
              <w:t>0.53</w:t>
            </w:r>
          </w:p>
        </w:tc>
      </w:tr>
      <w:tr w:rsidR="00197B80" w14:paraId="231678E7" w14:textId="77777777">
        <w:trPr>
          <w:cantSplit/>
          <w:jc w:val="center"/>
        </w:trPr>
        <w:tc>
          <w:tcPr>
            <w:tcW w:w="1080" w:type="dxa"/>
            <w:shd w:val="clear" w:color="auto" w:fill="FFFFFF"/>
            <w:tcMar>
              <w:top w:w="0" w:type="dxa"/>
              <w:left w:w="0" w:type="dxa"/>
              <w:bottom w:w="0" w:type="dxa"/>
              <w:right w:w="0" w:type="dxa"/>
            </w:tcMar>
            <w:vAlign w:val="center"/>
          </w:tcPr>
          <w:p w14:paraId="4FFFE6C9" w14:textId="77777777" w:rsidR="00197B80" w:rsidRDefault="00387E87">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274582E4" w14:textId="77777777" w:rsidR="00197B80" w:rsidRDefault="00387E87">
            <w:pPr>
              <w:spacing w:before="100" w:after="100"/>
              <w:ind w:left="100" w:right="100"/>
            </w:pPr>
            <w:r>
              <w:rPr>
                <w:rFonts w:ascii="Arial" w:eastAsia="Arial" w:hAnsi="Arial" w:cs="Arial"/>
                <w:color w:val="000000"/>
                <w:sz w:val="22"/>
                <w:szCs w:val="22"/>
              </w:rPr>
              <w:t>Gray jay</w:t>
            </w:r>
          </w:p>
        </w:tc>
        <w:tc>
          <w:tcPr>
            <w:tcW w:w="1080" w:type="dxa"/>
            <w:shd w:val="clear" w:color="auto" w:fill="FFFFFF"/>
            <w:tcMar>
              <w:top w:w="0" w:type="dxa"/>
              <w:left w:w="0" w:type="dxa"/>
              <w:bottom w:w="0" w:type="dxa"/>
              <w:right w:w="0" w:type="dxa"/>
            </w:tcMar>
            <w:vAlign w:val="center"/>
          </w:tcPr>
          <w:p w14:paraId="30BB1E73" w14:textId="77777777" w:rsidR="00197B80" w:rsidRDefault="00387E87">
            <w:pPr>
              <w:spacing w:before="100" w:after="100"/>
              <w:ind w:left="100" w:right="100"/>
            </w:pPr>
            <w:r>
              <w:rPr>
                <w:rFonts w:ascii="Arial" w:eastAsia="Arial" w:hAnsi="Arial" w:cs="Arial"/>
                <w:color w:val="000000"/>
                <w:sz w:val="22"/>
                <w:szCs w:val="22"/>
              </w:rPr>
              <w:t>Perisoreus canadensis</w:t>
            </w:r>
          </w:p>
        </w:tc>
        <w:tc>
          <w:tcPr>
            <w:tcW w:w="1080" w:type="dxa"/>
            <w:shd w:val="clear" w:color="auto" w:fill="FFFFFF"/>
            <w:tcMar>
              <w:top w:w="0" w:type="dxa"/>
              <w:left w:w="0" w:type="dxa"/>
              <w:bottom w:w="0" w:type="dxa"/>
              <w:right w:w="0" w:type="dxa"/>
            </w:tcMar>
            <w:vAlign w:val="center"/>
          </w:tcPr>
          <w:p w14:paraId="158BEF68" w14:textId="77777777" w:rsidR="00197B80" w:rsidRDefault="00387E87">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346C2327" w14:textId="77777777" w:rsidR="00197B80" w:rsidRDefault="00387E87">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338D55C0" w14:textId="77777777" w:rsidR="00197B80" w:rsidRDefault="00387E87">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501F84A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4302B8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703548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5CEA180"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7932A369" w14:textId="77777777">
        <w:trPr>
          <w:cantSplit/>
          <w:jc w:val="center"/>
        </w:trPr>
        <w:tc>
          <w:tcPr>
            <w:tcW w:w="1080" w:type="dxa"/>
            <w:shd w:val="clear" w:color="auto" w:fill="FFFFFF"/>
            <w:tcMar>
              <w:top w:w="0" w:type="dxa"/>
              <w:left w:w="0" w:type="dxa"/>
              <w:bottom w:w="0" w:type="dxa"/>
              <w:right w:w="0" w:type="dxa"/>
            </w:tcMar>
            <w:vAlign w:val="center"/>
          </w:tcPr>
          <w:p w14:paraId="302901BF"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034CF55" w14:textId="77777777" w:rsidR="00197B80" w:rsidRDefault="00387E87">
            <w:pPr>
              <w:spacing w:before="100" w:after="100"/>
              <w:ind w:left="100" w:right="100"/>
            </w:pPr>
            <w:r>
              <w:rPr>
                <w:rFonts w:ascii="Arial" w:eastAsia="Arial" w:hAnsi="Arial" w:cs="Arial"/>
                <w:color w:val="000000"/>
                <w:sz w:val="22"/>
                <w:szCs w:val="22"/>
              </w:rPr>
              <w:t>Spotted towhee</w:t>
            </w:r>
          </w:p>
        </w:tc>
        <w:tc>
          <w:tcPr>
            <w:tcW w:w="1080" w:type="dxa"/>
            <w:shd w:val="clear" w:color="auto" w:fill="FFFFFF"/>
            <w:tcMar>
              <w:top w:w="0" w:type="dxa"/>
              <w:left w:w="0" w:type="dxa"/>
              <w:bottom w:w="0" w:type="dxa"/>
              <w:right w:w="0" w:type="dxa"/>
            </w:tcMar>
            <w:vAlign w:val="center"/>
          </w:tcPr>
          <w:p w14:paraId="7502CCA3" w14:textId="77777777" w:rsidR="00197B80" w:rsidRDefault="00387E87">
            <w:pPr>
              <w:spacing w:before="100" w:after="100"/>
              <w:ind w:left="100" w:right="100"/>
            </w:pPr>
            <w:r>
              <w:rPr>
                <w:rFonts w:ascii="Arial" w:eastAsia="Arial" w:hAnsi="Arial" w:cs="Arial"/>
                <w:color w:val="000000"/>
                <w:sz w:val="22"/>
                <w:szCs w:val="22"/>
              </w:rPr>
              <w:t>Pipilo maculatus</w:t>
            </w:r>
          </w:p>
        </w:tc>
        <w:tc>
          <w:tcPr>
            <w:tcW w:w="1080" w:type="dxa"/>
            <w:shd w:val="clear" w:color="auto" w:fill="FFFFFF"/>
            <w:tcMar>
              <w:top w:w="0" w:type="dxa"/>
              <w:left w:w="0" w:type="dxa"/>
              <w:bottom w:w="0" w:type="dxa"/>
              <w:right w:w="0" w:type="dxa"/>
            </w:tcMar>
            <w:vAlign w:val="center"/>
          </w:tcPr>
          <w:p w14:paraId="0771847A" w14:textId="77777777" w:rsidR="00197B80" w:rsidRDefault="00387E87">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8F3E82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01E03F9"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A8B3F34" w14:textId="77777777" w:rsidR="00197B80" w:rsidRDefault="00387E87">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B0455E8" w14:textId="77777777" w:rsidR="00197B80" w:rsidRDefault="00387E87">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1060589C"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B341C68" w14:textId="77777777" w:rsidR="00197B80" w:rsidRDefault="00387E87">
            <w:pPr>
              <w:spacing w:before="100" w:after="100"/>
              <w:ind w:left="100" w:right="100"/>
              <w:jc w:val="right"/>
            </w:pPr>
            <w:r>
              <w:rPr>
                <w:rFonts w:ascii="Arial" w:eastAsia="Arial" w:hAnsi="Arial" w:cs="Arial"/>
                <w:color w:val="000000"/>
                <w:sz w:val="22"/>
                <w:szCs w:val="22"/>
              </w:rPr>
              <w:t>0.06</w:t>
            </w:r>
          </w:p>
        </w:tc>
      </w:tr>
      <w:tr w:rsidR="00197B80" w14:paraId="2BE6D048" w14:textId="77777777">
        <w:trPr>
          <w:cantSplit/>
          <w:jc w:val="center"/>
        </w:trPr>
        <w:tc>
          <w:tcPr>
            <w:tcW w:w="1080" w:type="dxa"/>
            <w:shd w:val="clear" w:color="auto" w:fill="FFFFFF"/>
            <w:tcMar>
              <w:top w:w="0" w:type="dxa"/>
              <w:left w:w="0" w:type="dxa"/>
              <w:bottom w:w="0" w:type="dxa"/>
              <w:right w:w="0" w:type="dxa"/>
            </w:tcMar>
            <w:vAlign w:val="center"/>
          </w:tcPr>
          <w:p w14:paraId="26B3E6FC"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5EB1247E" w14:textId="77777777" w:rsidR="00197B80" w:rsidRDefault="00387E87">
            <w:pPr>
              <w:spacing w:before="100" w:after="100"/>
              <w:ind w:left="100" w:right="100"/>
            </w:pPr>
            <w:r>
              <w:rPr>
                <w:rFonts w:ascii="Arial" w:eastAsia="Arial" w:hAnsi="Arial" w:cs="Arial"/>
                <w:color w:val="000000"/>
                <w:sz w:val="22"/>
                <w:szCs w:val="22"/>
              </w:rPr>
              <w:t>Red-breasted sapsucker</w:t>
            </w:r>
          </w:p>
        </w:tc>
        <w:tc>
          <w:tcPr>
            <w:tcW w:w="1080" w:type="dxa"/>
            <w:shd w:val="clear" w:color="auto" w:fill="FFFFFF"/>
            <w:tcMar>
              <w:top w:w="0" w:type="dxa"/>
              <w:left w:w="0" w:type="dxa"/>
              <w:bottom w:w="0" w:type="dxa"/>
              <w:right w:w="0" w:type="dxa"/>
            </w:tcMar>
            <w:vAlign w:val="center"/>
          </w:tcPr>
          <w:p w14:paraId="4CD1D289" w14:textId="77777777" w:rsidR="00197B80" w:rsidRDefault="00387E87">
            <w:pPr>
              <w:spacing w:before="100" w:after="100"/>
              <w:ind w:left="100" w:right="100"/>
            </w:pPr>
            <w:r>
              <w:rPr>
                <w:rFonts w:ascii="Arial" w:eastAsia="Arial" w:hAnsi="Arial" w:cs="Arial"/>
                <w:color w:val="000000"/>
                <w:sz w:val="22"/>
                <w:szCs w:val="22"/>
              </w:rPr>
              <w:t>Sphyrapicus ruber</w:t>
            </w:r>
          </w:p>
        </w:tc>
        <w:tc>
          <w:tcPr>
            <w:tcW w:w="1080" w:type="dxa"/>
            <w:shd w:val="clear" w:color="auto" w:fill="FFFFFF"/>
            <w:tcMar>
              <w:top w:w="0" w:type="dxa"/>
              <w:left w:w="0" w:type="dxa"/>
              <w:bottom w:w="0" w:type="dxa"/>
              <w:right w:w="0" w:type="dxa"/>
            </w:tcMar>
            <w:vAlign w:val="center"/>
          </w:tcPr>
          <w:p w14:paraId="2886A6AA" w14:textId="77777777" w:rsidR="00197B80" w:rsidRDefault="00387E87">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0B499E1"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802993"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EC7C844" w14:textId="77777777" w:rsidR="00197B80" w:rsidRDefault="00387E87">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15AA6B5" w14:textId="77777777" w:rsidR="00197B80" w:rsidRDefault="00387E87">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5DBA249A" w14:textId="77777777" w:rsidR="00197B80" w:rsidRDefault="00387E87">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491B0049" w14:textId="77777777" w:rsidR="00197B80" w:rsidRDefault="00387E87">
            <w:pPr>
              <w:spacing w:before="100" w:after="100"/>
              <w:ind w:left="100" w:right="100"/>
              <w:jc w:val="right"/>
            </w:pPr>
            <w:r>
              <w:rPr>
                <w:rFonts w:ascii="Arial" w:eastAsia="Arial" w:hAnsi="Arial" w:cs="Arial"/>
                <w:color w:val="000000"/>
                <w:sz w:val="22"/>
                <w:szCs w:val="22"/>
              </w:rPr>
              <w:t>0.25</w:t>
            </w:r>
          </w:p>
        </w:tc>
      </w:tr>
      <w:tr w:rsidR="00197B80" w14:paraId="6C693185" w14:textId="77777777">
        <w:trPr>
          <w:cantSplit/>
          <w:jc w:val="center"/>
        </w:trPr>
        <w:tc>
          <w:tcPr>
            <w:tcW w:w="1080" w:type="dxa"/>
            <w:shd w:val="clear" w:color="auto" w:fill="FFFFFF"/>
            <w:tcMar>
              <w:top w:w="0" w:type="dxa"/>
              <w:left w:w="0" w:type="dxa"/>
              <w:bottom w:w="0" w:type="dxa"/>
              <w:right w:w="0" w:type="dxa"/>
            </w:tcMar>
            <w:vAlign w:val="center"/>
          </w:tcPr>
          <w:p w14:paraId="50D112E0"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FCE0878" w14:textId="77777777" w:rsidR="00197B80" w:rsidRDefault="00387E87">
            <w:pPr>
              <w:spacing w:before="100" w:after="100"/>
              <w:ind w:left="100" w:right="100"/>
            </w:pPr>
            <w:r>
              <w:rPr>
                <w:rFonts w:ascii="Arial" w:eastAsia="Arial" w:hAnsi="Arial" w:cs="Arial"/>
                <w:color w:val="000000"/>
                <w:sz w:val="22"/>
                <w:szCs w:val="22"/>
              </w:rPr>
              <w:t>Barred owl</w:t>
            </w:r>
          </w:p>
        </w:tc>
        <w:tc>
          <w:tcPr>
            <w:tcW w:w="1080" w:type="dxa"/>
            <w:shd w:val="clear" w:color="auto" w:fill="FFFFFF"/>
            <w:tcMar>
              <w:top w:w="0" w:type="dxa"/>
              <w:left w:w="0" w:type="dxa"/>
              <w:bottom w:w="0" w:type="dxa"/>
              <w:right w:w="0" w:type="dxa"/>
            </w:tcMar>
            <w:vAlign w:val="center"/>
          </w:tcPr>
          <w:p w14:paraId="1E27CF6B" w14:textId="77777777" w:rsidR="00197B80" w:rsidRDefault="00387E87">
            <w:pPr>
              <w:spacing w:before="100" w:after="100"/>
              <w:ind w:left="100" w:right="100"/>
            </w:pPr>
            <w:r>
              <w:rPr>
                <w:rFonts w:ascii="Arial" w:eastAsia="Arial" w:hAnsi="Arial" w:cs="Arial"/>
                <w:color w:val="000000"/>
                <w:sz w:val="22"/>
                <w:szCs w:val="22"/>
              </w:rPr>
              <w:t>Strix varia</w:t>
            </w:r>
          </w:p>
        </w:tc>
        <w:tc>
          <w:tcPr>
            <w:tcW w:w="1080" w:type="dxa"/>
            <w:shd w:val="clear" w:color="auto" w:fill="FFFFFF"/>
            <w:tcMar>
              <w:top w:w="0" w:type="dxa"/>
              <w:left w:w="0" w:type="dxa"/>
              <w:bottom w:w="0" w:type="dxa"/>
              <w:right w:w="0" w:type="dxa"/>
            </w:tcMar>
            <w:vAlign w:val="center"/>
          </w:tcPr>
          <w:p w14:paraId="784CFE08" w14:textId="77777777" w:rsidR="00197B80" w:rsidRDefault="00387E87">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CBA61A8"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55414179" w14:textId="77777777" w:rsidR="00197B80" w:rsidRDefault="00387E87">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437997D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AC23D77"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BCC077"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C3084F2" w14:textId="77777777" w:rsidR="00197B80" w:rsidRDefault="00387E87">
            <w:pPr>
              <w:spacing w:before="100" w:after="100"/>
              <w:ind w:left="100" w:right="100"/>
              <w:jc w:val="right"/>
            </w:pPr>
            <w:r>
              <w:rPr>
                <w:rFonts w:ascii="Arial" w:eastAsia="Arial" w:hAnsi="Arial" w:cs="Arial"/>
                <w:color w:val="000000"/>
                <w:sz w:val="22"/>
                <w:szCs w:val="22"/>
              </w:rPr>
              <w:t>1.01</w:t>
            </w:r>
          </w:p>
        </w:tc>
      </w:tr>
      <w:tr w:rsidR="00197B80" w14:paraId="3E197B40" w14:textId="77777777">
        <w:trPr>
          <w:cantSplit/>
          <w:jc w:val="center"/>
        </w:trPr>
        <w:tc>
          <w:tcPr>
            <w:tcW w:w="1080" w:type="dxa"/>
            <w:shd w:val="clear" w:color="auto" w:fill="FFFFFF"/>
            <w:tcMar>
              <w:top w:w="0" w:type="dxa"/>
              <w:left w:w="0" w:type="dxa"/>
              <w:bottom w:w="0" w:type="dxa"/>
              <w:right w:w="0" w:type="dxa"/>
            </w:tcMar>
            <w:vAlign w:val="center"/>
          </w:tcPr>
          <w:p w14:paraId="1A9DB407"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F103BFF" w14:textId="77777777" w:rsidR="00197B80" w:rsidRDefault="00387E87">
            <w:pPr>
              <w:spacing w:before="100" w:after="100"/>
              <w:ind w:left="100" w:right="100"/>
            </w:pPr>
            <w:r>
              <w:rPr>
                <w:rFonts w:ascii="Arial" w:eastAsia="Arial" w:hAnsi="Arial" w:cs="Arial"/>
                <w:color w:val="000000"/>
                <w:sz w:val="22"/>
                <w:szCs w:val="22"/>
              </w:rPr>
              <w:t>American robin</w:t>
            </w:r>
          </w:p>
        </w:tc>
        <w:tc>
          <w:tcPr>
            <w:tcW w:w="1080" w:type="dxa"/>
            <w:shd w:val="clear" w:color="auto" w:fill="FFFFFF"/>
            <w:tcMar>
              <w:top w:w="0" w:type="dxa"/>
              <w:left w:w="0" w:type="dxa"/>
              <w:bottom w:w="0" w:type="dxa"/>
              <w:right w:w="0" w:type="dxa"/>
            </w:tcMar>
            <w:vAlign w:val="center"/>
          </w:tcPr>
          <w:p w14:paraId="1CDA7C1B" w14:textId="77777777" w:rsidR="00197B80" w:rsidRDefault="00387E87">
            <w:pPr>
              <w:spacing w:before="100" w:after="100"/>
              <w:ind w:left="100" w:right="100"/>
            </w:pPr>
            <w:r>
              <w:rPr>
                <w:rFonts w:ascii="Arial" w:eastAsia="Arial" w:hAnsi="Arial" w:cs="Arial"/>
                <w:color w:val="000000"/>
                <w:sz w:val="22"/>
                <w:szCs w:val="22"/>
              </w:rPr>
              <w:t>Turdus migratorius</w:t>
            </w:r>
          </w:p>
        </w:tc>
        <w:tc>
          <w:tcPr>
            <w:tcW w:w="1080" w:type="dxa"/>
            <w:shd w:val="clear" w:color="auto" w:fill="FFFFFF"/>
            <w:tcMar>
              <w:top w:w="0" w:type="dxa"/>
              <w:left w:w="0" w:type="dxa"/>
              <w:bottom w:w="0" w:type="dxa"/>
              <w:right w:w="0" w:type="dxa"/>
            </w:tcMar>
            <w:vAlign w:val="center"/>
          </w:tcPr>
          <w:p w14:paraId="04D7E2D1" w14:textId="77777777" w:rsidR="00197B80" w:rsidRDefault="00387E87">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69251895" w14:textId="77777777" w:rsidR="00197B80" w:rsidRDefault="00387E87">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4F2CEFDC" w14:textId="77777777" w:rsidR="00197B80" w:rsidRDefault="00387E87">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09FA9BB3"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E33CE2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478D43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A71E2E0"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10DC3A1B" w14:textId="77777777">
        <w:trPr>
          <w:cantSplit/>
          <w:jc w:val="center"/>
        </w:trPr>
        <w:tc>
          <w:tcPr>
            <w:tcW w:w="1080" w:type="dxa"/>
            <w:shd w:val="clear" w:color="auto" w:fill="D3D3D3"/>
            <w:tcMar>
              <w:top w:w="0" w:type="dxa"/>
              <w:left w:w="0" w:type="dxa"/>
              <w:bottom w:w="0" w:type="dxa"/>
              <w:right w:w="0" w:type="dxa"/>
            </w:tcMar>
            <w:vAlign w:val="center"/>
          </w:tcPr>
          <w:p w14:paraId="729A11DA" w14:textId="77777777" w:rsidR="00197B80" w:rsidRDefault="00387E87">
            <w:pPr>
              <w:spacing w:before="100" w:after="100"/>
              <w:ind w:left="100" w:right="100"/>
            </w:pPr>
            <w:r>
              <w:rPr>
                <w:rFonts w:ascii="Arial" w:eastAsia="Arial" w:hAnsi="Arial" w:cs="Arial"/>
                <w:color w:val="000000"/>
                <w:sz w:val="22"/>
                <w:szCs w:val="22"/>
              </w:rPr>
              <w:t>Aves</w:t>
            </w:r>
          </w:p>
        </w:tc>
        <w:tc>
          <w:tcPr>
            <w:tcW w:w="1080" w:type="dxa"/>
            <w:shd w:val="clear" w:color="auto" w:fill="D3D3D3"/>
            <w:tcMar>
              <w:top w:w="0" w:type="dxa"/>
              <w:left w:w="0" w:type="dxa"/>
              <w:bottom w:w="0" w:type="dxa"/>
              <w:right w:w="0" w:type="dxa"/>
            </w:tcMar>
            <w:vAlign w:val="center"/>
          </w:tcPr>
          <w:p w14:paraId="1BABBC9A" w14:textId="77777777" w:rsidR="00197B80" w:rsidRDefault="00387E87">
            <w:pPr>
              <w:spacing w:before="100" w:after="100"/>
              <w:ind w:left="100" w:right="100"/>
            </w:pPr>
            <w:r>
              <w:rPr>
                <w:rFonts w:ascii="Arial" w:eastAsia="Arial" w:hAnsi="Arial" w:cs="Arial"/>
                <w:color w:val="000000"/>
                <w:sz w:val="22"/>
                <w:szCs w:val="22"/>
              </w:rPr>
              <w:t>TOTAL</w:t>
            </w:r>
          </w:p>
        </w:tc>
        <w:tc>
          <w:tcPr>
            <w:tcW w:w="1080" w:type="dxa"/>
            <w:shd w:val="clear" w:color="auto" w:fill="D3D3D3"/>
            <w:tcMar>
              <w:top w:w="0" w:type="dxa"/>
              <w:left w:w="0" w:type="dxa"/>
              <w:bottom w:w="0" w:type="dxa"/>
              <w:right w:w="0" w:type="dxa"/>
            </w:tcMar>
            <w:vAlign w:val="center"/>
          </w:tcPr>
          <w:p w14:paraId="266F22B5"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shd w:val="clear" w:color="auto" w:fill="D3D3D3"/>
            <w:tcMar>
              <w:top w:w="0" w:type="dxa"/>
              <w:left w:w="0" w:type="dxa"/>
              <w:bottom w:w="0" w:type="dxa"/>
              <w:right w:w="0" w:type="dxa"/>
            </w:tcMar>
            <w:vAlign w:val="center"/>
          </w:tcPr>
          <w:p w14:paraId="10934D87" w14:textId="77777777" w:rsidR="00197B80" w:rsidRDefault="00387E87">
            <w:pPr>
              <w:spacing w:before="100" w:after="100"/>
              <w:ind w:left="100" w:right="100"/>
              <w:jc w:val="right"/>
            </w:pPr>
            <w:r>
              <w:rPr>
                <w:rFonts w:ascii="Arial" w:eastAsia="Arial" w:hAnsi="Arial" w:cs="Arial"/>
                <w:color w:val="000000"/>
                <w:sz w:val="22"/>
                <w:szCs w:val="22"/>
              </w:rPr>
              <w:t>265</w:t>
            </w:r>
          </w:p>
        </w:tc>
        <w:tc>
          <w:tcPr>
            <w:tcW w:w="1080" w:type="dxa"/>
            <w:shd w:val="clear" w:color="auto" w:fill="D3D3D3"/>
            <w:tcMar>
              <w:top w:w="0" w:type="dxa"/>
              <w:left w:w="0" w:type="dxa"/>
              <w:bottom w:w="0" w:type="dxa"/>
              <w:right w:w="0" w:type="dxa"/>
            </w:tcMar>
            <w:vAlign w:val="center"/>
          </w:tcPr>
          <w:p w14:paraId="7E11EA5D" w14:textId="77777777" w:rsidR="00197B80" w:rsidRDefault="00387E87">
            <w:pPr>
              <w:spacing w:before="100" w:after="100"/>
              <w:ind w:left="100" w:right="100"/>
              <w:jc w:val="right"/>
            </w:pPr>
            <w:r>
              <w:rPr>
                <w:rFonts w:ascii="Arial" w:eastAsia="Arial" w:hAnsi="Arial" w:cs="Arial"/>
                <w:color w:val="000000"/>
                <w:sz w:val="22"/>
                <w:szCs w:val="22"/>
              </w:rPr>
              <w:t>24.44</w:t>
            </w:r>
          </w:p>
        </w:tc>
        <w:tc>
          <w:tcPr>
            <w:tcW w:w="1080" w:type="dxa"/>
            <w:shd w:val="clear" w:color="auto" w:fill="D3D3D3"/>
            <w:tcMar>
              <w:top w:w="0" w:type="dxa"/>
              <w:left w:w="0" w:type="dxa"/>
              <w:bottom w:w="0" w:type="dxa"/>
              <w:right w:w="0" w:type="dxa"/>
            </w:tcMar>
            <w:vAlign w:val="center"/>
          </w:tcPr>
          <w:p w14:paraId="1058E614" w14:textId="77777777" w:rsidR="00197B80" w:rsidRDefault="00387E87">
            <w:pPr>
              <w:spacing w:before="100" w:after="100"/>
              <w:ind w:left="100" w:right="100"/>
              <w:jc w:val="right"/>
            </w:pPr>
            <w:r>
              <w:rPr>
                <w:rFonts w:ascii="Arial" w:eastAsia="Arial" w:hAnsi="Arial" w:cs="Arial"/>
                <w:color w:val="000000"/>
                <w:sz w:val="22"/>
                <w:szCs w:val="22"/>
              </w:rPr>
              <w:t>15.50</w:t>
            </w:r>
          </w:p>
        </w:tc>
        <w:tc>
          <w:tcPr>
            <w:tcW w:w="1080" w:type="dxa"/>
            <w:shd w:val="clear" w:color="auto" w:fill="D3D3D3"/>
            <w:tcMar>
              <w:top w:w="0" w:type="dxa"/>
              <w:left w:w="0" w:type="dxa"/>
              <w:bottom w:w="0" w:type="dxa"/>
              <w:right w:w="0" w:type="dxa"/>
            </w:tcMar>
            <w:vAlign w:val="center"/>
          </w:tcPr>
          <w:p w14:paraId="3D7F3D25" w14:textId="77777777" w:rsidR="00197B80" w:rsidRDefault="00387E87">
            <w:pPr>
              <w:spacing w:before="100" w:after="100"/>
              <w:ind w:left="100" w:right="100"/>
              <w:jc w:val="right"/>
            </w:pPr>
            <w:r>
              <w:rPr>
                <w:rFonts w:ascii="Arial" w:eastAsia="Arial" w:hAnsi="Arial" w:cs="Arial"/>
                <w:color w:val="000000"/>
                <w:sz w:val="22"/>
                <w:szCs w:val="22"/>
              </w:rPr>
              <w:t>41.48</w:t>
            </w:r>
          </w:p>
        </w:tc>
        <w:tc>
          <w:tcPr>
            <w:tcW w:w="1080" w:type="dxa"/>
            <w:shd w:val="clear" w:color="auto" w:fill="D3D3D3"/>
            <w:tcMar>
              <w:top w:w="0" w:type="dxa"/>
              <w:left w:w="0" w:type="dxa"/>
              <w:bottom w:w="0" w:type="dxa"/>
              <w:right w:w="0" w:type="dxa"/>
            </w:tcMar>
            <w:vAlign w:val="center"/>
          </w:tcPr>
          <w:p w14:paraId="555990E7" w14:textId="77777777" w:rsidR="00197B80" w:rsidRDefault="00387E87">
            <w:pPr>
              <w:spacing w:before="100" w:after="100"/>
              <w:ind w:left="100" w:right="100"/>
              <w:jc w:val="right"/>
            </w:pPr>
            <w:r>
              <w:rPr>
                <w:rFonts w:ascii="Arial" w:eastAsia="Arial" w:hAnsi="Arial" w:cs="Arial"/>
                <w:color w:val="000000"/>
                <w:sz w:val="22"/>
                <w:szCs w:val="22"/>
              </w:rPr>
              <w:t>24.65</w:t>
            </w:r>
          </w:p>
        </w:tc>
        <w:tc>
          <w:tcPr>
            <w:tcW w:w="1080" w:type="dxa"/>
            <w:shd w:val="clear" w:color="auto" w:fill="D3D3D3"/>
            <w:tcMar>
              <w:top w:w="0" w:type="dxa"/>
              <w:left w:w="0" w:type="dxa"/>
              <w:bottom w:w="0" w:type="dxa"/>
              <w:right w:w="0" w:type="dxa"/>
            </w:tcMar>
            <w:vAlign w:val="center"/>
          </w:tcPr>
          <w:p w14:paraId="6818CD4D" w14:textId="77777777" w:rsidR="00197B80" w:rsidRDefault="00387E87">
            <w:pPr>
              <w:spacing w:before="100" w:after="100"/>
              <w:ind w:left="100" w:right="100"/>
              <w:jc w:val="right"/>
            </w:pPr>
            <w:r>
              <w:rPr>
                <w:rFonts w:ascii="Arial" w:eastAsia="Arial" w:hAnsi="Arial" w:cs="Arial"/>
                <w:color w:val="000000"/>
                <w:sz w:val="22"/>
                <w:szCs w:val="22"/>
              </w:rPr>
              <w:t>81.82</w:t>
            </w:r>
          </w:p>
        </w:tc>
        <w:tc>
          <w:tcPr>
            <w:tcW w:w="1080" w:type="dxa"/>
            <w:shd w:val="clear" w:color="auto" w:fill="D3D3D3"/>
            <w:tcMar>
              <w:top w:w="0" w:type="dxa"/>
              <w:left w:w="0" w:type="dxa"/>
              <w:bottom w:w="0" w:type="dxa"/>
              <w:right w:w="0" w:type="dxa"/>
            </w:tcMar>
            <w:vAlign w:val="center"/>
          </w:tcPr>
          <w:p w14:paraId="1A88E595" w14:textId="77777777" w:rsidR="00197B80" w:rsidRDefault="00387E87">
            <w:pPr>
              <w:spacing w:before="100" w:after="100"/>
              <w:ind w:left="100" w:right="100"/>
              <w:jc w:val="right"/>
            </w:pPr>
            <w:r>
              <w:rPr>
                <w:rFonts w:ascii="Arial" w:eastAsia="Arial" w:hAnsi="Arial" w:cs="Arial"/>
                <w:color w:val="000000"/>
                <w:sz w:val="22"/>
                <w:szCs w:val="22"/>
              </w:rPr>
              <w:t>72.75</w:t>
            </w:r>
          </w:p>
        </w:tc>
      </w:tr>
      <w:tr w:rsidR="00197B80" w14:paraId="43D155CE" w14:textId="77777777">
        <w:trPr>
          <w:cantSplit/>
          <w:jc w:val="center"/>
        </w:trPr>
        <w:tc>
          <w:tcPr>
            <w:tcW w:w="1080" w:type="dxa"/>
            <w:shd w:val="clear" w:color="auto" w:fill="FFFFFF"/>
            <w:tcMar>
              <w:top w:w="0" w:type="dxa"/>
              <w:left w:w="0" w:type="dxa"/>
              <w:bottom w:w="0" w:type="dxa"/>
              <w:right w:w="0" w:type="dxa"/>
            </w:tcMar>
            <w:vAlign w:val="center"/>
          </w:tcPr>
          <w:p w14:paraId="6BADE164"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08ACB364" w14:textId="77777777" w:rsidR="00197B80" w:rsidRDefault="00387E87">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646AB2C1"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6C58957D" w14:textId="77777777" w:rsidR="00197B80" w:rsidRDefault="00387E87">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1D6BD486" w14:textId="77777777" w:rsidR="00197B80" w:rsidRDefault="00387E87">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4CC4D2C0" w14:textId="77777777" w:rsidR="00197B80" w:rsidRDefault="00387E87">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35D5E0D3" w14:textId="77777777" w:rsidR="00197B80" w:rsidRDefault="00387E87">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691EC6A8" w14:textId="77777777" w:rsidR="00197B80" w:rsidRDefault="00387E87">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5CB80A39" w14:textId="77777777" w:rsidR="00197B80" w:rsidRDefault="00387E87">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1B6D1BD4" w14:textId="77777777" w:rsidR="00197B80" w:rsidRDefault="00387E87">
            <w:pPr>
              <w:spacing w:before="100" w:after="100"/>
              <w:ind w:left="100" w:right="100"/>
              <w:jc w:val="right"/>
            </w:pPr>
            <w:r>
              <w:rPr>
                <w:rFonts w:ascii="Arial" w:eastAsia="Arial" w:hAnsi="Arial" w:cs="Arial"/>
                <w:color w:val="000000"/>
                <w:sz w:val="22"/>
                <w:szCs w:val="22"/>
              </w:rPr>
              <w:t>2.03</w:t>
            </w:r>
          </w:p>
        </w:tc>
      </w:tr>
      <w:tr w:rsidR="00197B80" w14:paraId="76EA1D26" w14:textId="77777777">
        <w:trPr>
          <w:cantSplit/>
          <w:jc w:val="center"/>
        </w:trPr>
        <w:tc>
          <w:tcPr>
            <w:tcW w:w="1080" w:type="dxa"/>
            <w:shd w:val="clear" w:color="auto" w:fill="FFFFFF"/>
            <w:tcMar>
              <w:top w:w="0" w:type="dxa"/>
              <w:left w:w="0" w:type="dxa"/>
              <w:bottom w:w="0" w:type="dxa"/>
              <w:right w:w="0" w:type="dxa"/>
            </w:tcMar>
            <w:vAlign w:val="center"/>
          </w:tcPr>
          <w:p w14:paraId="50D585BE"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2A78B5EC" w14:textId="77777777" w:rsidR="00197B80" w:rsidRDefault="00387E87">
            <w:pPr>
              <w:spacing w:before="100" w:after="100"/>
              <w:ind w:left="100" w:right="100"/>
            </w:pPr>
            <w:r>
              <w:rPr>
                <w:rFonts w:ascii="Arial" w:eastAsia="Arial" w:hAnsi="Arial" w:cs="Arial"/>
                <w:color w:val="000000"/>
                <w:sz w:val="22"/>
                <w:szCs w:val="22"/>
              </w:rPr>
              <w:t>Mountain beaver</w:t>
            </w:r>
          </w:p>
        </w:tc>
        <w:tc>
          <w:tcPr>
            <w:tcW w:w="1080" w:type="dxa"/>
            <w:shd w:val="clear" w:color="auto" w:fill="FFFFFF"/>
            <w:tcMar>
              <w:top w:w="0" w:type="dxa"/>
              <w:left w:w="0" w:type="dxa"/>
              <w:bottom w:w="0" w:type="dxa"/>
              <w:right w:w="0" w:type="dxa"/>
            </w:tcMar>
            <w:vAlign w:val="center"/>
          </w:tcPr>
          <w:p w14:paraId="73E7E7C9" w14:textId="77777777" w:rsidR="00197B80" w:rsidRDefault="00387E87">
            <w:pPr>
              <w:spacing w:before="100" w:after="100"/>
              <w:ind w:left="100" w:right="100"/>
            </w:pPr>
            <w:r>
              <w:rPr>
                <w:rFonts w:ascii="Arial" w:eastAsia="Arial" w:hAnsi="Arial" w:cs="Arial"/>
                <w:color w:val="000000"/>
                <w:sz w:val="22"/>
                <w:szCs w:val="22"/>
              </w:rPr>
              <w:t>Aplodontia rufa</w:t>
            </w:r>
          </w:p>
        </w:tc>
        <w:tc>
          <w:tcPr>
            <w:tcW w:w="1080" w:type="dxa"/>
            <w:shd w:val="clear" w:color="auto" w:fill="FFFFFF"/>
            <w:tcMar>
              <w:top w:w="0" w:type="dxa"/>
              <w:left w:w="0" w:type="dxa"/>
              <w:bottom w:w="0" w:type="dxa"/>
              <w:right w:w="0" w:type="dxa"/>
            </w:tcMar>
            <w:vAlign w:val="center"/>
          </w:tcPr>
          <w:p w14:paraId="22B40E0C"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08B97EE"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365080CB" w14:textId="77777777" w:rsidR="00197B80" w:rsidRDefault="00387E87">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4969C4FC"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9B6DE32"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771E8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FDAC5FC"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26832BFC" w14:textId="77777777">
        <w:trPr>
          <w:cantSplit/>
          <w:jc w:val="center"/>
        </w:trPr>
        <w:tc>
          <w:tcPr>
            <w:tcW w:w="1080" w:type="dxa"/>
            <w:shd w:val="clear" w:color="auto" w:fill="FFFFFF"/>
            <w:tcMar>
              <w:top w:w="0" w:type="dxa"/>
              <w:left w:w="0" w:type="dxa"/>
              <w:bottom w:w="0" w:type="dxa"/>
              <w:right w:w="0" w:type="dxa"/>
            </w:tcMar>
            <w:vAlign w:val="center"/>
          </w:tcPr>
          <w:p w14:paraId="0E6D3B63"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0F8BECC1" w14:textId="77777777" w:rsidR="00197B80" w:rsidRDefault="00387E87">
            <w:pPr>
              <w:spacing w:before="100" w:after="100"/>
              <w:ind w:left="100" w:right="100"/>
            </w:pPr>
            <w:r>
              <w:rPr>
                <w:rFonts w:ascii="Arial" w:eastAsia="Arial" w:hAnsi="Arial" w:cs="Arial"/>
                <w:color w:val="000000"/>
                <w:sz w:val="22"/>
                <w:szCs w:val="22"/>
              </w:rPr>
              <w:t>Flying squirrel</w:t>
            </w:r>
          </w:p>
        </w:tc>
        <w:tc>
          <w:tcPr>
            <w:tcW w:w="1080" w:type="dxa"/>
            <w:shd w:val="clear" w:color="auto" w:fill="FFFFFF"/>
            <w:tcMar>
              <w:top w:w="0" w:type="dxa"/>
              <w:left w:w="0" w:type="dxa"/>
              <w:bottom w:w="0" w:type="dxa"/>
              <w:right w:w="0" w:type="dxa"/>
            </w:tcMar>
            <w:vAlign w:val="center"/>
          </w:tcPr>
          <w:p w14:paraId="06066CE7" w14:textId="77777777" w:rsidR="00197B80" w:rsidRDefault="00387E87">
            <w:pPr>
              <w:spacing w:before="100" w:after="100"/>
              <w:ind w:left="100" w:right="100"/>
            </w:pPr>
            <w:r>
              <w:rPr>
                <w:rFonts w:ascii="Arial" w:eastAsia="Arial" w:hAnsi="Arial" w:cs="Arial"/>
                <w:color w:val="000000"/>
                <w:sz w:val="22"/>
                <w:szCs w:val="22"/>
              </w:rPr>
              <w:t>Glaucomys sabrinus</w:t>
            </w:r>
          </w:p>
        </w:tc>
        <w:tc>
          <w:tcPr>
            <w:tcW w:w="1080" w:type="dxa"/>
            <w:shd w:val="clear" w:color="auto" w:fill="FFFFFF"/>
            <w:tcMar>
              <w:top w:w="0" w:type="dxa"/>
              <w:left w:w="0" w:type="dxa"/>
              <w:bottom w:w="0" w:type="dxa"/>
              <w:right w:w="0" w:type="dxa"/>
            </w:tcMar>
            <w:vAlign w:val="center"/>
          </w:tcPr>
          <w:p w14:paraId="3F8C83A7" w14:textId="77777777" w:rsidR="00197B80" w:rsidRDefault="00387E87">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0CA37E2E" w14:textId="77777777" w:rsidR="00197B80" w:rsidRDefault="00387E87">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772C5C63" w14:textId="77777777" w:rsidR="00197B80" w:rsidRDefault="00387E87">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7BE12C36"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86A0357"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60ECD7C"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0EE06AE"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12632CEF" w14:textId="77777777">
        <w:trPr>
          <w:cantSplit/>
          <w:jc w:val="center"/>
        </w:trPr>
        <w:tc>
          <w:tcPr>
            <w:tcW w:w="1080" w:type="dxa"/>
            <w:shd w:val="clear" w:color="auto" w:fill="FFFFFF"/>
            <w:tcMar>
              <w:top w:w="0" w:type="dxa"/>
              <w:left w:w="0" w:type="dxa"/>
              <w:bottom w:w="0" w:type="dxa"/>
              <w:right w:w="0" w:type="dxa"/>
            </w:tcMar>
            <w:vAlign w:val="center"/>
          </w:tcPr>
          <w:p w14:paraId="113B362C"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2799DE5F" w14:textId="77777777" w:rsidR="00197B80" w:rsidRDefault="00387E87">
            <w:pPr>
              <w:spacing w:before="100" w:after="100"/>
              <w:ind w:left="100" w:right="100"/>
            </w:pPr>
            <w:r>
              <w:rPr>
                <w:rFonts w:ascii="Arial" w:eastAsia="Arial" w:hAnsi="Arial" w:cs="Arial"/>
                <w:color w:val="000000"/>
                <w:sz w:val="22"/>
                <w:szCs w:val="22"/>
              </w:rPr>
              <w:t>Snowshoe hare</w:t>
            </w:r>
          </w:p>
        </w:tc>
        <w:tc>
          <w:tcPr>
            <w:tcW w:w="1080" w:type="dxa"/>
            <w:shd w:val="clear" w:color="auto" w:fill="FFFFFF"/>
            <w:tcMar>
              <w:top w:w="0" w:type="dxa"/>
              <w:left w:w="0" w:type="dxa"/>
              <w:bottom w:w="0" w:type="dxa"/>
              <w:right w:w="0" w:type="dxa"/>
            </w:tcMar>
            <w:vAlign w:val="center"/>
          </w:tcPr>
          <w:p w14:paraId="54F4B8AE" w14:textId="77777777" w:rsidR="00197B80" w:rsidRDefault="00387E87">
            <w:pPr>
              <w:spacing w:before="100" w:after="100"/>
              <w:ind w:left="100" w:right="100"/>
            </w:pPr>
            <w:r>
              <w:rPr>
                <w:rFonts w:ascii="Arial" w:eastAsia="Arial" w:hAnsi="Arial" w:cs="Arial"/>
                <w:color w:val="000000"/>
                <w:sz w:val="22"/>
                <w:szCs w:val="22"/>
              </w:rPr>
              <w:t>Lepus americanus</w:t>
            </w:r>
          </w:p>
        </w:tc>
        <w:tc>
          <w:tcPr>
            <w:tcW w:w="1080" w:type="dxa"/>
            <w:shd w:val="clear" w:color="auto" w:fill="FFFFFF"/>
            <w:tcMar>
              <w:top w:w="0" w:type="dxa"/>
              <w:left w:w="0" w:type="dxa"/>
              <w:bottom w:w="0" w:type="dxa"/>
              <w:right w:w="0" w:type="dxa"/>
            </w:tcMar>
            <w:vAlign w:val="center"/>
          </w:tcPr>
          <w:p w14:paraId="4B5DC0B4" w14:textId="77777777" w:rsidR="00197B80" w:rsidRDefault="00387E87">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6B69CE5" w14:textId="77777777" w:rsidR="00197B80" w:rsidRDefault="00387E87">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06ADDF6D" w14:textId="77777777" w:rsidR="00197B80" w:rsidRDefault="00387E87">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5761111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1D99DE9"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48BC577" w14:textId="77777777" w:rsidR="00197B80" w:rsidRDefault="00387E87">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11234D8F" w14:textId="77777777" w:rsidR="00197B80" w:rsidRDefault="00387E87">
            <w:pPr>
              <w:spacing w:before="100" w:after="100"/>
              <w:ind w:left="100" w:right="100"/>
              <w:jc w:val="right"/>
            </w:pPr>
            <w:r>
              <w:rPr>
                <w:rFonts w:ascii="Arial" w:eastAsia="Arial" w:hAnsi="Arial" w:cs="Arial"/>
                <w:color w:val="000000"/>
                <w:sz w:val="22"/>
                <w:szCs w:val="22"/>
              </w:rPr>
              <w:t>22.65</w:t>
            </w:r>
          </w:p>
        </w:tc>
      </w:tr>
      <w:tr w:rsidR="00197B80" w14:paraId="2AC3CAA0" w14:textId="77777777">
        <w:trPr>
          <w:cantSplit/>
          <w:jc w:val="center"/>
        </w:trPr>
        <w:tc>
          <w:tcPr>
            <w:tcW w:w="1080" w:type="dxa"/>
            <w:shd w:val="clear" w:color="auto" w:fill="FFFFFF"/>
            <w:tcMar>
              <w:top w:w="0" w:type="dxa"/>
              <w:left w:w="0" w:type="dxa"/>
              <w:bottom w:w="0" w:type="dxa"/>
              <w:right w:w="0" w:type="dxa"/>
            </w:tcMar>
            <w:vAlign w:val="center"/>
          </w:tcPr>
          <w:p w14:paraId="01BF9955"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2E69F073" w14:textId="77777777" w:rsidR="00197B80" w:rsidRDefault="00387E87">
            <w:pPr>
              <w:spacing w:before="100" w:after="100"/>
              <w:ind w:left="100" w:right="100"/>
            </w:pPr>
            <w:r>
              <w:rPr>
                <w:rFonts w:ascii="Arial" w:eastAsia="Arial" w:hAnsi="Arial" w:cs="Arial"/>
                <w:color w:val="000000"/>
                <w:sz w:val="22"/>
                <w:szCs w:val="22"/>
              </w:rPr>
              <w:t>Bat</w:t>
            </w:r>
          </w:p>
        </w:tc>
        <w:tc>
          <w:tcPr>
            <w:tcW w:w="1080" w:type="dxa"/>
            <w:shd w:val="clear" w:color="auto" w:fill="FFFFFF"/>
            <w:tcMar>
              <w:top w:w="0" w:type="dxa"/>
              <w:left w:w="0" w:type="dxa"/>
              <w:bottom w:w="0" w:type="dxa"/>
              <w:right w:w="0" w:type="dxa"/>
            </w:tcMar>
            <w:vAlign w:val="center"/>
          </w:tcPr>
          <w:p w14:paraId="313A49D1" w14:textId="77777777" w:rsidR="00197B80" w:rsidRDefault="00387E87">
            <w:pPr>
              <w:spacing w:before="100" w:after="100"/>
              <w:ind w:left="100" w:right="100"/>
            </w:pPr>
            <w:r>
              <w:rPr>
                <w:rFonts w:ascii="Arial" w:eastAsia="Arial" w:hAnsi="Arial" w:cs="Arial"/>
                <w:color w:val="000000"/>
                <w:sz w:val="22"/>
                <w:szCs w:val="22"/>
              </w:rPr>
              <w:t>Myotis sp</w:t>
            </w:r>
          </w:p>
        </w:tc>
        <w:tc>
          <w:tcPr>
            <w:tcW w:w="1080" w:type="dxa"/>
            <w:shd w:val="clear" w:color="auto" w:fill="FFFFFF"/>
            <w:tcMar>
              <w:top w:w="0" w:type="dxa"/>
              <w:left w:w="0" w:type="dxa"/>
              <w:bottom w:w="0" w:type="dxa"/>
              <w:right w:w="0" w:type="dxa"/>
            </w:tcMar>
            <w:vAlign w:val="center"/>
          </w:tcPr>
          <w:p w14:paraId="242E9FD5"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BB67E1B"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3108F7A" w14:textId="77777777" w:rsidR="00197B80" w:rsidRDefault="00387E87">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7D5D019A"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4135951"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55679AE"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186C86E"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65CCBEDC" w14:textId="77777777">
        <w:trPr>
          <w:cantSplit/>
          <w:jc w:val="center"/>
        </w:trPr>
        <w:tc>
          <w:tcPr>
            <w:tcW w:w="1080" w:type="dxa"/>
            <w:shd w:val="clear" w:color="auto" w:fill="FFFFFF"/>
            <w:tcMar>
              <w:top w:w="0" w:type="dxa"/>
              <w:left w:w="0" w:type="dxa"/>
              <w:bottom w:w="0" w:type="dxa"/>
              <w:right w:w="0" w:type="dxa"/>
            </w:tcMar>
            <w:vAlign w:val="center"/>
          </w:tcPr>
          <w:p w14:paraId="34412B7A"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432DB402" w14:textId="77777777" w:rsidR="00197B80" w:rsidRDefault="00387E87">
            <w:pPr>
              <w:spacing w:before="100" w:after="100"/>
              <w:ind w:left="100" w:right="100"/>
            </w:pPr>
            <w:r>
              <w:rPr>
                <w:rFonts w:ascii="Arial" w:eastAsia="Arial" w:hAnsi="Arial" w:cs="Arial"/>
                <w:color w:val="000000"/>
                <w:sz w:val="22"/>
                <w:szCs w:val="22"/>
              </w:rPr>
              <w:t>Chipmunk</w:t>
            </w:r>
          </w:p>
        </w:tc>
        <w:tc>
          <w:tcPr>
            <w:tcW w:w="1080" w:type="dxa"/>
            <w:shd w:val="clear" w:color="auto" w:fill="FFFFFF"/>
            <w:tcMar>
              <w:top w:w="0" w:type="dxa"/>
              <w:left w:w="0" w:type="dxa"/>
              <w:bottom w:w="0" w:type="dxa"/>
              <w:right w:w="0" w:type="dxa"/>
            </w:tcMar>
            <w:vAlign w:val="center"/>
          </w:tcPr>
          <w:p w14:paraId="4B5F9A43" w14:textId="77777777" w:rsidR="00197B80" w:rsidRDefault="00387E87">
            <w:pPr>
              <w:spacing w:before="100" w:after="100"/>
              <w:ind w:left="100" w:right="100"/>
            </w:pPr>
            <w:r>
              <w:rPr>
                <w:rFonts w:ascii="Arial" w:eastAsia="Arial" w:hAnsi="Arial" w:cs="Arial"/>
                <w:color w:val="000000"/>
                <w:sz w:val="22"/>
                <w:szCs w:val="22"/>
              </w:rPr>
              <w:t>Neotamias sp</w:t>
            </w:r>
          </w:p>
        </w:tc>
        <w:tc>
          <w:tcPr>
            <w:tcW w:w="1080" w:type="dxa"/>
            <w:shd w:val="clear" w:color="auto" w:fill="FFFFFF"/>
            <w:tcMar>
              <w:top w:w="0" w:type="dxa"/>
              <w:left w:w="0" w:type="dxa"/>
              <w:bottom w:w="0" w:type="dxa"/>
              <w:right w:w="0" w:type="dxa"/>
            </w:tcMar>
            <w:vAlign w:val="center"/>
          </w:tcPr>
          <w:p w14:paraId="2DADE34B" w14:textId="77777777" w:rsidR="00197B80" w:rsidRDefault="00387E87">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02F57DC1" w14:textId="77777777" w:rsidR="00197B80" w:rsidRDefault="00387E87">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1EE60FDC" w14:textId="77777777" w:rsidR="00197B80" w:rsidRDefault="00387E87">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7AFB2DFB" w14:textId="77777777" w:rsidR="00197B80" w:rsidRDefault="00387E87">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111FFCD5" w14:textId="77777777" w:rsidR="00197B80" w:rsidRDefault="00387E87">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13333A9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F5B8A13"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6852F1F7" w14:textId="77777777">
        <w:trPr>
          <w:cantSplit/>
          <w:jc w:val="center"/>
        </w:trPr>
        <w:tc>
          <w:tcPr>
            <w:tcW w:w="1080" w:type="dxa"/>
            <w:shd w:val="clear" w:color="auto" w:fill="FFFFFF"/>
            <w:tcMar>
              <w:top w:w="0" w:type="dxa"/>
              <w:left w:w="0" w:type="dxa"/>
              <w:bottom w:w="0" w:type="dxa"/>
              <w:right w:w="0" w:type="dxa"/>
            </w:tcMar>
            <w:vAlign w:val="center"/>
          </w:tcPr>
          <w:p w14:paraId="7AC2F475"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242913FB" w14:textId="77777777" w:rsidR="00197B80" w:rsidRDefault="00387E87">
            <w:pPr>
              <w:spacing w:before="100" w:after="100"/>
              <w:ind w:left="100" w:right="100"/>
            </w:pPr>
            <w:r>
              <w:rPr>
                <w:rFonts w:ascii="Arial" w:eastAsia="Arial" w:hAnsi="Arial" w:cs="Arial"/>
                <w:color w:val="000000"/>
                <w:sz w:val="22"/>
                <w:szCs w:val="22"/>
              </w:rPr>
              <w:t>Bushy-tailed woodrat</w:t>
            </w:r>
          </w:p>
        </w:tc>
        <w:tc>
          <w:tcPr>
            <w:tcW w:w="1080" w:type="dxa"/>
            <w:shd w:val="clear" w:color="auto" w:fill="FFFFFF"/>
            <w:tcMar>
              <w:top w:w="0" w:type="dxa"/>
              <w:left w:w="0" w:type="dxa"/>
              <w:bottom w:w="0" w:type="dxa"/>
              <w:right w:w="0" w:type="dxa"/>
            </w:tcMar>
            <w:vAlign w:val="center"/>
          </w:tcPr>
          <w:p w14:paraId="56F0582D" w14:textId="77777777" w:rsidR="00197B80" w:rsidRDefault="00387E87">
            <w:pPr>
              <w:spacing w:before="100" w:after="100"/>
              <w:ind w:left="100" w:right="100"/>
            </w:pPr>
            <w:r>
              <w:rPr>
                <w:rFonts w:ascii="Arial" w:eastAsia="Arial" w:hAnsi="Arial" w:cs="Arial"/>
                <w:color w:val="000000"/>
                <w:sz w:val="22"/>
                <w:szCs w:val="22"/>
              </w:rPr>
              <w:t>Neotoma cinerea</w:t>
            </w:r>
          </w:p>
        </w:tc>
        <w:tc>
          <w:tcPr>
            <w:tcW w:w="1080" w:type="dxa"/>
            <w:shd w:val="clear" w:color="auto" w:fill="FFFFFF"/>
            <w:tcMar>
              <w:top w:w="0" w:type="dxa"/>
              <w:left w:w="0" w:type="dxa"/>
              <w:bottom w:w="0" w:type="dxa"/>
              <w:right w:w="0" w:type="dxa"/>
            </w:tcMar>
            <w:vAlign w:val="center"/>
          </w:tcPr>
          <w:p w14:paraId="5D73A7F0" w14:textId="77777777" w:rsidR="00197B80" w:rsidRDefault="00387E87">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8FE8A1D"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80551E8" w14:textId="77777777" w:rsidR="00197B80" w:rsidRDefault="00387E87">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1F23DCD1"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DDB05D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67C8AC9"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2E50DE5" w14:textId="77777777" w:rsidR="00197B80" w:rsidRDefault="00387E87">
            <w:pPr>
              <w:spacing w:before="100" w:after="100"/>
              <w:ind w:left="100" w:right="100"/>
              <w:jc w:val="right"/>
            </w:pPr>
            <w:r>
              <w:rPr>
                <w:rFonts w:ascii="Arial" w:eastAsia="Arial" w:hAnsi="Arial" w:cs="Arial"/>
                <w:color w:val="000000"/>
                <w:sz w:val="22"/>
                <w:szCs w:val="22"/>
              </w:rPr>
              <w:t>0.53</w:t>
            </w:r>
          </w:p>
        </w:tc>
      </w:tr>
      <w:tr w:rsidR="00197B80" w14:paraId="4CA05CE8" w14:textId="77777777">
        <w:trPr>
          <w:cantSplit/>
          <w:jc w:val="center"/>
        </w:trPr>
        <w:tc>
          <w:tcPr>
            <w:tcW w:w="1080" w:type="dxa"/>
            <w:shd w:val="clear" w:color="auto" w:fill="FFFFFF"/>
            <w:tcMar>
              <w:top w:w="0" w:type="dxa"/>
              <w:left w:w="0" w:type="dxa"/>
              <w:bottom w:w="0" w:type="dxa"/>
              <w:right w:w="0" w:type="dxa"/>
            </w:tcMar>
            <w:vAlign w:val="center"/>
          </w:tcPr>
          <w:p w14:paraId="51198086" w14:textId="77777777" w:rsidR="00197B80" w:rsidRDefault="00387E87">
            <w:pPr>
              <w:spacing w:before="100" w:after="100"/>
              <w:ind w:left="100" w:right="100"/>
            </w:pPr>
            <w:r>
              <w:rPr>
                <w:rFonts w:ascii="Arial" w:eastAsia="Arial" w:hAnsi="Arial" w:cs="Arial"/>
                <w:color w:val="000000"/>
                <w:sz w:val="22"/>
                <w:szCs w:val="22"/>
              </w:rPr>
              <w:lastRenderedPageBreak/>
              <w:t>Mammalia</w:t>
            </w:r>
          </w:p>
        </w:tc>
        <w:tc>
          <w:tcPr>
            <w:tcW w:w="1080" w:type="dxa"/>
            <w:shd w:val="clear" w:color="auto" w:fill="FFFFFF"/>
            <w:tcMar>
              <w:top w:w="0" w:type="dxa"/>
              <w:left w:w="0" w:type="dxa"/>
              <w:bottom w:w="0" w:type="dxa"/>
              <w:right w:w="0" w:type="dxa"/>
            </w:tcMar>
            <w:vAlign w:val="center"/>
          </w:tcPr>
          <w:p w14:paraId="5A646ED1" w14:textId="77777777" w:rsidR="00197B80" w:rsidRDefault="00387E87">
            <w:pPr>
              <w:spacing w:before="100" w:after="100"/>
              <w:ind w:left="100" w:right="100"/>
            </w:pPr>
            <w:r>
              <w:rPr>
                <w:rFonts w:ascii="Arial" w:eastAsia="Arial" w:hAnsi="Arial" w:cs="Arial"/>
                <w:color w:val="000000"/>
                <w:sz w:val="22"/>
                <w:szCs w:val="22"/>
              </w:rPr>
              <w:t>Rat</w:t>
            </w:r>
          </w:p>
        </w:tc>
        <w:tc>
          <w:tcPr>
            <w:tcW w:w="1080" w:type="dxa"/>
            <w:shd w:val="clear" w:color="auto" w:fill="FFFFFF"/>
            <w:tcMar>
              <w:top w:w="0" w:type="dxa"/>
              <w:left w:w="0" w:type="dxa"/>
              <w:bottom w:w="0" w:type="dxa"/>
              <w:right w:w="0" w:type="dxa"/>
            </w:tcMar>
            <w:vAlign w:val="center"/>
          </w:tcPr>
          <w:p w14:paraId="59FC3578" w14:textId="77777777" w:rsidR="00197B80" w:rsidRDefault="00387E87">
            <w:pPr>
              <w:spacing w:before="100" w:after="100"/>
              <w:ind w:left="100" w:right="100"/>
            </w:pPr>
            <w:r>
              <w:rPr>
                <w:rFonts w:ascii="Arial" w:eastAsia="Arial" w:hAnsi="Arial" w:cs="Arial"/>
                <w:color w:val="000000"/>
                <w:sz w:val="22"/>
                <w:szCs w:val="22"/>
              </w:rPr>
              <w:t>Rattus sp</w:t>
            </w:r>
          </w:p>
        </w:tc>
        <w:tc>
          <w:tcPr>
            <w:tcW w:w="1080" w:type="dxa"/>
            <w:shd w:val="clear" w:color="auto" w:fill="FFFFFF"/>
            <w:tcMar>
              <w:top w:w="0" w:type="dxa"/>
              <w:left w:w="0" w:type="dxa"/>
              <w:bottom w:w="0" w:type="dxa"/>
              <w:right w:w="0" w:type="dxa"/>
            </w:tcMar>
            <w:vAlign w:val="center"/>
          </w:tcPr>
          <w:p w14:paraId="3B9C2BDD" w14:textId="77777777" w:rsidR="00197B80" w:rsidRDefault="00387E87">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14B8D02" w14:textId="77777777" w:rsidR="00197B80" w:rsidRDefault="00387E87">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7A6D69C1" w14:textId="77777777" w:rsidR="00197B80" w:rsidRDefault="00387E87">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527EFDD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DCC3C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5046C4"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EB7CF80"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745E3FF2" w14:textId="77777777">
        <w:trPr>
          <w:cantSplit/>
          <w:jc w:val="center"/>
        </w:trPr>
        <w:tc>
          <w:tcPr>
            <w:tcW w:w="1080" w:type="dxa"/>
            <w:shd w:val="clear" w:color="auto" w:fill="FFFFFF"/>
            <w:tcMar>
              <w:top w:w="0" w:type="dxa"/>
              <w:left w:w="0" w:type="dxa"/>
              <w:bottom w:w="0" w:type="dxa"/>
              <w:right w:w="0" w:type="dxa"/>
            </w:tcMar>
            <w:vAlign w:val="center"/>
          </w:tcPr>
          <w:p w14:paraId="3F191057"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3F94AE33" w14:textId="77777777" w:rsidR="00197B80" w:rsidRDefault="00387E87">
            <w:pPr>
              <w:spacing w:before="100" w:after="100"/>
              <w:ind w:left="100" w:right="100"/>
            </w:pPr>
            <w:r>
              <w:rPr>
                <w:rFonts w:ascii="Arial" w:eastAsia="Arial" w:hAnsi="Arial" w:cs="Arial"/>
                <w:color w:val="000000"/>
                <w:sz w:val="22"/>
                <w:szCs w:val="22"/>
              </w:rPr>
              <w:t>Shrew</w:t>
            </w:r>
          </w:p>
        </w:tc>
        <w:tc>
          <w:tcPr>
            <w:tcW w:w="1080" w:type="dxa"/>
            <w:shd w:val="clear" w:color="auto" w:fill="FFFFFF"/>
            <w:tcMar>
              <w:top w:w="0" w:type="dxa"/>
              <w:left w:w="0" w:type="dxa"/>
              <w:bottom w:w="0" w:type="dxa"/>
              <w:right w:w="0" w:type="dxa"/>
            </w:tcMar>
            <w:vAlign w:val="center"/>
          </w:tcPr>
          <w:p w14:paraId="45EBB724" w14:textId="77777777" w:rsidR="00197B80" w:rsidRDefault="00387E87">
            <w:pPr>
              <w:spacing w:before="100" w:after="100"/>
              <w:ind w:left="100" w:right="100"/>
            </w:pPr>
            <w:r>
              <w:rPr>
                <w:rFonts w:ascii="Arial" w:eastAsia="Arial" w:hAnsi="Arial" w:cs="Arial"/>
                <w:color w:val="000000"/>
                <w:sz w:val="22"/>
                <w:szCs w:val="22"/>
              </w:rPr>
              <w:t>Sorex sp</w:t>
            </w:r>
          </w:p>
        </w:tc>
        <w:tc>
          <w:tcPr>
            <w:tcW w:w="1080" w:type="dxa"/>
            <w:shd w:val="clear" w:color="auto" w:fill="FFFFFF"/>
            <w:tcMar>
              <w:top w:w="0" w:type="dxa"/>
              <w:left w:w="0" w:type="dxa"/>
              <w:bottom w:w="0" w:type="dxa"/>
              <w:right w:w="0" w:type="dxa"/>
            </w:tcMar>
            <w:vAlign w:val="center"/>
          </w:tcPr>
          <w:p w14:paraId="7EDDA708" w14:textId="77777777" w:rsidR="00197B80" w:rsidRDefault="00387E87">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85DDEA3" w14:textId="77777777" w:rsidR="00197B80" w:rsidRDefault="00387E87">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6432C916" w14:textId="77777777" w:rsidR="00197B80" w:rsidRDefault="00387E87">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0B5941D6"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A3F7758"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D26B8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674A802"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06501866" w14:textId="77777777">
        <w:trPr>
          <w:cantSplit/>
          <w:jc w:val="center"/>
        </w:trPr>
        <w:tc>
          <w:tcPr>
            <w:tcW w:w="1080" w:type="dxa"/>
            <w:shd w:val="clear" w:color="auto" w:fill="FFFFFF"/>
            <w:tcMar>
              <w:top w:w="0" w:type="dxa"/>
              <w:left w:w="0" w:type="dxa"/>
              <w:bottom w:w="0" w:type="dxa"/>
              <w:right w:w="0" w:type="dxa"/>
            </w:tcMar>
            <w:vAlign w:val="center"/>
          </w:tcPr>
          <w:p w14:paraId="5EC8246B"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3F2A004D" w14:textId="77777777" w:rsidR="00197B80" w:rsidRDefault="00387E87">
            <w:pPr>
              <w:spacing w:before="100" w:after="100"/>
              <w:ind w:left="100" w:right="100"/>
            </w:pPr>
            <w:r>
              <w:rPr>
                <w:rFonts w:ascii="Arial" w:eastAsia="Arial" w:hAnsi="Arial" w:cs="Arial"/>
                <w:color w:val="000000"/>
                <w:sz w:val="22"/>
                <w:szCs w:val="22"/>
              </w:rPr>
              <w:t>Douglas squirrel</w:t>
            </w:r>
          </w:p>
        </w:tc>
        <w:tc>
          <w:tcPr>
            <w:tcW w:w="1080" w:type="dxa"/>
            <w:shd w:val="clear" w:color="auto" w:fill="FFFFFF"/>
            <w:tcMar>
              <w:top w:w="0" w:type="dxa"/>
              <w:left w:w="0" w:type="dxa"/>
              <w:bottom w:w="0" w:type="dxa"/>
              <w:right w:w="0" w:type="dxa"/>
            </w:tcMar>
            <w:vAlign w:val="center"/>
          </w:tcPr>
          <w:p w14:paraId="495A653C" w14:textId="77777777" w:rsidR="00197B80" w:rsidRDefault="00387E87">
            <w:pPr>
              <w:spacing w:before="100" w:after="100"/>
              <w:ind w:left="100" w:right="100"/>
            </w:pPr>
            <w:r>
              <w:rPr>
                <w:rFonts w:ascii="Arial" w:eastAsia="Arial" w:hAnsi="Arial" w:cs="Arial"/>
                <w:color w:val="000000"/>
                <w:sz w:val="22"/>
                <w:szCs w:val="22"/>
              </w:rPr>
              <w:t>Tamiasciurus douglasii</w:t>
            </w:r>
          </w:p>
        </w:tc>
        <w:tc>
          <w:tcPr>
            <w:tcW w:w="1080" w:type="dxa"/>
            <w:shd w:val="clear" w:color="auto" w:fill="FFFFFF"/>
            <w:tcMar>
              <w:top w:w="0" w:type="dxa"/>
              <w:left w:w="0" w:type="dxa"/>
              <w:bottom w:w="0" w:type="dxa"/>
              <w:right w:w="0" w:type="dxa"/>
            </w:tcMar>
            <w:vAlign w:val="center"/>
          </w:tcPr>
          <w:p w14:paraId="2BEA91C7" w14:textId="77777777" w:rsidR="00197B80" w:rsidRDefault="00387E87">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60E7571B" w14:textId="77777777" w:rsidR="00197B80" w:rsidRDefault="00387E87">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2605A284" w14:textId="77777777" w:rsidR="00197B80" w:rsidRDefault="00387E87">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41387786" w14:textId="77777777" w:rsidR="00197B80" w:rsidRDefault="00387E87">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2E4E13CA" w14:textId="77777777" w:rsidR="00197B80" w:rsidRDefault="00387E87">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045A0A7F" w14:textId="77777777" w:rsidR="00197B80" w:rsidRDefault="00387E87">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0D516303" w14:textId="77777777" w:rsidR="00197B80" w:rsidRDefault="00387E87">
            <w:pPr>
              <w:spacing w:before="100" w:after="100"/>
              <w:ind w:left="100" w:right="100"/>
              <w:jc w:val="right"/>
            </w:pPr>
            <w:r>
              <w:rPr>
                <w:rFonts w:ascii="Arial" w:eastAsia="Arial" w:hAnsi="Arial" w:cs="Arial"/>
                <w:color w:val="000000"/>
                <w:sz w:val="22"/>
                <w:szCs w:val="22"/>
              </w:rPr>
              <w:t>1.72</w:t>
            </w:r>
          </w:p>
        </w:tc>
      </w:tr>
      <w:tr w:rsidR="00197B80" w14:paraId="2681A16B" w14:textId="77777777">
        <w:trPr>
          <w:cantSplit/>
          <w:jc w:val="center"/>
        </w:trPr>
        <w:tc>
          <w:tcPr>
            <w:tcW w:w="1080" w:type="dxa"/>
            <w:shd w:val="clear" w:color="auto" w:fill="FFFFFF"/>
            <w:tcMar>
              <w:top w:w="0" w:type="dxa"/>
              <w:left w:w="0" w:type="dxa"/>
              <w:bottom w:w="0" w:type="dxa"/>
              <w:right w:w="0" w:type="dxa"/>
            </w:tcMar>
            <w:vAlign w:val="center"/>
          </w:tcPr>
          <w:p w14:paraId="49C4BE45"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1BC44645" w14:textId="77777777" w:rsidR="00197B80" w:rsidRDefault="00387E87">
            <w:pPr>
              <w:spacing w:before="100" w:after="100"/>
              <w:ind w:left="100" w:right="100"/>
            </w:pPr>
            <w:r>
              <w:rPr>
                <w:rFonts w:ascii="Arial" w:eastAsia="Arial" w:hAnsi="Arial" w:cs="Arial"/>
                <w:color w:val="000000"/>
                <w:sz w:val="22"/>
                <w:szCs w:val="22"/>
              </w:rPr>
              <w:t>Red squirrel</w:t>
            </w:r>
          </w:p>
        </w:tc>
        <w:tc>
          <w:tcPr>
            <w:tcW w:w="1080" w:type="dxa"/>
            <w:shd w:val="clear" w:color="auto" w:fill="FFFFFF"/>
            <w:tcMar>
              <w:top w:w="0" w:type="dxa"/>
              <w:left w:w="0" w:type="dxa"/>
              <w:bottom w:w="0" w:type="dxa"/>
              <w:right w:w="0" w:type="dxa"/>
            </w:tcMar>
            <w:vAlign w:val="center"/>
          </w:tcPr>
          <w:p w14:paraId="53C87971" w14:textId="77777777" w:rsidR="00197B80" w:rsidRDefault="00387E87">
            <w:pPr>
              <w:spacing w:before="100" w:after="100"/>
              <w:ind w:left="100" w:right="100"/>
            </w:pPr>
            <w:r>
              <w:rPr>
                <w:rFonts w:ascii="Arial" w:eastAsia="Arial" w:hAnsi="Arial" w:cs="Arial"/>
                <w:color w:val="000000"/>
                <w:sz w:val="22"/>
                <w:szCs w:val="22"/>
              </w:rPr>
              <w:t>Tamiasciurus hudsonicus</w:t>
            </w:r>
          </w:p>
        </w:tc>
        <w:tc>
          <w:tcPr>
            <w:tcW w:w="1080" w:type="dxa"/>
            <w:shd w:val="clear" w:color="auto" w:fill="FFFFFF"/>
            <w:tcMar>
              <w:top w:w="0" w:type="dxa"/>
              <w:left w:w="0" w:type="dxa"/>
              <w:bottom w:w="0" w:type="dxa"/>
              <w:right w:w="0" w:type="dxa"/>
            </w:tcMar>
            <w:vAlign w:val="center"/>
          </w:tcPr>
          <w:p w14:paraId="4CE7BC9E" w14:textId="77777777" w:rsidR="00197B80" w:rsidRDefault="00387E87">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713BC7B2" w14:textId="77777777" w:rsidR="00197B80" w:rsidRDefault="00387E87">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1D68F0C0" w14:textId="77777777" w:rsidR="00197B80" w:rsidRDefault="00387E87">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5DE8BD9B"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BEC491"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587BFAC" w14:textId="77777777" w:rsidR="00197B80" w:rsidRDefault="00387E87">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3D110E3" w14:textId="77777777" w:rsidR="00197B80" w:rsidRDefault="00387E87">
            <w:pPr>
              <w:spacing w:before="100" w:after="100"/>
              <w:ind w:left="100" w:right="100"/>
              <w:jc w:val="right"/>
            </w:pPr>
            <w:r>
              <w:rPr>
                <w:rFonts w:ascii="Arial" w:eastAsia="Arial" w:hAnsi="Arial" w:cs="Arial"/>
                <w:color w:val="000000"/>
                <w:sz w:val="22"/>
                <w:szCs w:val="22"/>
              </w:rPr>
              <w:t>0.32</w:t>
            </w:r>
          </w:p>
        </w:tc>
      </w:tr>
      <w:tr w:rsidR="00197B80" w14:paraId="7DBE4F26" w14:textId="77777777">
        <w:trPr>
          <w:cantSplit/>
          <w:jc w:val="center"/>
        </w:trPr>
        <w:tc>
          <w:tcPr>
            <w:tcW w:w="1080" w:type="dxa"/>
            <w:shd w:val="clear" w:color="auto" w:fill="D3D3D3"/>
            <w:tcMar>
              <w:top w:w="0" w:type="dxa"/>
              <w:left w:w="0" w:type="dxa"/>
              <w:bottom w:w="0" w:type="dxa"/>
              <w:right w:w="0" w:type="dxa"/>
            </w:tcMar>
            <w:vAlign w:val="center"/>
          </w:tcPr>
          <w:p w14:paraId="561A4E40" w14:textId="77777777" w:rsidR="00197B80" w:rsidRDefault="00387E87">
            <w:pPr>
              <w:spacing w:before="100" w:after="100"/>
              <w:ind w:left="100" w:right="100"/>
            </w:pPr>
            <w:r>
              <w:rPr>
                <w:rFonts w:ascii="Arial" w:eastAsia="Arial" w:hAnsi="Arial" w:cs="Arial"/>
                <w:color w:val="000000"/>
                <w:sz w:val="22"/>
                <w:szCs w:val="22"/>
              </w:rPr>
              <w:t>Mammalia</w:t>
            </w:r>
          </w:p>
        </w:tc>
        <w:tc>
          <w:tcPr>
            <w:tcW w:w="1080" w:type="dxa"/>
            <w:shd w:val="clear" w:color="auto" w:fill="D3D3D3"/>
            <w:tcMar>
              <w:top w:w="0" w:type="dxa"/>
              <w:left w:w="0" w:type="dxa"/>
              <w:bottom w:w="0" w:type="dxa"/>
              <w:right w:w="0" w:type="dxa"/>
            </w:tcMar>
            <w:vAlign w:val="center"/>
          </w:tcPr>
          <w:p w14:paraId="4A38D8EC" w14:textId="77777777" w:rsidR="00197B80" w:rsidRDefault="00387E87">
            <w:pPr>
              <w:spacing w:before="100" w:after="100"/>
              <w:ind w:left="100" w:right="100"/>
            </w:pPr>
            <w:r>
              <w:rPr>
                <w:rFonts w:ascii="Arial" w:eastAsia="Arial" w:hAnsi="Arial" w:cs="Arial"/>
                <w:color w:val="000000"/>
                <w:sz w:val="22"/>
                <w:szCs w:val="22"/>
              </w:rPr>
              <w:t>TOTAL</w:t>
            </w:r>
          </w:p>
        </w:tc>
        <w:tc>
          <w:tcPr>
            <w:tcW w:w="1080" w:type="dxa"/>
            <w:shd w:val="clear" w:color="auto" w:fill="D3D3D3"/>
            <w:tcMar>
              <w:top w:w="0" w:type="dxa"/>
              <w:left w:w="0" w:type="dxa"/>
              <w:bottom w:w="0" w:type="dxa"/>
              <w:right w:w="0" w:type="dxa"/>
            </w:tcMar>
            <w:vAlign w:val="center"/>
          </w:tcPr>
          <w:p w14:paraId="01E6B040"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shd w:val="clear" w:color="auto" w:fill="D3D3D3"/>
            <w:tcMar>
              <w:top w:w="0" w:type="dxa"/>
              <w:left w:w="0" w:type="dxa"/>
              <w:bottom w:w="0" w:type="dxa"/>
              <w:right w:w="0" w:type="dxa"/>
            </w:tcMar>
            <w:vAlign w:val="center"/>
          </w:tcPr>
          <w:p w14:paraId="0A044AEA" w14:textId="77777777" w:rsidR="00197B80" w:rsidRDefault="00387E87">
            <w:pPr>
              <w:spacing w:before="100" w:after="100"/>
              <w:ind w:left="100" w:right="100"/>
              <w:jc w:val="right"/>
            </w:pPr>
            <w:r>
              <w:rPr>
                <w:rFonts w:ascii="Arial" w:eastAsia="Arial" w:hAnsi="Arial" w:cs="Arial"/>
                <w:color w:val="000000"/>
                <w:sz w:val="22"/>
                <w:szCs w:val="22"/>
              </w:rPr>
              <w:t>340</w:t>
            </w:r>
          </w:p>
        </w:tc>
        <w:tc>
          <w:tcPr>
            <w:tcW w:w="1080" w:type="dxa"/>
            <w:shd w:val="clear" w:color="auto" w:fill="D3D3D3"/>
            <w:tcMar>
              <w:top w:w="0" w:type="dxa"/>
              <w:left w:w="0" w:type="dxa"/>
              <w:bottom w:w="0" w:type="dxa"/>
              <w:right w:w="0" w:type="dxa"/>
            </w:tcMar>
            <w:vAlign w:val="center"/>
          </w:tcPr>
          <w:p w14:paraId="61BAA74F" w14:textId="77777777" w:rsidR="00197B80" w:rsidRDefault="00387E87">
            <w:pPr>
              <w:spacing w:before="100" w:after="100"/>
              <w:ind w:left="100" w:right="100"/>
              <w:jc w:val="right"/>
            </w:pPr>
            <w:r>
              <w:rPr>
                <w:rFonts w:ascii="Arial" w:eastAsia="Arial" w:hAnsi="Arial" w:cs="Arial"/>
                <w:color w:val="000000"/>
                <w:sz w:val="22"/>
                <w:szCs w:val="22"/>
              </w:rPr>
              <w:t>53.11</w:t>
            </w:r>
          </w:p>
        </w:tc>
        <w:tc>
          <w:tcPr>
            <w:tcW w:w="1080" w:type="dxa"/>
            <w:shd w:val="clear" w:color="auto" w:fill="D3D3D3"/>
            <w:tcMar>
              <w:top w:w="0" w:type="dxa"/>
              <w:left w:w="0" w:type="dxa"/>
              <w:bottom w:w="0" w:type="dxa"/>
              <w:right w:w="0" w:type="dxa"/>
            </w:tcMar>
            <w:vAlign w:val="center"/>
          </w:tcPr>
          <w:p w14:paraId="50B16A4A" w14:textId="77777777" w:rsidR="00197B80" w:rsidRDefault="00387E87">
            <w:pPr>
              <w:spacing w:before="100" w:after="100"/>
              <w:ind w:left="100" w:right="100"/>
              <w:jc w:val="right"/>
            </w:pPr>
            <w:r>
              <w:rPr>
                <w:rFonts w:ascii="Arial" w:eastAsia="Arial" w:hAnsi="Arial" w:cs="Arial"/>
                <w:color w:val="000000"/>
                <w:sz w:val="22"/>
                <w:szCs w:val="22"/>
              </w:rPr>
              <w:t>73.17</w:t>
            </w:r>
          </w:p>
        </w:tc>
        <w:tc>
          <w:tcPr>
            <w:tcW w:w="1080" w:type="dxa"/>
            <w:shd w:val="clear" w:color="auto" w:fill="D3D3D3"/>
            <w:tcMar>
              <w:top w:w="0" w:type="dxa"/>
              <w:left w:w="0" w:type="dxa"/>
              <w:bottom w:w="0" w:type="dxa"/>
              <w:right w:w="0" w:type="dxa"/>
            </w:tcMar>
            <w:vAlign w:val="center"/>
          </w:tcPr>
          <w:p w14:paraId="41477951" w14:textId="77777777" w:rsidR="00197B80" w:rsidRDefault="00387E87">
            <w:pPr>
              <w:spacing w:before="100" w:after="100"/>
              <w:ind w:left="100" w:right="100"/>
              <w:jc w:val="right"/>
            </w:pPr>
            <w:r>
              <w:rPr>
                <w:rFonts w:ascii="Arial" w:eastAsia="Arial" w:hAnsi="Arial" w:cs="Arial"/>
                <w:color w:val="000000"/>
                <w:sz w:val="22"/>
                <w:szCs w:val="22"/>
              </w:rPr>
              <w:t>58.52</w:t>
            </w:r>
          </w:p>
        </w:tc>
        <w:tc>
          <w:tcPr>
            <w:tcW w:w="1080" w:type="dxa"/>
            <w:shd w:val="clear" w:color="auto" w:fill="D3D3D3"/>
            <w:tcMar>
              <w:top w:w="0" w:type="dxa"/>
              <w:left w:w="0" w:type="dxa"/>
              <w:bottom w:w="0" w:type="dxa"/>
              <w:right w:w="0" w:type="dxa"/>
            </w:tcMar>
            <w:vAlign w:val="center"/>
          </w:tcPr>
          <w:p w14:paraId="6E05E97F" w14:textId="77777777" w:rsidR="00197B80" w:rsidRDefault="00387E87">
            <w:pPr>
              <w:spacing w:before="100" w:after="100"/>
              <w:ind w:left="100" w:right="100"/>
              <w:jc w:val="right"/>
            </w:pPr>
            <w:r>
              <w:rPr>
                <w:rFonts w:ascii="Arial" w:eastAsia="Arial" w:hAnsi="Arial" w:cs="Arial"/>
                <w:color w:val="000000"/>
                <w:sz w:val="22"/>
                <w:szCs w:val="22"/>
              </w:rPr>
              <w:t>75.35</w:t>
            </w:r>
          </w:p>
        </w:tc>
        <w:tc>
          <w:tcPr>
            <w:tcW w:w="1080" w:type="dxa"/>
            <w:shd w:val="clear" w:color="auto" w:fill="D3D3D3"/>
            <w:tcMar>
              <w:top w:w="0" w:type="dxa"/>
              <w:left w:w="0" w:type="dxa"/>
              <w:bottom w:w="0" w:type="dxa"/>
              <w:right w:w="0" w:type="dxa"/>
            </w:tcMar>
            <w:vAlign w:val="center"/>
          </w:tcPr>
          <w:p w14:paraId="73DB9B81" w14:textId="77777777" w:rsidR="00197B80" w:rsidRDefault="00387E87">
            <w:pPr>
              <w:spacing w:before="100" w:after="100"/>
              <w:ind w:left="100" w:right="100"/>
              <w:jc w:val="right"/>
            </w:pPr>
            <w:r>
              <w:rPr>
                <w:rFonts w:ascii="Arial" w:eastAsia="Arial" w:hAnsi="Arial" w:cs="Arial"/>
                <w:color w:val="000000"/>
                <w:sz w:val="22"/>
                <w:szCs w:val="22"/>
              </w:rPr>
              <w:t>18.18</w:t>
            </w:r>
          </w:p>
        </w:tc>
        <w:tc>
          <w:tcPr>
            <w:tcW w:w="1080" w:type="dxa"/>
            <w:shd w:val="clear" w:color="auto" w:fill="D3D3D3"/>
            <w:tcMar>
              <w:top w:w="0" w:type="dxa"/>
              <w:left w:w="0" w:type="dxa"/>
              <w:bottom w:w="0" w:type="dxa"/>
              <w:right w:w="0" w:type="dxa"/>
            </w:tcMar>
            <w:vAlign w:val="center"/>
          </w:tcPr>
          <w:p w14:paraId="4AE99322" w14:textId="77777777" w:rsidR="00197B80" w:rsidRDefault="00387E87">
            <w:pPr>
              <w:spacing w:before="100" w:after="100"/>
              <w:ind w:left="100" w:right="100"/>
              <w:jc w:val="right"/>
            </w:pPr>
            <w:r>
              <w:rPr>
                <w:rFonts w:ascii="Arial" w:eastAsia="Arial" w:hAnsi="Arial" w:cs="Arial"/>
                <w:color w:val="000000"/>
                <w:sz w:val="22"/>
                <w:szCs w:val="22"/>
              </w:rPr>
              <w:t>27.25</w:t>
            </w:r>
          </w:p>
        </w:tc>
      </w:tr>
      <w:tr w:rsidR="00197B80" w14:paraId="552139FE" w14:textId="77777777">
        <w:trPr>
          <w:cantSplit/>
          <w:jc w:val="center"/>
        </w:trPr>
        <w:tc>
          <w:tcPr>
            <w:tcW w:w="1080" w:type="dxa"/>
            <w:shd w:val="clear" w:color="auto" w:fill="FFFFFF"/>
            <w:tcMar>
              <w:top w:w="0" w:type="dxa"/>
              <w:left w:w="0" w:type="dxa"/>
              <w:bottom w:w="0" w:type="dxa"/>
              <w:right w:w="0" w:type="dxa"/>
            </w:tcMar>
            <w:vAlign w:val="center"/>
          </w:tcPr>
          <w:p w14:paraId="08EF4FCE" w14:textId="77777777" w:rsidR="00197B80" w:rsidRDefault="00387E87">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5FD553FF" w14:textId="77777777" w:rsidR="00197B80" w:rsidRDefault="00387E87">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16044664"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3D0D1B42" w14:textId="77777777" w:rsidR="00197B80" w:rsidRDefault="00387E87">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3ADB7DE8" w14:textId="77777777" w:rsidR="00197B80" w:rsidRDefault="00387E87">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1179F956" w14:textId="77777777" w:rsidR="00197B80" w:rsidRDefault="00387E87">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0F5F19BC"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E6AEB5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6D2F1E5" w14:textId="77777777" w:rsidR="00197B80" w:rsidRDefault="00387E87">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596CC1D" w14:textId="77777777" w:rsidR="00197B80" w:rsidRDefault="00387E87">
            <w:pPr>
              <w:spacing w:before="100" w:after="100"/>
              <w:ind w:left="100" w:right="100"/>
              <w:jc w:val="right"/>
            </w:pPr>
            <w:r>
              <w:rPr>
                <w:rFonts w:ascii="Arial" w:eastAsia="Arial" w:hAnsi="Arial" w:cs="Arial"/>
                <w:color w:val="000000"/>
                <w:sz w:val="22"/>
                <w:szCs w:val="22"/>
              </w:rPr>
              <w:t>-</w:t>
            </w:r>
          </w:p>
        </w:tc>
      </w:tr>
      <w:tr w:rsidR="00197B80" w14:paraId="1CD77DF3" w14:textId="77777777">
        <w:trPr>
          <w:cantSplit/>
          <w:jc w:val="center"/>
        </w:trPr>
        <w:tc>
          <w:tcPr>
            <w:tcW w:w="1080" w:type="dxa"/>
            <w:tcBorders>
              <w:bottom w:val="single" w:sz="16" w:space="0" w:color="666666"/>
            </w:tcBorders>
            <w:shd w:val="clear" w:color="auto" w:fill="D3D3D3"/>
            <w:tcMar>
              <w:top w:w="0" w:type="dxa"/>
              <w:left w:w="0" w:type="dxa"/>
              <w:bottom w:w="0" w:type="dxa"/>
              <w:right w:w="0" w:type="dxa"/>
            </w:tcMar>
            <w:vAlign w:val="center"/>
          </w:tcPr>
          <w:p w14:paraId="76BAADB8"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2A773FC" w14:textId="77777777" w:rsidR="00197B80" w:rsidRDefault="00387E87">
            <w:pPr>
              <w:spacing w:before="100" w:after="100"/>
              <w:ind w:left="100" w:right="100"/>
            </w:pPr>
            <w:r>
              <w:rPr>
                <w:rFonts w:ascii="Arial" w:eastAsia="Arial" w:hAnsi="Arial" w:cs="Arial"/>
                <w:color w:val="000000"/>
                <w:sz w:val="22"/>
                <w:szCs w:val="22"/>
              </w:rPr>
              <w:t>TOTAL</w:t>
            </w:r>
          </w:p>
        </w:tc>
        <w:tc>
          <w:tcPr>
            <w:tcW w:w="1080" w:type="dxa"/>
            <w:tcBorders>
              <w:bottom w:val="single" w:sz="16" w:space="0" w:color="666666"/>
            </w:tcBorders>
            <w:shd w:val="clear" w:color="auto" w:fill="D3D3D3"/>
            <w:tcMar>
              <w:top w:w="0" w:type="dxa"/>
              <w:left w:w="0" w:type="dxa"/>
              <w:bottom w:w="0" w:type="dxa"/>
              <w:right w:w="0" w:type="dxa"/>
            </w:tcMar>
            <w:vAlign w:val="center"/>
          </w:tcPr>
          <w:p w14:paraId="1D198C66" w14:textId="77777777" w:rsidR="00197B80" w:rsidRDefault="00387E87">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82BF6A6" w14:textId="77777777" w:rsidR="00197B80" w:rsidRDefault="00387E87">
            <w:pPr>
              <w:spacing w:before="100" w:after="100"/>
              <w:ind w:left="100" w:right="100"/>
              <w:jc w:val="right"/>
            </w:pPr>
            <w:r>
              <w:rPr>
                <w:rFonts w:ascii="Arial" w:eastAsia="Arial" w:hAnsi="Arial" w:cs="Arial"/>
                <w:color w:val="000000"/>
                <w:sz w:val="22"/>
                <w:szCs w:val="22"/>
              </w:rPr>
              <w:t>706</w:t>
            </w:r>
          </w:p>
        </w:tc>
        <w:tc>
          <w:tcPr>
            <w:tcW w:w="1080" w:type="dxa"/>
            <w:tcBorders>
              <w:bottom w:val="single" w:sz="16" w:space="0" w:color="666666"/>
            </w:tcBorders>
            <w:shd w:val="clear" w:color="auto" w:fill="D3D3D3"/>
            <w:tcMar>
              <w:top w:w="0" w:type="dxa"/>
              <w:left w:w="0" w:type="dxa"/>
              <w:bottom w:w="0" w:type="dxa"/>
              <w:right w:w="0" w:type="dxa"/>
            </w:tcMar>
            <w:vAlign w:val="center"/>
          </w:tcPr>
          <w:p w14:paraId="49A23717" w14:textId="77777777" w:rsidR="00197B80" w:rsidRDefault="00387E87">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6F283FB3" w14:textId="77777777" w:rsidR="00197B80" w:rsidRDefault="00387E87">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620A7C4" w14:textId="77777777" w:rsidR="00197B80" w:rsidRDefault="00387E87">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5DD10037" w14:textId="77777777" w:rsidR="00197B80" w:rsidRDefault="00387E87">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36021B1E" w14:textId="77777777" w:rsidR="00197B80" w:rsidRDefault="00387E87">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09D71F46" w14:textId="77777777" w:rsidR="00197B80" w:rsidRDefault="00387E87">
            <w:pPr>
              <w:spacing w:before="100" w:after="100"/>
              <w:ind w:left="100" w:right="100"/>
              <w:jc w:val="right"/>
            </w:pPr>
            <w:r>
              <w:rPr>
                <w:rFonts w:ascii="Arial" w:eastAsia="Arial" w:hAnsi="Arial" w:cs="Arial"/>
                <w:color w:val="000000"/>
                <w:sz w:val="22"/>
                <w:szCs w:val="22"/>
              </w:rPr>
              <w:t>100.00</w:t>
            </w:r>
          </w:p>
        </w:tc>
      </w:tr>
    </w:tbl>
    <w:p w14:paraId="12078BA0" w14:textId="77777777" w:rsidR="00197B80" w:rsidRDefault="00387E87">
      <w:pPr>
        <w:pStyle w:val="Heading1"/>
      </w:pPr>
      <w:bookmarkStart w:id="13" w:name="literature-cited"/>
      <w:r>
        <w:t>6</w:t>
      </w:r>
      <w:r>
        <w:tab/>
        <w:t>Literature Cited</w:t>
      </w:r>
      <w:bookmarkEnd w:id="13"/>
    </w:p>
    <w:p w14:paraId="46844361" w14:textId="77777777" w:rsidR="00197B80" w:rsidRDefault="00387E87">
      <w:pPr>
        <w:pStyle w:val="Bibliography"/>
      </w:pPr>
      <w:bookmarkStart w:id="14" w:name="ref-billerman_birds_2020"/>
      <w:bookmarkStart w:id="15" w:name="refs"/>
      <w:r>
        <w:t>Billerman, S. M., B. K. Keeney, P. G. Rodewald, and T. S. Schulenberg, editors. 2020. Birds of the World. Cornell Lab of Ornithology, Ithaca, NY, USA. &lt;</w:t>
      </w:r>
      <w:hyperlink r:id="rId11">
        <w:r>
          <w:rPr>
            <w:rStyle w:val="Hyperlink"/>
          </w:rPr>
          <w:t>https://birdsoftheworld-org.pro</w:t>
        </w:r>
        <w:r>
          <w:rPr>
            <w:rStyle w:val="Hyperlink"/>
          </w:rPr>
          <w:t>xy.lib.sfu.ca/bow/home</w:t>
        </w:r>
      </w:hyperlink>
      <w:r>
        <w:t>&gt;.</w:t>
      </w:r>
    </w:p>
    <w:p w14:paraId="5B19BA4D" w14:textId="77777777" w:rsidR="00197B80" w:rsidRDefault="00387E87">
      <w:pPr>
        <w:pStyle w:val="Bibliography"/>
      </w:pPr>
      <w:bookmarkStart w:id="16" w:name="ref-bloxton_prey_2002"/>
      <w:bookmarkEnd w:id="14"/>
      <w:r>
        <w:t>Bloxton, T. D., Jr. 2002. Prey Abundance, Space Use, Demography, and Foraging Habitat of Northern Goshawks in Western Washington. Master’s thesis, University of Washington, Seattle, WA.</w:t>
      </w:r>
    </w:p>
    <w:p w14:paraId="050D028E" w14:textId="77777777" w:rsidR="00197B80" w:rsidRDefault="00387E87">
      <w:pPr>
        <w:pStyle w:val="Bibliography"/>
      </w:pPr>
      <w:bookmarkStart w:id="17" w:name="ref-boal_photographic_1994"/>
      <w:bookmarkEnd w:id="16"/>
      <w:r>
        <w:t>Boal, C. W. 1994. A Photographic and Behavior</w:t>
      </w:r>
      <w:r>
        <w:t>al Guide to Aging Nestling Northern Goshawks. Studies in Avian Biology 16:32–40.</w:t>
      </w:r>
    </w:p>
    <w:p w14:paraId="5F27A83F" w14:textId="77777777" w:rsidR="00197B80" w:rsidRDefault="00387E87">
      <w:pPr>
        <w:pStyle w:val="Bibliography"/>
      </w:pPr>
      <w:bookmarkStart w:id="18" w:name="ref-boal_northern_1994"/>
      <w:bookmarkEnd w:id="17"/>
      <w:r>
        <w:t>Boal, C. W., and R. W. Mannan. 1994. Northern Goshawk Diets in Ponderosa Pine Forests on the Kaibab Plateau. 16:97–102.</w:t>
      </w:r>
    </w:p>
    <w:p w14:paraId="0F6E6E9A" w14:textId="77777777" w:rsidR="00197B80" w:rsidRDefault="00387E87">
      <w:pPr>
        <w:pStyle w:val="Bibliography"/>
      </w:pPr>
      <w:bookmarkStart w:id="19" w:name="ref-cosewic_cosewic_2013"/>
      <w:bookmarkEnd w:id="18"/>
      <w:r>
        <w:t xml:space="preserve">COSEWIC. 2013. COSEWIC assessment and status report on </w:t>
      </w:r>
      <w:r>
        <w:t xml:space="preserve">the Northern Goshawk </w:t>
      </w:r>
      <w:r>
        <w:rPr>
          <w:i/>
        </w:rPr>
        <w:t>Accipiter gentilis laingi</w:t>
      </w:r>
      <w:r>
        <w:t xml:space="preserve"> in Canada. Committee on the Status of Endangered Wildlife in Canada, Ottawa, ON. &lt;</w:t>
      </w:r>
      <w:hyperlink r:id="rId12">
        <w:r>
          <w:rPr>
            <w:rStyle w:val="Hyperlink"/>
          </w:rPr>
          <w:t>h</w:t>
        </w:r>
        <w:r>
          <w:rPr>
            <w:rStyle w:val="Hyperlink"/>
          </w:rPr>
          <w:t>ttp://www.sararegistry.gc.ca/virtual_sara/files/cosewic/sr_autour _palombes_northern_goshawk_1213_e.pdf</w:t>
        </w:r>
      </w:hyperlink>
      <w:r>
        <w:t>&gt;.</w:t>
      </w:r>
    </w:p>
    <w:p w14:paraId="1A95CB23" w14:textId="77777777" w:rsidR="00197B80" w:rsidRDefault="00387E87">
      <w:pPr>
        <w:pStyle w:val="Bibliography"/>
      </w:pPr>
      <w:bookmarkStart w:id="20" w:name="ref-destefano_ecology_2006"/>
      <w:bookmarkEnd w:id="19"/>
      <w:r>
        <w:lastRenderedPageBreak/>
        <w:t xml:space="preserve">DeStefano, S., M. T. McGrath, S. K. Daw, and S. M. Desimone. 2006. Ecology and habitat of breeding Northern Goshawks in the inland Pacific Northwest: </w:t>
      </w:r>
      <w:r>
        <w:t>A summary of research in the 1990s. Studies in Avian Biology 31:75–84. &lt;</w:t>
      </w:r>
      <w:hyperlink r:id="rId13">
        <w:r>
          <w:rPr>
            <w:rStyle w:val="Hyperlink"/>
          </w:rPr>
          <w:t>http://pubs.er.usgs.gov/publication/70028410</w:t>
        </w:r>
      </w:hyperlink>
      <w:r>
        <w:t>&gt;. Accessed 18 Sep 2018.</w:t>
      </w:r>
    </w:p>
    <w:p w14:paraId="7F9EB23C" w14:textId="77777777" w:rsidR="00197B80" w:rsidRDefault="00387E87">
      <w:pPr>
        <w:pStyle w:val="Bibliography"/>
      </w:pPr>
      <w:bookmarkStart w:id="21" w:name="ref-doyle_population_1994"/>
      <w:bookmarkEnd w:id="20"/>
      <w:r>
        <w:t xml:space="preserve">Doyle, F. I., and J. M. N. Smith. 1994. Population </w:t>
      </w:r>
      <w:r>
        <w:t>responses of northern goshawks to the 10-year cycle in numbers of snowshoe hares. Studies in Avian Biology 16:122–129.</w:t>
      </w:r>
    </w:p>
    <w:p w14:paraId="0628B4AA" w14:textId="77777777" w:rsidR="00197B80" w:rsidRDefault="00387E87">
      <w:pPr>
        <w:pStyle w:val="Bibliography"/>
      </w:pPr>
      <w:bookmarkStart w:id="22" w:name="ref-elmhagen_arctic_2000"/>
      <w:bookmarkEnd w:id="21"/>
      <w:r>
        <w:t>Elmhagen, B., M. Tannerfeldt, P. Verucci, and A. Angerbjörn. 2000. The arctic fox (</w:t>
      </w:r>
      <w:r>
        <w:rPr>
          <w:i/>
        </w:rPr>
        <w:t>Alopex lagopus</w:t>
      </w:r>
      <w:r>
        <w:t>): An opportunistic specialist. Journal of Zoology 251:139–149. &lt;</w:t>
      </w:r>
      <w:hyperlink r:id="rId14">
        <w:r>
          <w:rPr>
            <w:rStyle w:val="Hyperlink"/>
          </w:rPr>
          <w:t>http://zslpublications.onlinelibrary.wiley.com/doi/abs/10.1111/j.1469-7998.2000.tb</w:t>
        </w:r>
        <w:r>
          <w:rPr>
            <w:rStyle w:val="Hyperlink"/>
          </w:rPr>
          <w:t>00599.x</w:t>
        </w:r>
      </w:hyperlink>
      <w:r>
        <w:t>&gt;. Accessed 15 Dec 2020.</w:t>
      </w:r>
    </w:p>
    <w:p w14:paraId="62A7A3D0" w14:textId="77777777" w:rsidR="00197B80" w:rsidRDefault="00387E87">
      <w:pPr>
        <w:pStyle w:val="Bibliography"/>
      </w:pPr>
      <w:bookmarkStart w:id="23" w:name="ref-ethier_breeding_1999"/>
      <w:bookmarkEnd w:id="22"/>
      <w:r>
        <w:t>Ethier, T. J. 1999. Breeding Ecology and Habitat of Northern Goshawks (</w:t>
      </w:r>
      <w:r>
        <w:rPr>
          <w:i/>
        </w:rPr>
        <w:t>Accipiter gentilis laingi</w:t>
      </w:r>
      <w:r>
        <w:t>) on Vancouver Island: A Hierarchical Approach. PhD, University of Victoria, Victoria, BC.</w:t>
      </w:r>
    </w:p>
    <w:p w14:paraId="54445C65" w14:textId="77777777" w:rsidR="00197B80" w:rsidRDefault="00387E87">
      <w:pPr>
        <w:pStyle w:val="Bibliography"/>
      </w:pPr>
      <w:bookmarkStart w:id="24" w:name="ref-ferrer_near_2004"/>
      <w:bookmarkEnd w:id="23"/>
      <w:r>
        <w:t>Ferrer, M., and J. J. Negro. 2004. Th</w:t>
      </w:r>
      <w:r>
        <w:t>e Near Extinction of Two Large European Predators: Super Specialists Pay a Price. Conservation Biology 18:344–349. &lt;</w:t>
      </w:r>
      <w:hyperlink r:id="rId15">
        <w:r>
          <w:rPr>
            <w:rStyle w:val="Hyperlink"/>
          </w:rPr>
          <w:t>http://conbio.onlinelibrary.wiley.com/doi/</w:t>
        </w:r>
        <w:r>
          <w:rPr>
            <w:rStyle w:val="Hyperlink"/>
          </w:rPr>
          <w:t>abs/10.1111/j.1523-1739.2004.00096.x</w:t>
        </w:r>
      </w:hyperlink>
      <w:r>
        <w:t>&gt;. Accessed 15 Dec 2020.</w:t>
      </w:r>
    </w:p>
    <w:p w14:paraId="5D9975DE" w14:textId="77777777" w:rsidR="00197B80" w:rsidRDefault="00387E87">
      <w:pPr>
        <w:pStyle w:val="Bibliography"/>
      </w:pPr>
      <w:bookmarkStart w:id="25" w:name="ref-forsman_diets_2004"/>
      <w:bookmarkEnd w:id="24"/>
      <w:r>
        <w:t>Forsman, E. D., R. G. Anthony, E. C. Meslow, and C. J. Zabel. 2004. Diets and Foraging Behavior of Northern Spotted Owls in Oregon. Journal of Raptor Research 38:214–230.</w:t>
      </w:r>
    </w:p>
    <w:p w14:paraId="634BA40E" w14:textId="77777777" w:rsidR="00197B80" w:rsidRDefault="00387E87">
      <w:pPr>
        <w:pStyle w:val="Bibliography"/>
      </w:pPr>
      <w:bookmarkStart w:id="26" w:name="ref-garcia-salgado_evaluation_2015"/>
      <w:bookmarkEnd w:id="25"/>
      <w:r>
        <w:t>García-Salgado, G., S. R</w:t>
      </w:r>
      <w:r>
        <w:t>ebollo, L. Pérez-Camacho, S. Martínez-Hesterkamp, A. Navarro, and J.-M. Fernández-Pereira. 2015. Evaluation of Trail-Cameras for Analyzing the Diet of Nesting Raptors Using the Northern Goshawk as a Model. PLoS ONE 10.</w:t>
      </w:r>
    </w:p>
    <w:p w14:paraId="67E1A831" w14:textId="77777777" w:rsidR="00197B80" w:rsidRDefault="00387E87">
      <w:pPr>
        <w:pStyle w:val="Bibliography"/>
      </w:pPr>
      <w:bookmarkStart w:id="27" w:name="ref-geraldes_population_2018"/>
      <w:bookmarkEnd w:id="26"/>
      <w:r>
        <w:t>Geraldes, A., K. K. Askelson, E. Nike</w:t>
      </w:r>
      <w:r>
        <w:t>lski, F. I. Doyle, W. L. Harrower, K. Winker, and D. E. Irwin. 2018. Population genomic analyses reveal a highly differentiated and endangered genetic cluster of northern goshawks (</w:t>
      </w:r>
      <w:r>
        <w:rPr>
          <w:i/>
        </w:rPr>
        <w:t>Accipiter gentilis laingi</w:t>
      </w:r>
      <w:r>
        <w:t xml:space="preserve">) in Haida Gwaii. Evolutionary Applications 1–16. </w:t>
      </w:r>
      <w:r>
        <w:t>&lt;</w:t>
      </w:r>
      <w:hyperlink r:id="rId16">
        <w:r>
          <w:rPr>
            <w:rStyle w:val="Hyperlink"/>
          </w:rPr>
          <w:t>https://onlinelibrary.wiley.com/doi/abs/10.1111/eva.12754</w:t>
        </w:r>
      </w:hyperlink>
      <w:r>
        <w:t>&gt;. Accessed 15 Jan 2019.</w:t>
      </w:r>
    </w:p>
    <w:p w14:paraId="56FE4A59" w14:textId="77777777" w:rsidR="00197B80" w:rsidRDefault="00387E87">
      <w:pPr>
        <w:pStyle w:val="Bibliography"/>
      </w:pPr>
      <w:bookmarkStart w:id="28" w:name="ref-harrison_using_2019"/>
      <w:bookmarkEnd w:id="27"/>
      <w:r>
        <w:t>Harrison, J. T., M. N. Kochert, B. P. Pauli, and J. A. Heath. 2019. Using Motion-Activated Trail</w:t>
      </w:r>
      <w:r>
        <w:t xml:space="preserve"> Cameras to Study Diet and Producttvity of Cliff-Nesting Golden Eagles. Journal of Raptor Research 53:26–37.</w:t>
      </w:r>
    </w:p>
    <w:p w14:paraId="74771D68" w14:textId="77777777" w:rsidR="00197B80" w:rsidRDefault="00387E87">
      <w:pPr>
        <w:pStyle w:val="Bibliography"/>
      </w:pPr>
      <w:bookmarkStart w:id="29" w:name="ref-hope_simplified_1968"/>
      <w:bookmarkEnd w:id="28"/>
      <w:r>
        <w:t>Hope, A. C. A. 1968. A Simplified Monte Carlo Significance Test Procedure. Journal of the Royal Statistical Society. Series B (Methodological) 30:5</w:t>
      </w:r>
      <w:r>
        <w:t>82–598. &lt;</w:t>
      </w:r>
      <w:hyperlink r:id="rId17">
        <w:r>
          <w:rPr>
            <w:rStyle w:val="Hyperlink"/>
          </w:rPr>
          <w:t>http://www.jstor.org/stable/2984263</w:t>
        </w:r>
      </w:hyperlink>
      <w:r>
        <w:t>&gt;. Accessed 26 Mar 2021.</w:t>
      </w:r>
    </w:p>
    <w:p w14:paraId="18B02043" w14:textId="77777777" w:rsidR="00197B80" w:rsidRDefault="00387E87">
      <w:pPr>
        <w:pStyle w:val="Bibliography"/>
      </w:pPr>
      <w:bookmarkStart w:id="30" w:name="ref-lewis_comparison_2004"/>
      <w:bookmarkEnd w:id="29"/>
      <w:r>
        <w:lastRenderedPageBreak/>
        <w:t>Lewis, S. B., M. R. Fuller, and K. Titus. 2004. A Comparison of 3 Methods for Assessing Raptor Diet during the Breeding Season. Wildlife Society Bulletin 32:373–385. &lt;</w:t>
      </w:r>
      <w:hyperlink r:id="rId18">
        <w:r>
          <w:rPr>
            <w:rStyle w:val="Hyperlink"/>
          </w:rPr>
          <w:t>http://www.jstor.org/stable/378497</w:t>
        </w:r>
        <w:r>
          <w:rPr>
            <w:rStyle w:val="Hyperlink"/>
          </w:rPr>
          <w:t>8</w:t>
        </w:r>
      </w:hyperlink>
      <w:r>
        <w:t>&gt;. Accessed 17 Sep 2018.</w:t>
      </w:r>
    </w:p>
    <w:p w14:paraId="37D25905" w14:textId="77777777" w:rsidR="00197B80" w:rsidRDefault="00387E87">
      <w:pPr>
        <w:pStyle w:val="Bibliography"/>
      </w:pPr>
      <w:bookmarkStart w:id="31" w:name="ref-lewis_northern_2006"/>
      <w:bookmarkEnd w:id="30"/>
      <w:r>
        <w:t>Lewis, S. B., K. Titus, and M. R. Fuller. 2006. Northern goshawk diet during the nesting season in southeast Alaska. The Journal of Wildlife Management 70:1151–1160. &lt;</w:t>
      </w:r>
      <w:hyperlink r:id="rId19">
        <w:r>
          <w:rPr>
            <w:rStyle w:val="Hyperlink"/>
          </w:rPr>
          <w:t>https://onlinelibrary.wiley.com/doi/abs/10.2193/0022-541X%282006%2970%5B1151%3ANGDDTN%5D2.0.CO%3B2</w:t>
        </w:r>
      </w:hyperlink>
      <w:r>
        <w:t>&gt;. Accessed 4 Sep 2018.</w:t>
      </w:r>
    </w:p>
    <w:p w14:paraId="1BADF4E1" w14:textId="77777777" w:rsidR="00197B80" w:rsidRDefault="00387E87">
      <w:pPr>
        <w:pStyle w:val="Bibliography"/>
      </w:pPr>
      <w:bookmarkStart w:id="32" w:name="ref-mcclaren_northern_2005"/>
      <w:bookmarkEnd w:id="31"/>
      <w:r>
        <w:t>McClaren, E. L. 2005. Northern Goshawk (</w:t>
      </w:r>
      <w:r>
        <w:rPr>
          <w:i/>
        </w:rPr>
        <w:t>Accipiter gentilis laingi</w:t>
      </w:r>
      <w:r>
        <w:t>) population i</w:t>
      </w:r>
      <w:r>
        <w:t>nventory summary for Vancouver Island, British Columbia 1994-2002. Ministry of Environment, Victoria, BC.</w:t>
      </w:r>
    </w:p>
    <w:p w14:paraId="7B9809F7" w14:textId="77777777" w:rsidR="00197B80" w:rsidRDefault="00387E87">
      <w:pPr>
        <w:pStyle w:val="Bibliography"/>
      </w:pPr>
      <w:bookmarkStart w:id="33" w:name="ref-mcclaren_northern_2002"/>
      <w:bookmarkEnd w:id="32"/>
      <w:r>
        <w:t>McClaren, E. L., P. L. Kennedy, and S. R. Dewey. 2002. Do some northern goshawk nest areas consistently fledge more young than others? The Condor 104:</w:t>
      </w:r>
      <w:r>
        <w:t>343–352. &lt;</w:t>
      </w:r>
      <w:hyperlink r:id="rId20">
        <w:r>
          <w:rPr>
            <w:rStyle w:val="Hyperlink"/>
          </w:rPr>
          <w:t>http://www.jstor.org/stable/1370036</w:t>
        </w:r>
      </w:hyperlink>
      <w:r>
        <w:t>&gt;. Accessed 30 Apr 2019.</w:t>
      </w:r>
    </w:p>
    <w:p w14:paraId="12C34BB5" w14:textId="77777777" w:rsidR="00197B80" w:rsidRDefault="00387E87">
      <w:pPr>
        <w:pStyle w:val="Bibliography"/>
      </w:pPr>
      <w:bookmarkStart w:id="34" w:name="ref-meidinger_ecosystems_1991"/>
      <w:bookmarkEnd w:id="33"/>
      <w:r>
        <w:t>Meidinger, D., and J. Pojar. 1991. Ecosystems of British Columbia. Ministry of Forests, Victoria, BC.</w:t>
      </w:r>
    </w:p>
    <w:p w14:paraId="693C25B5" w14:textId="77777777" w:rsidR="00197B80" w:rsidRDefault="00387E87">
      <w:pPr>
        <w:pStyle w:val="Bibliography"/>
      </w:pPr>
      <w:bookmarkStart w:id="35" w:name="ref-miller_effects_2014"/>
      <w:bookmarkEnd w:id="34"/>
      <w:r>
        <w:t>Miller, R. A., J. D. Carlisle</w:t>
      </w:r>
      <w:r>
        <w:t>, and M. J. Bechard. 2014. Effects of prey abundance on breeding season diet of northern goshawks (</w:t>
      </w:r>
      <w:r>
        <w:rPr>
          <w:i/>
        </w:rPr>
        <w:t>Accipiter gentilis</w:t>
      </w:r>
      <w:r>
        <w:t>) within an unusual prey landscape. Journal of Raptor Research 48:1–12. &lt;</w:t>
      </w:r>
      <w:hyperlink r:id="rId21">
        <w:r>
          <w:rPr>
            <w:rStyle w:val="Hyperlink"/>
          </w:rPr>
          <w:t>http://www.bioone.org.proxy.lib.sfu.ca/doi/abs/10.3356/0892-1016-48.1.1</w:t>
        </w:r>
      </w:hyperlink>
      <w:r>
        <w:t>&gt;. Accessed 2 Oct 2018.</w:t>
      </w:r>
    </w:p>
    <w:p w14:paraId="437F917B" w14:textId="77777777" w:rsidR="00197B80" w:rsidRDefault="00387E87">
      <w:pPr>
        <w:pStyle w:val="Bibliography"/>
      </w:pPr>
      <w:bookmarkStart w:id="36" w:name="ref-nagorsen_identification_2002"/>
      <w:bookmarkEnd w:id="35"/>
      <w:r>
        <w:t xml:space="preserve">Nagorsen, D., W. 2002. An Identification Manual to the Small Mammals of British Columbia. British Columbia Ministry of Water, Land; Air </w:t>
      </w:r>
      <w:r>
        <w:t>Protection, Biodiversity Branch, Victoria, BC.</w:t>
      </w:r>
    </w:p>
    <w:p w14:paraId="0FFCF7C6" w14:textId="77777777" w:rsidR="00197B80" w:rsidRDefault="00387E87">
      <w:pPr>
        <w:pStyle w:val="Bibliography"/>
      </w:pPr>
      <w:bookmarkStart w:id="37" w:name="ref-newton_population_1998"/>
      <w:bookmarkEnd w:id="36"/>
      <w:r>
        <w:t>Newton, I. 1998. Population Limitation in Birds. Academic Press, San Diego.</w:t>
      </w:r>
    </w:p>
    <w:p w14:paraId="76BA2378" w14:textId="77777777" w:rsidR="00197B80" w:rsidRDefault="00387E87">
      <w:pPr>
        <w:pStyle w:val="Bibliography"/>
      </w:pPr>
      <w:bookmarkStart w:id="38" w:name="ref-resanomayor_dietdemography_2016"/>
      <w:bookmarkEnd w:id="37"/>
      <w:r>
        <w:t>Resano‐Mayor, J., J. Real, M. Moleón, J. A. Sánchez‐Zapata, L. Palma, and A. Hernández‐Matías. 2016. Diet–demography relationships in</w:t>
      </w:r>
      <w:r>
        <w:t xml:space="preserve"> a long‐lived predator: From territories to populations. Oikos 125:262–270. &lt;</w:t>
      </w:r>
      <w:hyperlink r:id="rId22">
        <w:r>
          <w:rPr>
            <w:rStyle w:val="Hyperlink"/>
          </w:rPr>
          <w:t>https://onlinelibrary-wiley-com.proxy.lib.sfu.ca/doi/10.1111/oik.02468</w:t>
        </w:r>
      </w:hyperlink>
      <w:r>
        <w:t xml:space="preserve">&gt;. Accessed 14 Dec </w:t>
      </w:r>
      <w:r>
        <w:t>2020.</w:t>
      </w:r>
    </w:p>
    <w:p w14:paraId="5DEFA9CE" w14:textId="77777777" w:rsidR="00197B80" w:rsidRDefault="00387E87">
      <w:pPr>
        <w:pStyle w:val="Bibliography"/>
      </w:pPr>
      <w:bookmarkStart w:id="39" w:name="ref-reynolds_review_2006"/>
      <w:bookmarkEnd w:id="38"/>
      <w:r>
        <w:t>Reynolds, R. T., J. D. Wiens, and S. R. Salafsky. 2006. A Review and Evaluation of Factors Limiting Northern Goshawk Populations. Studies in Avian Biology 31:260–273.</w:t>
      </w:r>
    </w:p>
    <w:p w14:paraId="4E521D60" w14:textId="77777777" w:rsidR="00197B80" w:rsidRDefault="00387E87">
      <w:pPr>
        <w:pStyle w:val="Bibliography"/>
      </w:pPr>
      <w:bookmarkStart w:id="40" w:name="ref-rogers_diet_2006"/>
      <w:bookmarkEnd w:id="39"/>
      <w:r>
        <w:t>Rogers, A. S., S. DeStefano, and M. F. Ingraldi. 2006. Diet. Prey delivery rates, a</w:t>
      </w:r>
      <w:r>
        <w:t>nd prey biomass of northern goshawks in east-central Arizona. Studies in Avian Biology 31:221–229.</w:t>
      </w:r>
    </w:p>
    <w:p w14:paraId="3F3DC80A" w14:textId="77777777" w:rsidR="00197B80" w:rsidRDefault="00387E87">
      <w:pPr>
        <w:pStyle w:val="Bibliography"/>
      </w:pPr>
      <w:bookmarkStart w:id="41" w:name="ref-rutz_food-limitation_2006"/>
      <w:bookmarkEnd w:id="40"/>
      <w:r>
        <w:t>Rutz, C., and R. G. Bijlsma. 2006. Food-Limitation in a Generalist Predator. Proceedings: Biological Sciences 273:2069–2076. &lt;</w:t>
      </w:r>
      <w:hyperlink r:id="rId23">
        <w:r>
          <w:rPr>
            <w:rStyle w:val="Hyperlink"/>
          </w:rPr>
          <w:t>http://www.jstor.org/stable/25223567</w:t>
        </w:r>
      </w:hyperlink>
      <w:r>
        <w:t>&gt;. Accessed 2 Apr 2021.</w:t>
      </w:r>
    </w:p>
    <w:p w14:paraId="402FEB25" w14:textId="77777777" w:rsidR="00197B80" w:rsidRDefault="00387E87">
      <w:pPr>
        <w:pStyle w:val="Bibliography"/>
      </w:pPr>
      <w:bookmarkStart w:id="42" w:name="ref-rutz_population_2006"/>
      <w:bookmarkEnd w:id="41"/>
      <w:r>
        <w:lastRenderedPageBreak/>
        <w:t>Rutz, C., R. G. Bijlsma, M. Marquiss, and R. E. Kenward. 2006. Population limitation in the Northern Goshawk in Europe: A review with case studies. Studies in Avian Biology 31:158–197.</w:t>
      </w:r>
    </w:p>
    <w:p w14:paraId="095CB72C" w14:textId="77777777" w:rsidR="00197B80" w:rsidRDefault="00387E87">
      <w:pPr>
        <w:pStyle w:val="Bibliography"/>
      </w:pPr>
      <w:bookmarkStart w:id="43" w:name="ref-salafsky_reproductive_2007"/>
      <w:bookmarkEnd w:id="42"/>
      <w:r>
        <w:t>Salafsky, S. R., R. T. Reynolds, B. R. Noon, and J. A. Wiens. 2007. Rep</w:t>
      </w:r>
      <w:r>
        <w:t>roductive Responses of Northern Goshawks to Variable Prey Populations. The Journal of Wildlife Management 71:2274–2283. &lt;</w:t>
      </w:r>
      <w:hyperlink r:id="rId24">
        <w:r>
          <w:rPr>
            <w:rStyle w:val="Hyperlink"/>
          </w:rPr>
          <w:t>http://wildlife.onlinelibrary.wiley.com/doi/abs/10.</w:t>
        </w:r>
        <w:r>
          <w:rPr>
            <w:rStyle w:val="Hyperlink"/>
          </w:rPr>
          <w:t>2193/2006-357</w:t>
        </w:r>
      </w:hyperlink>
      <w:r>
        <w:t>&gt;. Accessed 3 Sep 2020.</w:t>
      </w:r>
    </w:p>
    <w:p w14:paraId="44EBC676" w14:textId="77777777" w:rsidR="00197B80" w:rsidRDefault="00387E87">
      <w:pPr>
        <w:pStyle w:val="Bibliography"/>
      </w:pPr>
      <w:bookmarkStart w:id="44" w:name="ref-simmons_biases_1991"/>
      <w:bookmarkEnd w:id="43"/>
      <w:r>
        <w:t>Simmons, R., D. M. Avery, and G. Avery. 1991. Biases in diets determined from pellets and remains: Correction factors for a mammal and bird-eating raptor. Journal of Raptor Research 25:63–67.</w:t>
      </w:r>
    </w:p>
    <w:p w14:paraId="24296E8B" w14:textId="77777777" w:rsidR="00197B80" w:rsidRDefault="00387E87">
      <w:pPr>
        <w:pStyle w:val="Bibliography"/>
      </w:pPr>
      <w:bookmarkStart w:id="45" w:name="ref-simpson_measurement_1949"/>
      <w:bookmarkEnd w:id="44"/>
      <w:r>
        <w:t>Simpson, E. H. 1949. Measur</w:t>
      </w:r>
      <w:r>
        <w:t>ement of Diversity. Nature 163:688–688. &lt;</w:t>
      </w:r>
      <w:hyperlink r:id="rId25">
        <w:r>
          <w:rPr>
            <w:rStyle w:val="Hyperlink"/>
          </w:rPr>
          <w:t>http://www.nature.com/articles/163688a0</w:t>
        </w:r>
      </w:hyperlink>
      <w:r>
        <w:t>&gt;. Accessed 30 Dec 2020.</w:t>
      </w:r>
    </w:p>
    <w:p w14:paraId="64827D85" w14:textId="77777777" w:rsidR="00197B80" w:rsidRDefault="00387E87">
      <w:pPr>
        <w:pStyle w:val="Bibliography"/>
      </w:pPr>
      <w:bookmarkStart w:id="46" w:name="ref-sonsthagen_identification_2012"/>
      <w:bookmarkEnd w:id="45"/>
      <w:r>
        <w:t>Sonsthagen, S. A., E. L. McClaren, F. I. Doyle, K. Titus, G. K. Sage, R. E. Wilson, J. R. Gu</w:t>
      </w:r>
      <w:r>
        <w:t>st, and S. L. Talbot. 2012. Identification of metapopulation dynamics among Northern Goshawks of the Alexander Archipelago, Alaska, and Coastal British Columbia. Conservation Genetics 13:1045–1057. &lt;</w:t>
      </w:r>
      <w:hyperlink r:id="rId26">
        <w:r>
          <w:rPr>
            <w:rStyle w:val="Hyperlink"/>
          </w:rPr>
          <w:t>https://doi.org/10.1007/s10592-012-0352-z</w:t>
        </w:r>
      </w:hyperlink>
      <w:r>
        <w:t>&gt;. Accessed 2 Oct 2018.</w:t>
      </w:r>
    </w:p>
    <w:p w14:paraId="7D164BE7" w14:textId="77777777" w:rsidR="00197B80" w:rsidRDefault="00387E87">
      <w:pPr>
        <w:pStyle w:val="Bibliography"/>
      </w:pPr>
      <w:bookmarkStart w:id="47" w:name="ref-squires_northern_2020"/>
      <w:bookmarkEnd w:id="46"/>
      <w:r>
        <w:t>Squires, J. R., R. T. Reynolds, J. Orta, and J. S. Marks. 2020. Northern Goshawk (Accipiter gentilis). S. M. Billerman, editor. Birds of the World. version 1.0. Cornell Lab of Ornithology</w:t>
      </w:r>
      <w:r>
        <w:t>, Ithaca, NY, USA. &lt;</w:t>
      </w:r>
      <w:hyperlink r:id="rId27">
        <w:r>
          <w:rPr>
            <w:rStyle w:val="Hyperlink"/>
          </w:rPr>
          <w:t>https://doi-org.proxy.lib.sfu.ca/10.2173/bow.norgos.01</w:t>
        </w:r>
      </w:hyperlink>
      <w:r>
        <w:t>&gt;. Accessed 9 Nov 2020.</w:t>
      </w:r>
    </w:p>
    <w:p w14:paraId="5B6ACF08" w14:textId="77777777" w:rsidR="00197B80" w:rsidRDefault="00387E87">
      <w:pPr>
        <w:pStyle w:val="Bibliography"/>
      </w:pPr>
      <w:bookmarkStart w:id="48" w:name="ref-steenhof_dietary_1988"/>
      <w:bookmarkEnd w:id="47"/>
      <w:r>
        <w:t xml:space="preserve">Steenhof, K., and M. N. Kochert. 1988. Dietary responses of three raptor species to </w:t>
      </w:r>
      <w:r>
        <w:t>changing prey densities in a natural environment. Journal of Animal Ecology 57:37–48. &lt;</w:t>
      </w:r>
      <w:hyperlink r:id="rId28">
        <w:r>
          <w:rPr>
            <w:rStyle w:val="Hyperlink"/>
          </w:rPr>
          <w:t>http://www.jstor.org/stable/4761</w:t>
        </w:r>
      </w:hyperlink>
      <w:r>
        <w:t>&gt;. Accessed 1 Apr 2019.</w:t>
      </w:r>
    </w:p>
    <w:p w14:paraId="2B955853" w14:textId="77777777" w:rsidR="00197B80" w:rsidRDefault="00387E87">
      <w:pPr>
        <w:pStyle w:val="Bibliography"/>
      </w:pPr>
      <w:bookmarkStart w:id="49" w:name="ref-stier_ecosystem_2016"/>
      <w:bookmarkEnd w:id="48"/>
      <w:r>
        <w:t>Stier, A. C., J. F. Samhouri, M. Novak, K. N. Marshall, E. J.</w:t>
      </w:r>
      <w:r>
        <w:t xml:space="preserve"> Ward, R. D. Holt, and P. S. Levin. 2016. Ecosystem context and historical contingency in apex predator recoveries. Science Advances 2:e1501769. &lt;</w:t>
      </w:r>
      <w:hyperlink r:id="rId29">
        <w:r>
          <w:rPr>
            <w:rStyle w:val="Hyperlink"/>
          </w:rPr>
          <w:t>https://advances-scie</w:t>
        </w:r>
        <w:r>
          <w:rPr>
            <w:rStyle w:val="Hyperlink"/>
          </w:rPr>
          <w:t>ncemag-org.proxy.lib.sfu.ca/content/2/5/e1501769</w:t>
        </w:r>
      </w:hyperlink>
      <w:r>
        <w:t>&gt;. Accessed 2 Apr 2021.</w:t>
      </w:r>
    </w:p>
    <w:p w14:paraId="1B6A29A4" w14:textId="77777777" w:rsidR="00197B80" w:rsidRDefault="00387E87">
      <w:pPr>
        <w:pStyle w:val="Bibliography"/>
      </w:pPr>
      <w:bookmarkStart w:id="50" w:name="ref-taverner_variation_1940"/>
      <w:bookmarkEnd w:id="49"/>
      <w:r>
        <w:t>Taverner, P. A. 1940. Variation in the American Goshawk. The Condor 42:157–160. &lt;</w:t>
      </w:r>
      <w:hyperlink r:id="rId30">
        <w:r>
          <w:rPr>
            <w:rStyle w:val="Hyperlink"/>
          </w:rPr>
          <w:t>https://academic.oup.com/co</w:t>
        </w:r>
        <w:r>
          <w:rPr>
            <w:rStyle w:val="Hyperlink"/>
          </w:rPr>
          <w:t>ndor/article/42/3/157/5251119</w:t>
        </w:r>
      </w:hyperlink>
      <w:r>
        <w:t>&gt;. Accessed 9 Nov 2020.</w:t>
      </w:r>
    </w:p>
    <w:p w14:paraId="52CC48FA" w14:textId="77777777" w:rsidR="00197B80" w:rsidRDefault="00387E87">
      <w:pPr>
        <w:pStyle w:val="Bibliography"/>
      </w:pPr>
      <w:bookmarkStart w:id="51" w:name="X0ce527dd4fcd6d89ceaf020f33dffa6f8d3790f"/>
      <w:bookmarkEnd w:id="50"/>
      <w:r>
        <w:t>Team, N. G. R. 2008. Recovery strategy for the Northern Goshawk, laingi subspecies (Accipiter gentilis laingi) in British Columbia. B.C. Ministry of Environment, Victoria, BC. &lt;</w:t>
      </w:r>
      <w:hyperlink r:id="rId31">
        <w:r>
          <w:rPr>
            <w:rStyle w:val="Hyperlink"/>
          </w:rPr>
          <w:t>http://a100.gov.bc.ca/pub/eirs/viewDocumentDetail.do?fromStatic=true&amp;repository=BDP&amp;documentId=7811</w:t>
        </w:r>
      </w:hyperlink>
      <w:r>
        <w:t>&gt;.</w:t>
      </w:r>
    </w:p>
    <w:p w14:paraId="021874D8" w14:textId="77777777" w:rsidR="00197B80" w:rsidRDefault="00387E87">
      <w:pPr>
        <w:pStyle w:val="Bibliography"/>
      </w:pPr>
      <w:bookmarkStart w:id="52" w:name="ref-r_core_team_r_2020"/>
      <w:bookmarkEnd w:id="51"/>
      <w:r>
        <w:lastRenderedPageBreak/>
        <w:t>Team, R. C. 2020. R: A language and environment for statistic</w:t>
      </w:r>
      <w:r>
        <w:t>al computing. R Foundation for Statistical Computing, Vienna. Austria. &lt;</w:t>
      </w:r>
      <w:hyperlink r:id="rId32">
        <w:r>
          <w:rPr>
            <w:rStyle w:val="Hyperlink"/>
          </w:rPr>
          <w:t>https://www.R-project.org/</w:t>
        </w:r>
      </w:hyperlink>
      <w:r>
        <w:t>&gt;.</w:t>
      </w:r>
    </w:p>
    <w:p w14:paraId="7F4723A9" w14:textId="77777777" w:rsidR="00197B80" w:rsidRDefault="00387E87">
      <w:pPr>
        <w:pStyle w:val="Bibliography"/>
      </w:pPr>
      <w:bookmarkStart w:id="53" w:name="ref-terraube_factors_2011"/>
      <w:bookmarkEnd w:id="52"/>
      <w:r>
        <w:t>Terraube, J., and B. Arroyo. 2011. Factors influencing diet variation in a generalist predator across its ran</w:t>
      </w:r>
      <w:r>
        <w:t>ge distribution. Biodiversity and Conservation 20:2111–2131. &lt;</w:t>
      </w:r>
      <w:hyperlink r:id="rId33">
        <w:r>
          <w:rPr>
            <w:rStyle w:val="Hyperlink"/>
          </w:rPr>
          <w:t>https://doi.org/10.1007/s10531-011-0077-1</w:t>
        </w:r>
      </w:hyperlink>
      <w:r>
        <w:t>&gt;. Accessed 29 Apr 2019.</w:t>
      </w:r>
    </w:p>
    <w:p w14:paraId="672FF624" w14:textId="77777777" w:rsidR="00197B80" w:rsidRDefault="00387E87">
      <w:pPr>
        <w:pStyle w:val="Bibliography"/>
      </w:pPr>
      <w:bookmarkStart w:id="54" w:name="ref-thrailkill_diet_2000"/>
      <w:bookmarkEnd w:id="53"/>
      <w:r>
        <w:t>Thrailkill, J. A., L. S. Andrews, and R. M. Claremont. 2000. Diet o</w:t>
      </w:r>
      <w:r>
        <w:t>f Breeding Northern Goshawks in the Coast Range of Oregon. Journal of Raptor Research 34:339–340.</w:t>
      </w:r>
    </w:p>
    <w:p w14:paraId="3602BBA4" w14:textId="77777777" w:rsidR="00197B80" w:rsidRDefault="00387E87">
      <w:pPr>
        <w:pStyle w:val="Bibliography"/>
      </w:pPr>
      <w:bookmarkStart w:id="55" w:name="ref-tornberg_delayed_2005"/>
      <w:bookmarkEnd w:id="54"/>
      <w:r>
        <w:t>Tornberg, R., E. Korpimäki, S. Jungell, and V. Reif. 2005. Delayed numerical response of goshawks to population fluctuations of forest grouse. Oikos 111:408–4</w:t>
      </w:r>
      <w:r>
        <w:t>15.</w:t>
      </w:r>
    </w:p>
    <w:p w14:paraId="21E54006" w14:textId="77777777" w:rsidR="00197B80" w:rsidRDefault="00387E87">
      <w:pPr>
        <w:pStyle w:val="Bibliography"/>
      </w:pPr>
      <w:bookmarkStart w:id="56" w:name="ref-tornberg_assessing_2007"/>
      <w:bookmarkEnd w:id="55"/>
      <w:r>
        <w:t>Tornberg, R., and V. Reif. 2007. Assessing the diet of birds of prey: A comparison of prey items found in nests and images. Ornis Fennica 84:21–31.</w:t>
      </w:r>
    </w:p>
    <w:p w14:paraId="72D5D78E" w14:textId="77777777" w:rsidR="00197B80" w:rsidRDefault="00387E87">
      <w:pPr>
        <w:pStyle w:val="Bibliography"/>
      </w:pPr>
      <w:bookmarkStart w:id="57" w:name="ref-watson_prey_1998"/>
      <w:bookmarkEnd w:id="56"/>
      <w:r>
        <w:t>Watson, J. W., D. W. Hays, S. P. Finn, and P. Meehan. 1998. Prey of breeding northern goshawks in Washin</w:t>
      </w:r>
      <w:r>
        <w:t>gton. Journal of Raptor Research 32:397–305.</w:t>
      </w:r>
      <w:bookmarkEnd w:id="15"/>
      <w:bookmarkEnd w:id="57"/>
    </w:p>
    <w:sectPr w:rsidR="00197B80" w:rsidSect="008B52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3879" w14:textId="77777777" w:rsidR="00387E87" w:rsidRDefault="00387E87">
      <w:pPr>
        <w:spacing w:after="0"/>
      </w:pPr>
      <w:r>
        <w:separator/>
      </w:r>
    </w:p>
  </w:endnote>
  <w:endnote w:type="continuationSeparator" w:id="0">
    <w:p w14:paraId="27D08AC8" w14:textId="77777777" w:rsidR="00387E87" w:rsidRDefault="00387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17BC" w14:textId="77777777" w:rsidR="00387E87" w:rsidRDefault="00387E87">
      <w:r>
        <w:separator/>
      </w:r>
    </w:p>
  </w:footnote>
  <w:footnote w:type="continuationSeparator" w:id="0">
    <w:p w14:paraId="64E3CDE7" w14:textId="77777777" w:rsidR="00387E87" w:rsidRDefault="0038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52B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8693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9EEC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82EF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9A5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5243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4AE8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8428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2EE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242A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7B80"/>
    <w:rsid w:val="00387E87"/>
    <w:rsid w:val="004E29B3"/>
    <w:rsid w:val="00590D07"/>
    <w:rsid w:val="0078405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92EA"/>
  <w15:docId w15:val="{F76AA409-172A-4C6A-BFFB-7B3F3DB9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er.usgs.gov/publication/70028410" TargetMode="External"/><Relationship Id="rId18" Type="http://schemas.openxmlformats.org/officeDocument/2006/relationships/hyperlink" Target="http://www.jstor.org/stable/3784978" TargetMode="External"/><Relationship Id="rId26" Type="http://schemas.openxmlformats.org/officeDocument/2006/relationships/hyperlink" Target="https://doi.org/10.1007/s10592-012-0352-z" TargetMode="External"/><Relationship Id="rId3" Type="http://schemas.openxmlformats.org/officeDocument/2006/relationships/settings" Target="settings.xml"/><Relationship Id="rId21" Type="http://schemas.openxmlformats.org/officeDocument/2006/relationships/hyperlink" Target="http://www.bioone.org.proxy.lib.sfu.ca/doi/abs/10.3356/0892-1016-48.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araregistry.gc.ca/virtual_sara/files/cosewic/sr_autour%20_palombes_northern_goshawk_1213_e.pdf" TargetMode="External"/><Relationship Id="rId17" Type="http://schemas.openxmlformats.org/officeDocument/2006/relationships/hyperlink" Target="http://www.jstor.org/stable/2984263" TargetMode="External"/><Relationship Id="rId25" Type="http://schemas.openxmlformats.org/officeDocument/2006/relationships/hyperlink" Target="http://www.nature.com/articles/163688a0"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onlinelibrary.wiley.com/doi/abs/10.1111/eva.12754" TargetMode="External"/><Relationship Id="rId20" Type="http://schemas.openxmlformats.org/officeDocument/2006/relationships/hyperlink" Target="http://www.jstor.org/stable/1370036" TargetMode="External"/><Relationship Id="rId29" Type="http://schemas.openxmlformats.org/officeDocument/2006/relationships/hyperlink" Target="https://advances-sciencemag-org.proxy.lib.sfu.ca/content/2/5/e1501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oftheworld-org.proxy.lib.sfu.ca/bow/home" TargetMode="External"/><Relationship Id="rId24" Type="http://schemas.openxmlformats.org/officeDocument/2006/relationships/hyperlink" Target="http://wildlife.onlinelibrary.wiley.com/doi/abs/10.2193/2006-357"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conbio.onlinelibrary.wiley.com/doi/abs/10.1111/j.1523-1739.2004.00096.x" TargetMode="External"/><Relationship Id="rId23" Type="http://schemas.openxmlformats.org/officeDocument/2006/relationships/hyperlink" Target="http://www.jstor.org/stable/25223567" TargetMode="External"/><Relationship Id="rId28" Type="http://schemas.openxmlformats.org/officeDocument/2006/relationships/hyperlink" Target="http://www.jstor.org/stable/4761" TargetMode="External"/><Relationship Id="rId10" Type="http://schemas.openxmlformats.org/officeDocument/2006/relationships/image" Target="media/image4.png"/><Relationship Id="rId19" Type="http://schemas.openxmlformats.org/officeDocument/2006/relationships/hyperlink" Target="https://onlinelibrary.wiley.com/doi/abs/10.2193/0022-541X%282006%2970%5B1151%3ANGDDTN%5D2.0.CO%3B2" TargetMode="External"/><Relationship Id="rId31" Type="http://schemas.openxmlformats.org/officeDocument/2006/relationships/hyperlink" Target="http://a100.gov.bc.ca/pub/eirs/viewDocumentDetail.do?fromStatic=true&amp;repository=BDP&amp;documentId=78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slpublications.onlinelibrary.wiley.com/doi/abs/10.1111/j.1469-7998.2000.tb00599.x" TargetMode="External"/><Relationship Id="rId22" Type="http://schemas.openxmlformats.org/officeDocument/2006/relationships/hyperlink" Target="https://onlinelibrary-wiley-com.proxy.lib.sfu.ca/doi/10.1111/oik.02468" TargetMode="External"/><Relationship Id="rId27" Type="http://schemas.openxmlformats.org/officeDocument/2006/relationships/hyperlink" Target="https://doi-org.proxy.lib.sfu.ca/10.2173/bow.norgos.01" TargetMode="External"/><Relationship Id="rId30" Type="http://schemas.openxmlformats.org/officeDocument/2006/relationships/hyperlink" Target="https://academic.oup.com/condor/article/42/3/157/5251119"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6470</Words>
  <Characters>36881</Characters>
  <Application>Microsoft Office Word</Application>
  <DocSecurity>0</DocSecurity>
  <Lines>307</Lines>
  <Paragraphs>86</Paragraphs>
  <ScaleCrop>false</ScaleCrop>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Gwyn Case</dc:creator>
  <cp:keywords/>
  <cp:lastModifiedBy>Gwyn Case</cp:lastModifiedBy>
  <cp:revision>2</cp:revision>
  <dcterms:created xsi:type="dcterms:W3CDTF">2021-05-21T17:15:00Z</dcterms:created>
  <dcterms:modified xsi:type="dcterms:W3CDTF">2021-05-21T17:15:00Z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
  </property>
</Properties>
</file>