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PHASE 5 – PROJECT DEVELOPMENT</w:t>
      </w:r>
    </w:p>
    <w:p>
      <w:pPr>
        <w:jc w:val="center"/>
      </w:pPr>
      <w:r>
        <w:rPr>
          <w:b/>
          <w:sz w:val="30"/>
        </w:rPr>
        <w:t>AI FitTrack API</w:t>
      </w:r>
    </w:p>
    <w:p>
      <w:pPr>
        <w:jc w:val="center"/>
      </w:pPr>
      <w:r>
        <w:rPr>
          <w:b/>
          <w:sz w:val="26"/>
        </w:rPr>
        <w:t>5.2 CODE-LAYOUT, READABILITY AND REUSABILITY</w:t>
      </w:r>
    </w:p>
    <w:p/>
    <w:p>
      <w:pPr>
        <w:pStyle w:val="Heading1"/>
      </w:pPr>
      <w:r>
        <w:t>Project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AI FitTrack API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Team No.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[Add your team number]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Team Leader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Gwyneth Krizane Wingell (24bsccs45@cttewc.edu.in)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Team Members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Abitha P (24bsccs09@cttewc.edu.in)</w:t>
              <w:br/>
              <w:t>Kamali S (24bsccs07@cttewc.edu.in)</w:t>
              <w:br/>
              <w:t>Afrin Asima R (24bsccs10@cttewc.edu.in)</w:t>
            </w:r>
          </w:p>
        </w:tc>
      </w:tr>
    </w:tbl>
    <w:p/>
    <w:p>
      <w:pPr>
        <w:pStyle w:val="Heading1"/>
      </w:pPr>
      <w:r>
        <w:t>Code Layout and Readability Checklist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Status (Yes/No)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Proper project folder structure is maintained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Files are organized according to their purpose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Meaningful file and folder names are used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Consistent coding style is followed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Proper indentation is maintained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Functions are kept modular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Code comments are used where necessary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Unnecessary repetition is avoided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Error handling is included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Code is easy to understand and maintain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</w:tbl>
    <w:p/>
    <w:p>
      <w:pPr>
        <w:pStyle w:val="Heading1"/>
      </w:pPr>
      <w:r>
        <w:t>Project Folder Structure</w:t>
      </w:r>
    </w:p>
    <w:p>
      <w:r>
        <w:rPr>
          <w:rFonts w:ascii="Consolas" w:hAnsi="Consolas"/>
        </w:rPr>
        <w:t>src/</w:t>
        <w:br/>
        <w:t>├── config/</w:t>
        <w:br/>
        <w:t>├── controllers/</w:t>
        <w:br/>
        <w:t>├── middleware/</w:t>
        <w:br/>
        <w:t>├── models/</w:t>
        <w:br/>
        <w:t>├── routes/</w:t>
        <w:br/>
        <w:t>├── services/</w:t>
        <w:br/>
        <w:t>├── app.js</w:t>
        <w:br/>
        <w:t>└── server.js</w:t>
        <w:br/>
        <w:br/>
        <w:t>.env</w:t>
        <w:br/>
        <w:t>.env.example</w:t>
        <w:br/>
        <w:t>.gitignore</w:t>
        <w:br/>
        <w:t>package.json</w:t>
        <w:br/>
        <w:t>package-lock.json</w:t>
        <w:br/>
        <w:t>FitTrack.postman_collection.json</w:t>
        <w:br/>
        <w:t>README.md</w:t>
      </w:r>
    </w:p>
    <w:p>
      <w:pPr>
        <w:pStyle w:val="Heading1"/>
      </w:pPr>
      <w:r>
        <w:t>Reusable Components / Modules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S.no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Component / Module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Purpose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/>
                <w:sz w:val="20"/>
              </w:rPr>
              <w:t>Reusable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1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API Routes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Defines and organizes authentication, workout and AI API endpoints.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2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Database Module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Handles the MongoDB connection and database configuration.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3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Authentication Module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Manages user authentication and authorization through controllers and middleware.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Workout Module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Handles creation, retrieval and management of workout records.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5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AI Service Module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Handles communication with the Gemini API for workout recommendations and fitness insights.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  <w:tr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6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Error Handling Middleware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Provides centralized handling of application and API errors.</w:t>
            </w:r>
          </w:p>
        </w:tc>
        <w:tc>
          <w:tcPr>
            <w:tcW w:type="dxa" w:w="2520"/>
            <w:vAlign w:val="center"/>
          </w:tcPr>
          <w:p>
            <w:r/>
            <w:r>
              <w:rPr>
                <w:b w:val="0"/>
                <w:sz w:val="20"/>
              </w:rPr>
              <w:t>Yes</w:t>
            </w:r>
          </w:p>
        </w:tc>
      </w:tr>
    </w:tbl>
    <w:p/>
    <w:p>
      <w:pPr>
        <w:pStyle w:val="Heading1"/>
      </w:pPr>
      <w:r>
        <w:t>Overall Code Quality Assessment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Criteria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/>
                <w:sz w:val="20"/>
              </w:rPr>
              <w:t>Rating (1–5)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Readability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Maintainability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Modularity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Reusability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Error Handling</w:t>
            </w:r>
          </w:p>
        </w:tc>
        <w:tc>
          <w:tcPr>
            <w:tcW w:type="dxa" w:w="5040"/>
            <w:vAlign w:val="center"/>
          </w:tcPr>
          <w:p>
            <w:r/>
            <w:r>
              <w:rPr>
                <w:b w:val="0"/>
                <w:sz w:val="20"/>
              </w:rPr>
              <w:t>4</w:t>
            </w:r>
          </w:p>
        </w:tc>
      </w:tr>
    </w:tbl>
    <w:p/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