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Times New Roman" w:cs="Times New Roman" w:eastAsia="Times New Roman" w:hAnsi="Times New Roman"/>
          <w:b/>
          <w:bCs/>
          <w:color w:val="8B0000"/>
          <w:sz w:val="28"/>
          <w:szCs w:val="28"/>
        </w:rPr>
        <w:t xml:space="preserve">CONFIDENTIAL</w:t>
      </w:r>
    </w:p>
    <w:p>
      <w:pPr>
        <w:spacing w:after="600"/>
        <w:jc w:val="center"/>
      </w:pPr>
      <w:r>
        <w:rPr>
          <w:rFonts w:ascii="Times New Roman" w:cs="Times New Roman" w:eastAsia="Times New Roman" w:hAnsi="Times New Roman"/>
          <w:b/>
          <w:bCs/>
          <w:sz w:val="32"/>
          <w:szCs w:val="32"/>
        </w:rPr>
        <w:t xml:space="preserve">AMENDED AND RESTATED</w:t>
      </w:r>
    </w:p>
    <w:p>
      <w:pPr>
        <w:spacing w:after="200"/>
        <w:jc w:val="center"/>
      </w:pPr>
      <w:r>
        <w:rPr>
          <w:rFonts w:ascii="Times New Roman" w:cs="Times New Roman" w:eastAsia="Times New Roman" w:hAnsi="Times New Roman"/>
          <w:b/>
          <w:bCs/>
          <w:sz w:val="36"/>
          <w:szCs w:val="36"/>
        </w:rPr>
        <w:t xml:space="preserve">LIMITED PARTNERSHIP AGREEMENT</w:t>
      </w:r>
    </w:p>
    <w:p>
      <w:pPr>
        <w:spacing w:after="200"/>
        <w:jc w:val="center"/>
      </w:pPr>
      <w:r>
        <w:rPr>
          <w:rFonts w:ascii="Times New Roman" w:cs="Times New Roman" w:eastAsia="Times New Roman" w:hAnsi="Times New Roman"/>
          <w:sz w:val="28"/>
          <w:szCs w:val="28"/>
        </w:rPr>
        <w:t xml:space="preserve">OF</w:t>
      </w:r>
    </w:p>
    <w:p>
      <w:pPr>
        <w:spacing w:after="600"/>
        <w:jc w:val="center"/>
      </w:pPr>
      <w:r>
        <w:rPr>
          <w:rFonts w:ascii="Times New Roman" w:cs="Times New Roman" w:eastAsia="Times New Roman" w:hAnsi="Times New Roman"/>
          <w:b/>
          <w:bCs/>
          <w:sz w:val="36"/>
          <w:szCs w:val="36"/>
        </w:rPr>
        <w:t xml:space="preserve">HUSHH ALPHA ALOHA FUND A (DELAWARE), LP</w:t>
      </w:r>
    </w:p>
    <w:p>
      <w:pPr>
        <w:spacing w:after="200"/>
        <w:jc w:val="center"/>
      </w:pPr>
      <w:r>
        <w:rPr>
          <w:rFonts w:ascii="Times New Roman" w:cs="Times New Roman" w:eastAsia="Times New Roman" w:hAnsi="Times New Roman"/>
          <w:i/>
          <w:iCs/>
          <w:sz w:val="24"/>
          <w:szCs w:val="24"/>
        </w:rPr>
        <w:t xml:space="preserve">(A Delaware Limited Partnership)</w:t>
      </w:r>
    </w:p>
    <w:p>
      <w:pPr>
        <w:spacing w:after="800"/>
        <w:jc w:val="center"/>
      </w:pPr>
      <w:r>
        <w:rPr>
          <w:rFonts w:ascii="Times New Roman" w:cs="Times New Roman" w:eastAsia="Times New Roman" w:hAnsi="Times New Roman"/>
          <w:b/>
          <w:bCs/>
          <w:color w:val="1a3c6e"/>
          <w:sz w:val="28"/>
          <w:szCs w:val="28"/>
        </w:rPr>
        <w:t xml:space="preserve">DELAWARE FEEDER FUND</w:t>
      </w:r>
    </w:p>
    <w:p>
      <w:pPr>
        <w:spacing w:after="200"/>
        <w:jc w:val="center"/>
      </w:pPr>
      <w:r>
        <w:rPr>
          <w:rFonts w:ascii="Times New Roman" w:cs="Times New Roman" w:eastAsia="Times New Roman" w:hAnsi="Times New Roman"/>
          <w:sz w:val="24"/>
          <w:szCs w:val="24"/>
        </w:rPr>
        <w:t xml:space="preserve">Dated as of [________], 2026</w:t>
      </w:r>
    </w:p>
    <w:p>
      <w:pPr>
        <w:spacing w:before="2000"/>
        <w:jc w:val="center"/>
      </w:pPr>
      <w:r>
        <w:rPr>
          <w:rFonts w:ascii="Times New Roman" w:cs="Times New Roman" w:eastAsia="Times New Roman" w:hAnsi="Times New Roman"/>
          <w:b/>
          <w:bCs/>
          <w:sz w:val="22"/>
          <w:szCs w:val="22"/>
        </w:rPr>
        <w:t xml:space="preserve">General Partner: Hushh Technologies Middle East LLC (ADGM)</w:t>
      </w:r>
    </w:p>
    <w:p>
      <w:pPr>
        <w:spacing w:before="800"/>
        <w:jc w:val="center"/>
      </w:pPr>
      <w:r>
        <w:rPr>
          <w:rFonts w:ascii="Times New Roman" w:cs="Times New Roman" w:eastAsia="Times New Roman" w:hAnsi="Times New Roman"/>
          <w:sz w:val="20"/>
          <w:szCs w:val="20"/>
        </w:rPr>
        <w:t xml:space="preserve">Legal Counsel: McDermott Will &amp; Emery LLP</w:t>
      </w:r>
    </w:p>
    <w:p>
      <w:pPr>
        <w:jc w:val="center"/>
      </w:pPr>
      <w:r>
        <w:rPr>
          <w:rFonts w:ascii="Times New Roman" w:cs="Times New Roman" w:eastAsia="Times New Roman" w:hAnsi="Times New Roman"/>
          <w:i/>
          <w:iCs/>
          <w:sz w:val="20"/>
          <w:szCs w:val="20"/>
        </w:rPr>
        <w:t xml:space="preserve">Stephanie R. Breslow, Partner</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ARTICLE I: FORMATION, PURPOSE, AND RELATIONSHIP TO MASTER FUND</w:t>
      </w:r>
    </w:p>
    <w:p>
      <w:pPr>
        <w:spacing w:after="200"/>
        <w:jc w:val="both"/>
      </w:pPr>
      <w:r>
        <w:rPr>
          <w:rFonts w:ascii="Times New Roman" w:cs="Times New Roman" w:eastAsia="Times New Roman" w:hAnsi="Times New Roman"/>
          <w:b/>
          <w:bCs/>
          <w:sz w:val="24"/>
          <w:szCs w:val="24"/>
        </w:rPr>
        <w:t xml:space="preserve">Section 1.1. Formation.</w:t>
      </w:r>
    </w:p>
    <w:p>
      <w:pPr>
        <w:spacing w:after="200"/>
        <w:jc w:val="both"/>
      </w:pPr>
      <w:r>
        <w:rPr>
          <w:rFonts w:ascii="Times New Roman" w:cs="Times New Roman" w:eastAsia="Times New Roman" w:hAnsi="Times New Roman"/>
          <w:sz w:val="24"/>
          <w:szCs w:val="24"/>
        </w:rPr>
        <w:t xml:space="preserve">Hushh Alpha Aloha Fund A (Delaware), LP (the "Feeder Partnership") has been formed as a limited partnership under the Delaware Revised Uniform Limited Partnership Act, 6 Del. C. Section 17-101 et seq. (the "Delaware LP Act"). The General Partner has executed and filed a Certificate of Limited Partnership with the Secretary of State of the State of Delaware.</w:t>
      </w:r>
    </w:p>
    <w:p>
      <w:pPr>
        <w:spacing w:after="200"/>
        <w:jc w:val="both"/>
      </w:pPr>
      <w:r>
        <w:rPr>
          <w:rFonts w:ascii="Times New Roman" w:cs="Times New Roman" w:eastAsia="Times New Roman" w:hAnsi="Times New Roman"/>
          <w:b/>
          <w:bCs/>
          <w:sz w:val="24"/>
          <w:szCs w:val="24"/>
        </w:rPr>
        <w:t xml:space="preserve">Section 1.2. Purpose.</w:t>
      </w:r>
    </w:p>
    <w:p>
      <w:pPr>
        <w:spacing w:after="200"/>
        <w:jc w:val="both"/>
      </w:pPr>
      <w:r>
        <w:rPr>
          <w:rFonts w:ascii="Times New Roman" w:cs="Times New Roman" w:eastAsia="Times New Roman" w:hAnsi="Times New Roman"/>
          <w:sz w:val="24"/>
          <w:szCs w:val="24"/>
        </w:rPr>
        <w:t xml:space="preserve">The sole purpose of the Feeder Partnership is to invest substantially all of its investable assets in Hushh Alpha Aloha Fund A, LP, a Cayman Islands exempted limited partnership (the "Master Fund"), and to engage in all activities incidental or ancillary thereto. The Feeder Partnership shall not make any direct investments other than in the Master Fund, short-term cash equivalents for working capital purposes, and United States Treasury obligations pending investment in the Master Fund.</w:t>
      </w:r>
    </w:p>
    <w:p>
      <w:pPr>
        <w:spacing w:after="200"/>
        <w:jc w:val="both"/>
      </w:pPr>
      <w:r>
        <w:rPr>
          <w:rFonts w:ascii="Times New Roman" w:cs="Times New Roman" w:eastAsia="Times New Roman" w:hAnsi="Times New Roman"/>
          <w:b/>
          <w:bCs/>
          <w:sz w:val="24"/>
          <w:szCs w:val="24"/>
        </w:rPr>
        <w:t xml:space="preserve">Section 1.3. Relationship to Master Fund.</w:t>
      </w:r>
    </w:p>
    <w:p>
      <w:pPr>
        <w:spacing w:after="200"/>
        <w:jc w:val="both"/>
      </w:pPr>
      <w:r>
        <w:rPr>
          <w:rFonts w:ascii="Times New Roman" w:cs="Times New Roman" w:eastAsia="Times New Roman" w:hAnsi="Times New Roman"/>
          <w:sz w:val="24"/>
          <w:szCs w:val="24"/>
        </w:rPr>
        <w:t xml:space="preserve">(a) The Feeder Partnership is one of three Feeder Funds that invest in the Master Fund as part of a master-feeder structure. The other Feeder Funds are: (i) Hushh Alpha Aloha Fund A (Singapore) VCC; and (ii) Hushh Alpha Aloha Fund A (ADGM), LP.</w:t>
      </w:r>
    </w:p>
    <w:p>
      <w:pPr>
        <w:spacing w:after="200"/>
        <w:jc w:val="both"/>
      </w:pPr>
      <w:r>
        <w:rPr>
          <w:rFonts w:ascii="Times New Roman" w:cs="Times New Roman" w:eastAsia="Times New Roman" w:hAnsi="Times New Roman"/>
          <w:sz w:val="24"/>
          <w:szCs w:val="24"/>
        </w:rPr>
        <w:t xml:space="preserve">(b) The investment program, risk management, and operational policies of the Master Fund are set forth in the Master Fund's Exempted Limited Partnership Agreement (the "Master LPA"), which is incorporated herein by reference. Capitalized terms used but not defined herein shall have the meanings ascribed to them in the Master LPA.</w:t>
      </w:r>
    </w:p>
    <w:p>
      <w:pPr>
        <w:spacing w:after="200"/>
        <w:jc w:val="both"/>
      </w:pPr>
      <w:r>
        <w:rPr>
          <w:rFonts w:ascii="Times New Roman" w:cs="Times New Roman" w:eastAsia="Times New Roman" w:hAnsi="Times New Roman"/>
          <w:sz w:val="24"/>
          <w:szCs w:val="24"/>
        </w:rPr>
        <w:t xml:space="preserve">(c) The Feeder Partnership's Net Asset Value shall be determined by reference to the Feeder Partnership's proportionate interest in the Master Fund's Net Asset Value, adjusted for the Feeder Partnership's own expenses, accrued fees, and cash balances.</w:t>
      </w:r>
    </w:p>
    <w:p>
      <w:pPr>
        <w:spacing w:after="200"/>
        <w:jc w:val="both"/>
      </w:pPr>
      <w:r>
        <w:rPr>
          <w:rFonts w:ascii="Times New Roman" w:cs="Times New Roman" w:eastAsia="Times New Roman" w:hAnsi="Times New Roman"/>
          <w:b/>
          <w:bCs/>
          <w:sz w:val="24"/>
          <w:szCs w:val="24"/>
        </w:rPr>
        <w:t xml:space="preserve">Section 1.4. Tax Treatment.</w:t>
      </w:r>
    </w:p>
    <w:p>
      <w:pPr>
        <w:spacing w:after="200"/>
        <w:jc w:val="both"/>
      </w:pPr>
      <w:r>
        <w:rPr>
          <w:rFonts w:ascii="Times New Roman" w:cs="Times New Roman" w:eastAsia="Times New Roman" w:hAnsi="Times New Roman"/>
          <w:sz w:val="24"/>
          <w:szCs w:val="24"/>
        </w:rPr>
        <w:t xml:space="preserve">(a) The Feeder Partnership is organized for the benefit of United States taxable investors and tax-exempt investors (including ERISA-qualified plans, IRAs, and other tax-advantaged accounts that prefer domestic partnership reporting).</w:t>
      </w:r>
    </w:p>
    <w:p>
      <w:pPr>
        <w:spacing w:after="200"/>
        <w:jc w:val="both"/>
      </w:pPr>
      <w:r>
        <w:rPr>
          <w:rFonts w:ascii="Times New Roman" w:cs="Times New Roman" w:eastAsia="Times New Roman" w:hAnsi="Times New Roman"/>
          <w:sz w:val="24"/>
          <w:szCs w:val="24"/>
        </w:rPr>
        <w:t xml:space="preserve">(b) The Feeder Partnership intends to be classified as a partnership for United States federal income tax purposes and shall not elect to be treated as a corporation or an association taxable as a corporation. Each Partner's distributive share of the Feeder Partnership's income, gain, loss, deduction, and credit shall be reported on IRS Schedule K-1.</w:t>
      </w:r>
    </w:p>
    <w:p>
      <w:pPr>
        <w:spacing w:after="200"/>
        <w:jc w:val="both"/>
      </w:pPr>
      <w:r>
        <w:rPr>
          <w:rFonts w:ascii="Times New Roman" w:cs="Times New Roman" w:eastAsia="Times New Roman" w:hAnsi="Times New Roman"/>
          <w:sz w:val="24"/>
          <w:szCs w:val="24"/>
        </w:rPr>
        <w:t xml:space="preserve">(c) The Feeder Partnership shall comply with the BBA partnership audit rules. The General Partner is designated as the Partnership Representative within the meaning of Section 6223 of the Code.</w:t>
      </w:r>
    </w:p>
    <w:p>
      <w:r>
        <w:br w:type="page"/>
      </w:r>
    </w:p>
    <w:p>
      <w:pPr>
        <w:pStyle w:val="Heading1"/>
      </w:pPr>
      <w:r>
        <w:rPr>
          <w:b/>
          <w:bCs/>
        </w:rPr>
        <w:t xml:space="preserve">ARTICLE II: CLASSES OF INTERESTS AND ADMISSION</w:t>
      </w:r>
    </w:p>
    <w:p>
      <w:pPr>
        <w:spacing w:after="200"/>
        <w:jc w:val="both"/>
      </w:pPr>
      <w:r>
        <w:rPr>
          <w:rFonts w:ascii="Times New Roman" w:cs="Times New Roman" w:eastAsia="Times New Roman" w:hAnsi="Times New Roman"/>
          <w:b/>
          <w:bCs/>
          <w:sz w:val="24"/>
          <w:szCs w:val="24"/>
        </w:rPr>
        <w:t xml:space="preserve">Section 2.1. Classes.</w:t>
      </w:r>
    </w:p>
    <w:p>
      <w:pPr>
        <w:spacing w:after="200"/>
        <w:jc w:val="both"/>
      </w:pPr>
      <w:r>
        <w:rPr>
          <w:rFonts w:ascii="Times New Roman" w:cs="Times New Roman" w:eastAsia="Times New Roman" w:hAnsi="Times New Roman"/>
          <w:sz w:val="24"/>
          <w:szCs w:val="24"/>
        </w:rPr>
        <w:t xml:space="preserve">The Feeder Partnership shall offer the same six Classes of Limited Partnership Interests as the Master Fund (Class A, Class B, Class C, Class I, Class S, and Class F), with identical economic terms, minimum investment thresholds, and eligibility requirements as set forth in Article III of the Master LPA.</w:t>
      </w:r>
    </w:p>
    <w:p>
      <w:pPr>
        <w:spacing w:after="200"/>
        <w:jc w:val="both"/>
      </w:pPr>
      <w:r>
        <w:rPr>
          <w:rFonts w:ascii="Times New Roman" w:cs="Times New Roman" w:eastAsia="Times New Roman" w:hAnsi="Times New Roman"/>
          <w:b/>
          <w:bCs/>
          <w:sz w:val="24"/>
          <w:szCs w:val="24"/>
        </w:rPr>
        <w:t xml:space="preserve">Section 2.2. Admission Requirements.</w:t>
      </w:r>
    </w:p>
    <w:p>
      <w:pPr>
        <w:spacing w:after="200"/>
        <w:jc w:val="both"/>
      </w:pPr>
      <w:r>
        <w:rPr>
          <w:rFonts w:ascii="Times New Roman" w:cs="Times New Roman" w:eastAsia="Times New Roman" w:hAnsi="Times New Roman"/>
          <w:sz w:val="24"/>
          <w:szCs w:val="24"/>
        </w:rPr>
        <w:t xml:space="preserve">Each prospective Limited Partner shall: (a) execute a Subscription Agreement in the form prescribed by the General Partner; (b) represent and warrant that it is a Qualified Purchaser (or an Accredited Investor for Class S and Class F); (c) provide all AML/KYC documentation, including IRS Form W-9 (for U.S. persons) or applicable Form W-8 (for non-U.S. persons); (d) provide source of funds documentation; and (e) satisfy such other requirements as the General Partner may impose.</w:t>
      </w:r>
    </w:p>
    <w:p>
      <w:pPr>
        <w:spacing w:after="200"/>
        <w:jc w:val="both"/>
      </w:pPr>
      <w:r>
        <w:rPr>
          <w:rFonts w:ascii="Times New Roman" w:cs="Times New Roman" w:eastAsia="Times New Roman" w:hAnsi="Times New Roman"/>
          <w:b/>
          <w:bCs/>
          <w:sz w:val="24"/>
          <w:szCs w:val="24"/>
        </w:rPr>
        <w:t xml:space="preserve">Section 2.3. The 1024 Club.</w:t>
      </w:r>
    </w:p>
    <w:p>
      <w:pPr>
        <w:spacing w:after="200"/>
        <w:jc w:val="both"/>
      </w:pPr>
      <w:r>
        <w:rPr>
          <w:rFonts w:ascii="Times New Roman" w:cs="Times New Roman" w:eastAsia="Times New Roman" w:hAnsi="Times New Roman"/>
          <w:sz w:val="24"/>
          <w:szCs w:val="24"/>
        </w:rPr>
        <w:t xml:space="preserve">The number of Limited Partners in the Feeder Partnership, together with the beneficial owners of all other Feeder Funds (counted on a look-through basis), shall not exceed one thousand and twenty-four (1,024) in the aggregate at any time.</w:t>
      </w:r>
    </w:p>
    <w:p>
      <w:pPr>
        <w:spacing w:after="200"/>
        <w:jc w:val="both"/>
      </w:pPr>
      <w:r>
        <w:rPr>
          <w:rFonts w:ascii="Times New Roman" w:cs="Times New Roman" w:eastAsia="Times New Roman" w:hAnsi="Times New Roman"/>
          <w:b/>
          <w:bCs/>
          <w:sz w:val="24"/>
          <w:szCs w:val="24"/>
        </w:rPr>
        <w:t xml:space="preserve">Section 2.4. Regulation D Compliance.</w:t>
      </w:r>
    </w:p>
    <w:p>
      <w:pPr>
        <w:spacing w:after="200"/>
        <w:jc w:val="both"/>
      </w:pPr>
      <w:r>
        <w:rPr>
          <w:rFonts w:ascii="Times New Roman" w:cs="Times New Roman" w:eastAsia="Times New Roman" w:hAnsi="Times New Roman"/>
          <w:sz w:val="24"/>
          <w:szCs w:val="24"/>
        </w:rPr>
        <w:t xml:space="preserve">The Interests have not been and will not be registered under the Securities Act of 1933, as amended (the "Securities Act"), and are being offered and sold in reliance upon the exemption from registration provided by Section 4(a)(2) of the Securities Act and Rule 506(b) (or Rule 506(c), as applicable) of Regulation D promulgated thereunder. The Feeder Partnership shall file a Form D with the SEC within 15 calendar days following the first sale of Interests and shall amend such filing as required.</w:t>
      </w:r>
    </w:p>
    <w:p>
      <w:r>
        <w:br w:type="page"/>
      </w:r>
    </w:p>
    <w:p>
      <w:pPr>
        <w:pStyle w:val="Heading1"/>
      </w:pPr>
      <w:r>
        <w:rPr>
          <w:b/>
          <w:bCs/>
        </w:rPr>
        <w:t xml:space="preserve">ARTICLE III: MANAGEMENT FEES, EXPENSES, AND PERFORMANCE ALLOCATION</w:t>
      </w:r>
    </w:p>
    <w:p>
      <w:pPr>
        <w:spacing w:after="200"/>
        <w:jc w:val="both"/>
      </w:pPr>
      <w:r>
        <w:rPr>
          <w:rFonts w:ascii="Times New Roman" w:cs="Times New Roman" w:eastAsia="Times New Roman" w:hAnsi="Times New Roman"/>
          <w:b/>
          <w:bCs/>
          <w:sz w:val="24"/>
          <w:szCs w:val="24"/>
        </w:rPr>
        <w:t xml:space="preserve">Section 3.1. Feeder-Level Fees.</w:t>
      </w:r>
    </w:p>
    <w:p>
      <w:pPr>
        <w:spacing w:after="200"/>
        <w:jc w:val="both"/>
      </w:pPr>
      <w:r>
        <w:rPr>
          <w:rFonts w:ascii="Times New Roman" w:cs="Times New Roman" w:eastAsia="Times New Roman" w:hAnsi="Times New Roman"/>
          <w:sz w:val="24"/>
          <w:szCs w:val="24"/>
        </w:rPr>
        <w:t xml:space="preserve">No additional management fee or performance allocation shall be charged at the Feeder Partnership level. All Management Fees and Performance Allocations shall be charged at the Master Fund level in accordance with Article VI of the Master LPA.</w:t>
      </w:r>
    </w:p>
    <w:p>
      <w:pPr>
        <w:spacing w:after="200"/>
        <w:jc w:val="both"/>
      </w:pPr>
      <w:r>
        <w:rPr>
          <w:rFonts w:ascii="Times New Roman" w:cs="Times New Roman" w:eastAsia="Times New Roman" w:hAnsi="Times New Roman"/>
          <w:b/>
          <w:bCs/>
          <w:sz w:val="24"/>
          <w:szCs w:val="24"/>
        </w:rPr>
        <w:t xml:space="preserve">Section 3.2. Feeder-Level Expenses.</w:t>
      </w:r>
    </w:p>
    <w:p>
      <w:pPr>
        <w:spacing w:after="200"/>
        <w:jc w:val="both"/>
      </w:pPr>
      <w:r>
        <w:rPr>
          <w:rFonts w:ascii="Times New Roman" w:cs="Times New Roman" w:eastAsia="Times New Roman" w:hAnsi="Times New Roman"/>
          <w:sz w:val="24"/>
          <w:szCs w:val="24"/>
        </w:rPr>
        <w:t xml:space="preserve">The Feeder Partnership shall bear its own organizational expenses, ongoing operating expenses (including legal, audit, tax preparation, and regulatory filing costs), and any expenses specific to the Delaware Feeder that are not borne by the Master Fund. Such expenses shall be allocated pro rata among the Feeder Partnership's Limited Partners based on Capital Account balances.</w:t>
      </w:r>
    </w:p>
    <w:p>
      <w:pPr>
        <w:spacing w:after="200"/>
        <w:jc w:val="both"/>
      </w:pPr>
      <w:r>
        <w:rPr>
          <w:rFonts w:ascii="Times New Roman" w:cs="Times New Roman" w:eastAsia="Times New Roman" w:hAnsi="Times New Roman"/>
          <w:b/>
          <w:bCs/>
          <w:sz w:val="24"/>
          <w:szCs w:val="24"/>
        </w:rPr>
        <w:t xml:space="preserve">Section 3.3. Tax Distributions.</w:t>
      </w:r>
    </w:p>
    <w:p>
      <w:pPr>
        <w:spacing w:after="200"/>
        <w:jc w:val="both"/>
      </w:pPr>
      <w:r>
        <w:rPr>
          <w:rFonts w:ascii="Times New Roman" w:cs="Times New Roman" w:eastAsia="Times New Roman" w:hAnsi="Times New Roman"/>
          <w:sz w:val="24"/>
          <w:szCs w:val="24"/>
        </w:rPr>
        <w:t xml:space="preserve">The General Partner may, in its sole discretion, cause the Feeder Partnership to request a withdrawal from the Master Fund in an amount sufficient to enable the Feeder Partnership to make tax distributions to its Limited Partners in amounts reasonably estimated to cover each Limited Partner's United States federal and state income tax obligations with respect to such Limited Partner's allocable share of Feeder Partnership taxable income. Tax distributions shall be treated as advances against future redemption proceeds.</w:t>
      </w:r>
    </w:p>
    <w:p>
      <w:r>
        <w:br w:type="page"/>
      </w:r>
    </w:p>
    <w:p>
      <w:pPr>
        <w:pStyle w:val="Heading1"/>
      </w:pPr>
      <w:r>
        <w:rPr>
          <w:b/>
          <w:bCs/>
        </w:rPr>
        <w:t xml:space="preserve">ARTICLE IV: REDEMPTIONS AND TRANSFERS</w:t>
      </w:r>
    </w:p>
    <w:p>
      <w:pPr>
        <w:spacing w:after="200"/>
        <w:jc w:val="both"/>
      </w:pPr>
      <w:r>
        <w:rPr>
          <w:rFonts w:ascii="Times New Roman" w:cs="Times New Roman" w:eastAsia="Times New Roman" w:hAnsi="Times New Roman"/>
          <w:b/>
          <w:bCs/>
          <w:sz w:val="24"/>
          <w:szCs w:val="24"/>
        </w:rPr>
        <w:t xml:space="preserve">Section 4.1. Redemption Rights.</w:t>
      </w:r>
    </w:p>
    <w:p>
      <w:pPr>
        <w:spacing w:after="200"/>
        <w:jc w:val="both"/>
      </w:pPr>
      <w:r>
        <w:rPr>
          <w:rFonts w:ascii="Times New Roman" w:cs="Times New Roman" w:eastAsia="Times New Roman" w:hAnsi="Times New Roman"/>
          <w:sz w:val="24"/>
          <w:szCs w:val="24"/>
        </w:rPr>
        <w:t xml:space="preserve">The redemption terms for Limited Partners of the Feeder Partnership shall be identical to those set forth in Article IX of the Master LPA, including: (a) quarterly redemption dates; (b) sixty (60) day advance written notice; (c) twelve (12) month soft lock-up with 2% early redemption fee; (d) fifteen percent (15%) quarterly gate; and (e) the General Partner's right to suspend redemptions under specified circumstances.</w:t>
      </w:r>
    </w:p>
    <w:p>
      <w:pPr>
        <w:spacing w:after="200"/>
        <w:jc w:val="both"/>
      </w:pPr>
      <w:r>
        <w:rPr>
          <w:rFonts w:ascii="Times New Roman" w:cs="Times New Roman" w:eastAsia="Times New Roman" w:hAnsi="Times New Roman"/>
          <w:b/>
          <w:bCs/>
          <w:sz w:val="24"/>
          <w:szCs w:val="24"/>
        </w:rPr>
        <w:t xml:space="preserve">Section 4.2. Redemption Mechanics.</w:t>
      </w:r>
    </w:p>
    <w:p>
      <w:pPr>
        <w:spacing w:after="200"/>
        <w:jc w:val="both"/>
      </w:pPr>
      <w:r>
        <w:rPr>
          <w:rFonts w:ascii="Times New Roman" w:cs="Times New Roman" w:eastAsia="Times New Roman" w:hAnsi="Times New Roman"/>
          <w:sz w:val="24"/>
          <w:szCs w:val="24"/>
        </w:rPr>
        <w:t xml:space="preserve">Upon receipt of a valid Redemption Notice, the General Partner shall cause the Feeder Partnership to request a corresponding withdrawal from the Master Fund and shall distribute the proceeds to the redeeming Limited Partner in accordance with the timeline set forth in Section 9.2 of the Master LPA.</w:t>
      </w:r>
    </w:p>
    <w:p>
      <w:pPr>
        <w:spacing w:after="200"/>
        <w:jc w:val="both"/>
      </w:pPr>
      <w:r>
        <w:rPr>
          <w:rFonts w:ascii="Times New Roman" w:cs="Times New Roman" w:eastAsia="Times New Roman" w:hAnsi="Times New Roman"/>
          <w:b/>
          <w:bCs/>
          <w:sz w:val="24"/>
          <w:szCs w:val="24"/>
        </w:rPr>
        <w:t xml:space="preserve">Section 4.3. Transfers.</w:t>
      </w:r>
    </w:p>
    <w:p>
      <w:pPr>
        <w:spacing w:after="200"/>
        <w:jc w:val="both"/>
      </w:pPr>
      <w:r>
        <w:rPr>
          <w:rFonts w:ascii="Times New Roman" w:cs="Times New Roman" w:eastAsia="Times New Roman" w:hAnsi="Times New Roman"/>
          <w:sz w:val="24"/>
          <w:szCs w:val="24"/>
        </w:rPr>
        <w:t xml:space="preserve">No Limited Partner may transfer its Interest without the prior written consent of the General Partner. Any approved transfer shall comply with applicable securities laws and shall not cause the Feeder Partnership to be treated as a "publicly traded partnership" within the meaning of Section 7704 of the Code.</w:t>
      </w:r>
    </w:p>
    <w:p>
      <w:r>
        <w:br w:type="page"/>
      </w:r>
    </w:p>
    <w:p>
      <w:pPr>
        <w:pStyle w:val="Heading1"/>
      </w:pPr>
      <w:r>
        <w:rPr>
          <w:b/>
          <w:bCs/>
        </w:rPr>
        <w:t xml:space="preserve">ARTICLE V: GENERAL PARTNER AUTHORITY AND FOUNDER CONTROL</w:t>
      </w:r>
    </w:p>
    <w:p>
      <w:pPr>
        <w:spacing w:after="200"/>
        <w:jc w:val="both"/>
      </w:pPr>
      <w:r>
        <w:rPr>
          <w:rFonts w:ascii="Times New Roman" w:cs="Times New Roman" w:eastAsia="Times New Roman" w:hAnsi="Times New Roman"/>
          <w:b/>
          <w:bCs/>
          <w:sz w:val="24"/>
          <w:szCs w:val="24"/>
        </w:rPr>
        <w:t xml:space="preserve">Section 5.1. Authority.</w:t>
      </w:r>
    </w:p>
    <w:p>
      <w:pPr>
        <w:spacing w:after="200"/>
        <w:jc w:val="both"/>
      </w:pPr>
      <w:r>
        <w:rPr>
          <w:rFonts w:ascii="Times New Roman" w:cs="Times New Roman" w:eastAsia="Times New Roman" w:hAnsi="Times New Roman"/>
          <w:sz w:val="24"/>
          <w:szCs w:val="24"/>
        </w:rPr>
        <w:t xml:space="preserve">The General Partner shall have full, exclusive, and complete authority to manage the Feeder Partnership, including the authority to: (a) invest Feeder Partnership assets in the Master Fund; (b) process subscriptions and redemptions; (c) maintain books and records; (d) file all required regulatory and tax filings; and (e) take all actions necessary to carry out the purpose of the Feeder Partnership.</w:t>
      </w:r>
    </w:p>
    <w:p>
      <w:pPr>
        <w:spacing w:after="200"/>
        <w:jc w:val="both"/>
      </w:pPr>
      <w:r>
        <w:rPr>
          <w:rFonts w:ascii="Times New Roman" w:cs="Times New Roman" w:eastAsia="Times New Roman" w:hAnsi="Times New Roman"/>
          <w:b/>
          <w:bCs/>
          <w:sz w:val="24"/>
          <w:szCs w:val="24"/>
        </w:rPr>
        <w:t xml:space="preserve">Section 5.2. Founder Control.</w:t>
      </w:r>
    </w:p>
    <w:p>
      <w:pPr>
        <w:spacing w:after="200"/>
        <w:jc w:val="both"/>
      </w:pPr>
      <w:r>
        <w:rPr>
          <w:rFonts w:ascii="Times New Roman" w:cs="Times New Roman" w:eastAsia="Times New Roman" w:hAnsi="Times New Roman"/>
          <w:sz w:val="24"/>
          <w:szCs w:val="24"/>
        </w:rPr>
        <w:t xml:space="preserve">The Founder shall maintain sole control over the General Partner and all governance decisions of the Feeder Partnership, consistent with Section 4.3 of the Master LPA. No amendment to this Agreement that would diminish the Founder's control or voting rights shall be effective without the Founder's prior written consent.</w:t>
      </w:r>
    </w:p>
    <w:p>
      <w:pPr>
        <w:spacing w:after="200"/>
        <w:jc w:val="both"/>
      </w:pPr>
      <w:r>
        <w:rPr>
          <w:rFonts w:ascii="Times New Roman" w:cs="Times New Roman" w:eastAsia="Times New Roman" w:hAnsi="Times New Roman"/>
          <w:b/>
          <w:bCs/>
          <w:sz w:val="24"/>
          <w:szCs w:val="24"/>
        </w:rPr>
        <w:t xml:space="preserve">Section 5.3. Five Iron Rules.</w:t>
      </w:r>
    </w:p>
    <w:p>
      <w:pPr>
        <w:spacing w:after="200"/>
        <w:jc w:val="both"/>
      </w:pPr>
      <w:r>
        <w:rPr>
          <w:rFonts w:ascii="Times New Roman" w:cs="Times New Roman" w:eastAsia="Times New Roman" w:hAnsi="Times New Roman"/>
          <w:sz w:val="24"/>
          <w:szCs w:val="24"/>
        </w:rPr>
        <w:t xml:space="preserve">The Five Iron Rules set forth in Section 7.8 of the Master LPA are incorporated herein by reference and shall constitute constitutional provisions of the Feeder Partnership with identical amendment requirements (unanimous written consent of all Partners).</w:t>
      </w:r>
    </w:p>
    <w:p>
      <w:r>
        <w:br w:type="page"/>
      </w:r>
    </w:p>
    <w:p>
      <w:pPr>
        <w:pStyle w:val="Heading1"/>
      </w:pPr>
      <w:r>
        <w:rPr>
          <w:b/>
          <w:bCs/>
        </w:rPr>
        <w:t xml:space="preserve">ARTICLE VI: REGULATORY COMPLIANCE AND SEC FILINGS</w:t>
      </w:r>
    </w:p>
    <w:p>
      <w:pPr>
        <w:spacing w:after="200"/>
        <w:jc w:val="both"/>
      </w:pPr>
      <w:r>
        <w:rPr>
          <w:rFonts w:ascii="Times New Roman" w:cs="Times New Roman" w:eastAsia="Times New Roman" w:hAnsi="Times New Roman"/>
          <w:b/>
          <w:bCs/>
          <w:sz w:val="24"/>
          <w:szCs w:val="24"/>
        </w:rPr>
        <w:t xml:space="preserve">Section 6.1. SEC Registration Pathway.</w:t>
      </w:r>
    </w:p>
    <w:p>
      <w:pPr>
        <w:spacing w:after="200"/>
        <w:jc w:val="both"/>
      </w:pPr>
      <w:r>
        <w:rPr>
          <w:rFonts w:ascii="Times New Roman" w:cs="Times New Roman" w:eastAsia="Times New Roman" w:hAnsi="Times New Roman"/>
          <w:sz w:val="24"/>
          <w:szCs w:val="24"/>
        </w:rPr>
        <w:t xml:space="preserve">(a) The General Partner (or its affiliated investment adviser entity) shall register with the SEC as a Registered Investment Adviser ("RIA") by filing Form ADV Parts 1 and 2A upon reaching regulatory assets under management of $150 million, or earlier if the General Partner elects to register voluntarily.</w:t>
      </w:r>
    </w:p>
    <w:p>
      <w:pPr>
        <w:spacing w:after="200"/>
        <w:jc w:val="both"/>
      </w:pPr>
      <w:r>
        <w:rPr>
          <w:rFonts w:ascii="Times New Roman" w:cs="Times New Roman" w:eastAsia="Times New Roman" w:hAnsi="Times New Roman"/>
          <w:sz w:val="24"/>
          <w:szCs w:val="24"/>
        </w:rPr>
        <w:t xml:space="preserve">(b) Prior to meeting the $150 million threshold, the General Partner shall file as an Exempt Reporting Adviser ("ERA") with the SEC by completing the applicable sections of Form ADV.</w:t>
      </w:r>
    </w:p>
    <w:p>
      <w:pPr>
        <w:spacing w:after="200"/>
        <w:jc w:val="both"/>
      </w:pPr>
      <w:r>
        <w:rPr>
          <w:rFonts w:ascii="Times New Roman" w:cs="Times New Roman" w:eastAsia="Times New Roman" w:hAnsi="Times New Roman"/>
          <w:sz w:val="24"/>
          <w:szCs w:val="24"/>
        </w:rPr>
        <w:t xml:space="preserve">(c) The General Partner shall maintain Form ADV in current status, filing annual amendments within ninety (90) days of the fiscal year end, and interim amendments promptly upon any material change.</w:t>
      </w:r>
    </w:p>
    <w:p>
      <w:pPr>
        <w:spacing w:after="200"/>
        <w:jc w:val="both"/>
      </w:pPr>
      <w:r>
        <w:rPr>
          <w:rFonts w:ascii="Times New Roman" w:cs="Times New Roman" w:eastAsia="Times New Roman" w:hAnsi="Times New Roman"/>
          <w:b/>
          <w:bCs/>
          <w:sz w:val="24"/>
          <w:szCs w:val="24"/>
        </w:rPr>
        <w:t xml:space="preserve">Section 6.2. Form D Filings.</w:t>
      </w:r>
    </w:p>
    <w:p>
      <w:pPr>
        <w:spacing w:after="200"/>
        <w:jc w:val="both"/>
      </w:pPr>
      <w:r>
        <w:rPr>
          <w:rFonts w:ascii="Times New Roman" w:cs="Times New Roman" w:eastAsia="Times New Roman" w:hAnsi="Times New Roman"/>
          <w:sz w:val="24"/>
          <w:szCs w:val="24"/>
        </w:rPr>
        <w:t xml:space="preserve">(a) The Feeder Partnership shall file Form D with the SEC within fifteen (15) calendar days following the first sale of Interests, in reliance upon Regulation D, Rule 506(b) or 506(c).</w:t>
      </w:r>
    </w:p>
    <w:p>
      <w:pPr>
        <w:spacing w:after="200"/>
        <w:jc w:val="both"/>
      </w:pPr>
      <w:r>
        <w:rPr>
          <w:rFonts w:ascii="Times New Roman" w:cs="Times New Roman" w:eastAsia="Times New Roman" w:hAnsi="Times New Roman"/>
          <w:sz w:val="24"/>
          <w:szCs w:val="24"/>
        </w:rPr>
        <w:t xml:space="preserve">(b) The Feeder Partnership shall file amendments to Form D annually and upon any material change in the information previously reported, including increases in the aggregate offering amount and additional sales of Interests.</w:t>
      </w:r>
    </w:p>
    <w:p>
      <w:pPr>
        <w:spacing w:after="200"/>
        <w:jc w:val="both"/>
      </w:pPr>
      <w:r>
        <w:rPr>
          <w:rFonts w:ascii="Times New Roman" w:cs="Times New Roman" w:eastAsia="Times New Roman" w:hAnsi="Times New Roman"/>
          <w:sz w:val="24"/>
          <w:szCs w:val="24"/>
        </w:rPr>
        <w:t xml:space="preserve">(c) The Feeder Partnership shall file blue sky notice filings in each state in which Interests are offered or sold, as required by applicable state securities laws.</w:t>
      </w:r>
    </w:p>
    <w:p>
      <w:pPr>
        <w:spacing w:after="200"/>
        <w:jc w:val="both"/>
      </w:pPr>
      <w:r>
        <w:rPr>
          <w:rFonts w:ascii="Times New Roman" w:cs="Times New Roman" w:eastAsia="Times New Roman" w:hAnsi="Times New Roman"/>
          <w:b/>
          <w:bCs/>
          <w:sz w:val="24"/>
          <w:szCs w:val="24"/>
        </w:rPr>
        <w:t xml:space="preserve">Section 6.3. Investment Company Act.</w:t>
      </w:r>
    </w:p>
    <w:p>
      <w:pPr>
        <w:spacing w:after="200"/>
        <w:jc w:val="both"/>
      </w:pPr>
      <w:r>
        <w:rPr>
          <w:rFonts w:ascii="Times New Roman" w:cs="Times New Roman" w:eastAsia="Times New Roman" w:hAnsi="Times New Roman"/>
          <w:sz w:val="24"/>
          <w:szCs w:val="24"/>
        </w:rPr>
        <w:t xml:space="preserve">The Feeder Partnership shall operate in reliance upon the exemption from registration under the Investment Company Act of 1940 provided by Section 3(c)(7) thereof (for funds whose investors are exclusively Qualified Purchasers), or Section 3(c)(1) thereof (for funds with 100 or fewer beneficial owners), as applicable. The General Partner shall monitor compliance with the applicable exemption requirements.</w:t>
      </w:r>
    </w:p>
    <w:p>
      <w:pPr>
        <w:spacing w:after="200"/>
        <w:jc w:val="both"/>
      </w:pPr>
      <w:r>
        <w:rPr>
          <w:rFonts w:ascii="Times New Roman" w:cs="Times New Roman" w:eastAsia="Times New Roman" w:hAnsi="Times New Roman"/>
          <w:b/>
          <w:bCs/>
          <w:sz w:val="24"/>
          <w:szCs w:val="24"/>
        </w:rPr>
        <w:t xml:space="preserve">Section 6.4. ERISA Compliance.</w:t>
      </w:r>
    </w:p>
    <w:p>
      <w:pPr>
        <w:spacing w:after="200"/>
        <w:jc w:val="both"/>
      </w:pPr>
      <w:r>
        <w:rPr>
          <w:rFonts w:ascii="Times New Roman" w:cs="Times New Roman" w:eastAsia="Times New Roman" w:hAnsi="Times New Roman"/>
          <w:sz w:val="24"/>
          <w:szCs w:val="24"/>
        </w:rPr>
        <w:t xml:space="preserve">The General Partner shall monitor the Feeder Partnership's assets to ensure that "benefit plan investors" (as defined in 29 C.F.R. Section 2510.3-101) hold less than twenty-five percent (25%) of the value of each class of equity interests in the Feeder Partnership (excluding interests held by the General Partner and its Affiliates), so that the Feeder Partnership's underlying assets are not deemed "plan assets" under ERISA.</w:t>
      </w:r>
    </w:p>
    <w:p>
      <w:pPr>
        <w:spacing w:after="200"/>
        <w:jc w:val="both"/>
      </w:pPr>
      <w:r>
        <w:rPr>
          <w:rFonts w:ascii="Times New Roman" w:cs="Times New Roman" w:eastAsia="Times New Roman" w:hAnsi="Times New Roman"/>
          <w:b/>
          <w:bCs/>
          <w:sz w:val="24"/>
          <w:szCs w:val="24"/>
        </w:rPr>
        <w:t xml:space="preserve">Section 6.5. 17 CFR Compliance References.</w:t>
      </w:r>
    </w:p>
    <w:p>
      <w:pPr>
        <w:spacing w:after="200"/>
        <w:jc w:val="both"/>
      </w:pPr>
      <w:r>
        <w:rPr>
          <w:rFonts w:ascii="Times New Roman" w:cs="Times New Roman" w:eastAsia="Times New Roman" w:hAnsi="Times New Roman"/>
          <w:sz w:val="24"/>
          <w:szCs w:val="24"/>
        </w:rPr>
        <w:t xml:space="preserve">The General Partner and the Feeder Partnership shall comply with all applicable provisions of Title 17 of the Code of Federal Regulations, including without limitation:</w:t>
      </w:r>
    </w:p>
    <w:p>
      <w:pPr>
        <w:spacing w:after="200"/>
        <w:ind w:left="720"/>
        <w:jc w:val="both"/>
      </w:pPr>
      <w:r>
        <w:rPr>
          <w:rFonts w:ascii="Times New Roman" w:cs="Times New Roman" w:eastAsia="Times New Roman" w:hAnsi="Times New Roman"/>
          <w:sz w:val="24"/>
          <w:szCs w:val="24"/>
        </w:rPr>
        <w:t xml:space="preserve">(a) 17 CFR 230.501-506 (Regulation D - Rules Governing the Limited Offer and Sale of Securities Without Registration);</w:t>
      </w:r>
    </w:p>
    <w:p>
      <w:pPr>
        <w:spacing w:after="200"/>
        <w:ind w:left="720"/>
        <w:jc w:val="both"/>
      </w:pPr>
      <w:r>
        <w:rPr>
          <w:rFonts w:ascii="Times New Roman" w:cs="Times New Roman" w:eastAsia="Times New Roman" w:hAnsi="Times New Roman"/>
          <w:sz w:val="24"/>
          <w:szCs w:val="24"/>
        </w:rPr>
        <w:t xml:space="preserve">(b) 17 CFR 275.203(m)-1 (Exemption for Certain Fund Advisers of Private Funds);</w:t>
      </w:r>
    </w:p>
    <w:p>
      <w:pPr>
        <w:spacing w:after="200"/>
        <w:ind w:left="720"/>
        <w:jc w:val="both"/>
      </w:pPr>
      <w:r>
        <w:rPr>
          <w:rFonts w:ascii="Times New Roman" w:cs="Times New Roman" w:eastAsia="Times New Roman" w:hAnsi="Times New Roman"/>
          <w:sz w:val="24"/>
          <w:szCs w:val="24"/>
        </w:rPr>
        <w:t xml:space="preserve">(c) 17 CFR 275.204-2 (Books and Records to Be Maintained by Investment Advisers);</w:t>
      </w:r>
    </w:p>
    <w:p>
      <w:pPr>
        <w:spacing w:after="200"/>
        <w:ind w:left="720"/>
        <w:jc w:val="both"/>
      </w:pPr>
      <w:r>
        <w:rPr>
          <w:rFonts w:ascii="Times New Roman" w:cs="Times New Roman" w:eastAsia="Times New Roman" w:hAnsi="Times New Roman"/>
          <w:sz w:val="24"/>
          <w:szCs w:val="24"/>
        </w:rPr>
        <w:t xml:space="preserve">(d) 17 CFR 275.206(4)-2 (Custody of Funds or Securities by Investment Advisers);</w:t>
      </w:r>
    </w:p>
    <w:p>
      <w:pPr>
        <w:spacing w:after="200"/>
        <w:ind w:left="720"/>
        <w:jc w:val="both"/>
      </w:pPr>
      <w:r>
        <w:rPr>
          <w:rFonts w:ascii="Times New Roman" w:cs="Times New Roman" w:eastAsia="Times New Roman" w:hAnsi="Times New Roman"/>
          <w:sz w:val="24"/>
          <w:szCs w:val="24"/>
        </w:rPr>
        <w:t xml:space="preserve">(e) 17 CFR 275.206(4)-7 (Compliance Procedures and Practices);</w:t>
      </w:r>
    </w:p>
    <w:p>
      <w:pPr>
        <w:spacing w:after="200"/>
        <w:ind w:left="720"/>
        <w:jc w:val="both"/>
      </w:pPr>
      <w:r>
        <w:rPr>
          <w:rFonts w:ascii="Times New Roman" w:cs="Times New Roman" w:eastAsia="Times New Roman" w:hAnsi="Times New Roman"/>
          <w:sz w:val="24"/>
          <w:szCs w:val="24"/>
        </w:rPr>
        <w:t xml:space="preserve">(f) 17 CFR 275.204-4 (Reporting by Exempt Reporting Advisers); and</w:t>
      </w:r>
    </w:p>
    <w:p>
      <w:pPr>
        <w:spacing w:after="200"/>
        <w:ind w:left="720"/>
        <w:jc w:val="both"/>
      </w:pPr>
      <w:r>
        <w:rPr>
          <w:rFonts w:ascii="Times New Roman" w:cs="Times New Roman" w:eastAsia="Times New Roman" w:hAnsi="Times New Roman"/>
          <w:sz w:val="24"/>
          <w:szCs w:val="24"/>
        </w:rPr>
        <w:t xml:space="preserve">(g) 17 CFR 279.1 (Form ADV).</w:t>
      </w:r>
    </w:p>
    <w:p>
      <w:r>
        <w:br w:type="page"/>
      </w:r>
    </w:p>
    <w:p>
      <w:pPr>
        <w:pStyle w:val="Heading1"/>
      </w:pPr>
      <w:r>
        <w:rPr>
          <w:b/>
          <w:bCs/>
        </w:rPr>
        <w:t xml:space="preserve">ARTICLE VII: DISSOLUTION AND GENERAL PROVISIONS</w:t>
      </w:r>
    </w:p>
    <w:p>
      <w:pPr>
        <w:spacing w:after="200"/>
        <w:jc w:val="both"/>
      </w:pPr>
      <w:r>
        <w:rPr>
          <w:rFonts w:ascii="Times New Roman" w:cs="Times New Roman" w:eastAsia="Times New Roman" w:hAnsi="Times New Roman"/>
          <w:b/>
          <w:bCs/>
          <w:sz w:val="24"/>
          <w:szCs w:val="24"/>
        </w:rPr>
        <w:t xml:space="preserve">Section 7.1. Dissolution.</w:t>
      </w:r>
    </w:p>
    <w:p>
      <w:pPr>
        <w:spacing w:after="200"/>
        <w:jc w:val="both"/>
      </w:pPr>
      <w:r>
        <w:rPr>
          <w:rFonts w:ascii="Times New Roman" w:cs="Times New Roman" w:eastAsia="Times New Roman" w:hAnsi="Times New Roman"/>
          <w:sz w:val="24"/>
          <w:szCs w:val="24"/>
        </w:rPr>
        <w:t xml:space="preserve">The Feeder Partnership shall be dissolved upon the earliest to occur of: (a) the dissolution of the Master Fund; (b) the written determination of the General Partner; (c) the written consent of Limited Partners holding at least seventy-five percent (75%) of aggregate Capital Account balances; or (d) any event making it unlawful for the Feeder Partnership to continue. Upon dissolution, the Feeder Partnership shall withdraw its interest in the Master Fund and distribute the proceeds in accordance with Section 11.3 of the Master LPA, as applied to the Feeder Partnership's Partners.</w:t>
      </w:r>
    </w:p>
    <w:p>
      <w:pPr>
        <w:spacing w:after="200"/>
        <w:jc w:val="both"/>
      </w:pPr>
      <w:r>
        <w:rPr>
          <w:rFonts w:ascii="Times New Roman" w:cs="Times New Roman" w:eastAsia="Times New Roman" w:hAnsi="Times New Roman"/>
          <w:b/>
          <w:bCs/>
          <w:sz w:val="24"/>
          <w:szCs w:val="24"/>
        </w:rPr>
        <w:t xml:space="preserve">Section 7.2. Governing Law.</w:t>
      </w:r>
    </w:p>
    <w:p>
      <w:pPr>
        <w:spacing w:after="200"/>
        <w:jc w:val="both"/>
      </w:pPr>
      <w:r>
        <w:rPr>
          <w:rFonts w:ascii="Times New Roman" w:cs="Times New Roman" w:eastAsia="Times New Roman" w:hAnsi="Times New Roman"/>
          <w:sz w:val="24"/>
          <w:szCs w:val="24"/>
        </w:rPr>
        <w:t xml:space="preserve">This Agreement shall be governed by the Delaware Revised Uniform Limited Partnership Act and the laws of the State of Delaware, without regard to principles of conflicts of laws.</w:t>
      </w:r>
    </w:p>
    <w:p>
      <w:pPr>
        <w:spacing w:after="200"/>
        <w:jc w:val="both"/>
      </w:pPr>
      <w:r>
        <w:rPr>
          <w:rFonts w:ascii="Times New Roman" w:cs="Times New Roman" w:eastAsia="Times New Roman" w:hAnsi="Times New Roman"/>
          <w:b/>
          <w:bCs/>
          <w:sz w:val="24"/>
          <w:szCs w:val="24"/>
        </w:rPr>
        <w:t xml:space="preserve">Section 7.3. Arbitration.</w:t>
      </w:r>
    </w:p>
    <w:p>
      <w:pPr>
        <w:spacing w:after="200"/>
        <w:jc w:val="both"/>
      </w:pPr>
      <w:r>
        <w:rPr>
          <w:rFonts w:ascii="Times New Roman" w:cs="Times New Roman" w:eastAsia="Times New Roman" w:hAnsi="Times New Roman"/>
          <w:sz w:val="24"/>
          <w:szCs w:val="24"/>
        </w:rPr>
        <w:t xml:space="preserve">Disputes shall be resolved by ICC arbitration seated in Abu Dhabi Global Market, consistent with Section 12.6 of the Master LPA.</w:t>
      </w:r>
    </w:p>
    <w:p>
      <w:pPr>
        <w:spacing w:after="200"/>
        <w:jc w:val="both"/>
      </w:pPr>
      <w:r>
        <w:rPr>
          <w:rFonts w:ascii="Times New Roman" w:cs="Times New Roman" w:eastAsia="Times New Roman" w:hAnsi="Times New Roman"/>
          <w:b/>
          <w:bCs/>
          <w:sz w:val="24"/>
          <w:szCs w:val="24"/>
        </w:rPr>
        <w:t xml:space="preserve">Section 7.4. Indemnification.</w:t>
      </w:r>
    </w:p>
    <w:p>
      <w:pPr>
        <w:spacing w:after="200"/>
        <w:jc w:val="both"/>
      </w:pPr>
      <w:r>
        <w:rPr>
          <w:rFonts w:ascii="Times New Roman" w:cs="Times New Roman" w:eastAsia="Times New Roman" w:hAnsi="Times New Roman"/>
          <w:sz w:val="24"/>
          <w:szCs w:val="24"/>
        </w:rPr>
        <w:t xml:space="preserve">The indemnification and exculpation provisions of Article XII of the Master LPA are incorporated herein by reference and shall apply with equal force to the Feeder Partnership.</w:t>
      </w:r>
    </w:p>
    <w:p>
      <w:pPr>
        <w:spacing w:after="200"/>
        <w:jc w:val="both"/>
      </w:pPr>
      <w:r>
        <w:rPr>
          <w:rFonts w:ascii="Times New Roman" w:cs="Times New Roman" w:eastAsia="Times New Roman" w:hAnsi="Times New Roman"/>
          <w:b/>
          <w:bCs/>
          <w:sz w:val="24"/>
          <w:szCs w:val="24"/>
        </w:rPr>
        <w:t xml:space="preserve">Section 7.5. MFN Provision.</w:t>
      </w:r>
    </w:p>
    <w:p>
      <w:pPr>
        <w:spacing w:after="200"/>
        <w:jc w:val="both"/>
      </w:pPr>
      <w:r>
        <w:rPr>
          <w:rFonts w:ascii="Times New Roman" w:cs="Times New Roman" w:eastAsia="Times New Roman" w:hAnsi="Times New Roman"/>
          <w:sz w:val="24"/>
          <w:szCs w:val="24"/>
        </w:rPr>
        <w:t xml:space="preserve">The Most Favored Nation provision of Section 12.15 of the Master LPA is incorporated herein by reference and shall apply to the Feeder Partnership.</w:t>
      </w:r>
    </w:p>
    <w:p>
      <w:pPr>
        <w:spacing w:after="200"/>
        <w:jc w:val="both"/>
      </w:pPr>
      <w:r>
        <w:rPr>
          <w:rFonts w:ascii="Times New Roman" w:cs="Times New Roman" w:eastAsia="Times New Roman" w:hAnsi="Times New Roman"/>
          <w:b/>
          <w:bCs/>
          <w:sz w:val="24"/>
          <w:szCs w:val="24"/>
        </w:rPr>
        <w:t xml:space="preserve">Section 7.6. Entire Agreement.</w:t>
      </w:r>
    </w:p>
    <w:p>
      <w:pPr>
        <w:spacing w:after="200"/>
        <w:jc w:val="both"/>
      </w:pPr>
      <w:r>
        <w:rPr>
          <w:rFonts w:ascii="Times New Roman" w:cs="Times New Roman" w:eastAsia="Times New Roman" w:hAnsi="Times New Roman"/>
          <w:sz w:val="24"/>
          <w:szCs w:val="24"/>
        </w:rPr>
        <w:t xml:space="preserve">This Agreement, together with the Master LPA (incorporated by reference), the Subscription Agreements, and any side letters, constitutes the entire agreement among the Partners of the Feeder Partnership.</w:t>
      </w:r>
    </w:p>
    <w:p>
      <w:pPr>
        <w:spacing w:after="200"/>
        <w:jc w:val="both"/>
      </w:pPr>
      <w:r>
        <w:rPr>
          <w:rFonts w:ascii="Times New Roman" w:cs="Times New Roman" w:eastAsia="Times New Roman" w:hAnsi="Times New Roman"/>
          <w:b/>
          <w:bCs/>
          <w:sz w:val="24"/>
          <w:szCs w:val="24"/>
        </w:rPr>
        <w:t xml:space="preserve">Section 7.7. Counterparts.</w:t>
      </w:r>
    </w:p>
    <w:p>
      <w:pPr>
        <w:spacing w:after="200"/>
        <w:jc w:val="both"/>
      </w:pPr>
      <w:r>
        <w:rPr>
          <w:rFonts w:ascii="Times New Roman" w:cs="Times New Roman" w:eastAsia="Times New Roman" w:hAnsi="Times New Roman"/>
          <w:sz w:val="24"/>
          <w:szCs w:val="24"/>
        </w:rPr>
        <w:t xml:space="preserve">This Agreement may be executed in counterparts, including by electronic signature.</w:t>
      </w:r>
    </w:p>
    <w:p>
      <w:r>
        <w:br w:type="page"/>
      </w:r>
    </w:p>
    <w:p>
      <w:pPr>
        <w:pStyle w:val="Heading1"/>
      </w:pPr>
      <w:r>
        <w:rPr>
          <w:b/>
          <w:bCs/>
        </w:rPr>
        <w:t xml:space="preserve">SIGNATURE PAGE</w:t>
      </w:r>
    </w:p>
    <w:p>
      <w:pPr>
        <w:spacing w:after="200"/>
        <w:jc w:val="both"/>
      </w:pPr>
      <w:r>
        <w:rPr>
          <w:rFonts w:ascii="Times New Roman" w:cs="Times New Roman" w:eastAsia="Times New Roman" w:hAnsi="Times New Roman"/>
          <w:sz w:val="24"/>
          <w:szCs w:val="24"/>
        </w:rPr>
        <w:t xml:space="preserve">IN WITNESS WHEREOF, the undersigned have executed this Amended and Restated Limited Partnership Agreement as of the date first written above.</w:t>
      </w:r>
    </w:p>
    <w:p>
      <w:pPr>
        <w:spacing w:before="800"/>
      </w:pPr>
    </w:p>
    <w:p>
      <w:pPr>
        <w:spacing w:after="200"/>
        <w:jc w:val="both"/>
      </w:pPr>
      <w:r>
        <w:rPr>
          <w:rFonts w:ascii="Times New Roman" w:cs="Times New Roman" w:eastAsia="Times New Roman" w:hAnsi="Times New Roman"/>
          <w:b/>
          <w:bCs/>
          <w:sz w:val="24"/>
          <w:szCs w:val="24"/>
        </w:rPr>
        <w:t xml:space="preserve">GENERAL PARTNER:</w:t>
      </w:r>
    </w:p>
    <w:p>
      <w:pPr>
        <w:spacing w:after="200"/>
        <w:jc w:val="both"/>
      </w:pPr>
      <w:r>
        <w:rPr>
          <w:rFonts w:ascii="Times New Roman" w:cs="Times New Roman" w:eastAsia="Times New Roman" w:hAnsi="Times New Roman"/>
          <w:b/>
          <w:bCs/>
          <w:sz w:val="24"/>
          <w:szCs w:val="24"/>
        </w:rPr>
        <w:t xml:space="preserve">HUSHH TECHNOLOGIES MIDDLE EAST LLC</w:t>
      </w:r>
    </w:p>
    <w:p>
      <w:pPr>
        <w:spacing w:before="400"/>
      </w:pPr>
    </w:p>
    <w:p>
      <w:pPr>
        <w:spacing w:after="200"/>
        <w:jc w:val="both"/>
      </w:pPr>
      <w:r>
        <w:rPr>
          <w:rFonts w:ascii="Times New Roman" w:cs="Times New Roman" w:eastAsia="Times New Roman" w:hAnsi="Times New Roman"/>
          <w:sz w:val="24"/>
          <w:szCs w:val="24"/>
        </w:rPr>
        <w:t xml:space="preserve">By: {{GP_SIGNATURE}}</w:t>
      </w:r>
    </w:p>
    <w:p>
      <w:pPr>
        <w:spacing w:after="200"/>
        <w:jc w:val="both"/>
      </w:pPr>
      <w:r>
        <w:rPr>
          <w:rFonts w:ascii="Times New Roman" w:cs="Times New Roman" w:eastAsia="Times New Roman" w:hAnsi="Times New Roman"/>
          <w:sz w:val="24"/>
          <w:szCs w:val="24"/>
        </w:rPr>
        <w:t xml:space="preserve">Name: Manish Sainani</w:t>
      </w:r>
    </w:p>
    <w:p>
      <w:pPr>
        <w:spacing w:after="200"/>
        <w:jc w:val="both"/>
      </w:pPr>
      <w:r>
        <w:rPr>
          <w:rFonts w:ascii="Times New Roman" w:cs="Times New Roman" w:eastAsia="Times New Roman" w:hAnsi="Times New Roman"/>
          <w:sz w:val="24"/>
          <w:szCs w:val="24"/>
        </w:rPr>
        <w:t xml:space="preserve">Title: Founder, CEO, and Sole Managing Member</w:t>
      </w:r>
    </w:p>
    <w:p>
      <w:pPr>
        <w:spacing w:after="200"/>
        <w:jc w:val="both"/>
      </w:pPr>
      <w:r>
        <w:rPr>
          <w:rFonts w:ascii="Times New Roman" w:cs="Times New Roman" w:eastAsia="Times New Roman" w:hAnsi="Times New Roman"/>
          <w:sz w:val="24"/>
          <w:szCs w:val="24"/>
        </w:rPr>
        <w:t xml:space="preserve">Date: {{GP_DATE}}</w:t>
      </w:r>
    </w:p>
    <w:p>
      <w:pPr>
        <w:spacing w:before="1000"/>
      </w:pPr>
    </w:p>
    <w:p>
      <w:pPr>
        <w:spacing w:after="200"/>
        <w:jc w:val="both"/>
      </w:pPr>
      <w:r>
        <w:rPr>
          <w:rFonts w:ascii="Times New Roman" w:cs="Times New Roman" w:eastAsia="Times New Roman" w:hAnsi="Times New Roman"/>
          <w:b/>
          <w:bCs/>
          <w:sz w:val="24"/>
          <w:szCs w:val="24"/>
        </w:rPr>
        <w:t xml:space="preserve">LIMITED PARTNERS:</w:t>
      </w:r>
    </w:p>
    <w:p>
      <w:pPr>
        <w:spacing w:after="200"/>
        <w:jc w:val="both"/>
      </w:pPr>
      <w:r>
        <w:rPr>
          <w:rFonts w:ascii="Times New Roman" w:cs="Times New Roman" w:eastAsia="Times New Roman" w:hAnsi="Times New Roman"/>
          <w:sz w:val="24"/>
          <w:szCs w:val="24"/>
        </w:rPr>
        <w:t xml:space="preserve">[Counterpart signature pages maintained by the General Partner]</w:t>
      </w:r>
    </w:p>
    <w:p>
      <w:pPr>
        <w:spacing w:before="500"/>
      </w:pPr>
    </w:p>
    <w:p>
      <w:pPr>
        <w:spacing w:after="200"/>
        <w:jc w:val="both"/>
      </w:pPr>
      <w:r>
        <w:rPr>
          <w:rFonts w:ascii="Times New Roman" w:cs="Times New Roman" w:eastAsia="Times New Roman" w:hAnsi="Times New Roman"/>
          <w:sz w:val="24"/>
          <w:szCs w:val="24"/>
        </w:rPr>
        <w:t xml:space="preserve">By: {{LP_SIGNATURE}}</w:t>
      </w:r>
    </w:p>
    <w:p>
      <w:pPr>
        <w:spacing w:after="200"/>
        <w:jc w:val="both"/>
      </w:pPr>
      <w:r>
        <w:rPr>
          <w:rFonts w:ascii="Times New Roman" w:cs="Times New Roman" w:eastAsia="Times New Roman" w:hAnsi="Times New Roman"/>
          <w:sz w:val="24"/>
          <w:szCs w:val="24"/>
        </w:rPr>
        <w:t xml:space="preserve">Name: {{LP_NAME}}</w:t>
      </w:r>
    </w:p>
    <w:p>
      <w:pPr>
        <w:spacing w:after="200"/>
        <w:jc w:val="both"/>
      </w:pPr>
      <w:r>
        <w:rPr>
          <w:rFonts w:ascii="Times New Roman" w:cs="Times New Roman" w:eastAsia="Times New Roman" w:hAnsi="Times New Roman"/>
          <w:sz w:val="24"/>
          <w:szCs w:val="24"/>
        </w:rPr>
        <w:t xml:space="preserve">Date: {{LP_DATE}}</w:t>
      </w:r>
    </w:p>
    <w:p>
      <w:pPr>
        <w:spacing w:before="0" w:after="140"/>
        <w:jc w:val="center"/>
      </w:pPr>
      <w:r>
        <w:br w:type="page"/>
      </w:r>
      <w:r>
        <w:rPr>
          <w:rFonts w:ascii="Times New Roman" w:cs="Times New Roman" w:eastAsia="Times New Roman" w:hAnsi="Times New Roman"/>
          <w:b/>
          <w:bCs/>
          <w:sz w:val="24"/>
          <w:szCs w:val="24"/>
        </w:rPr>
        <w:t xml:space="preserve">ELECTRONIC SIGNATURE CERTIFICATE</w:t>
      </w:r>
    </w:p>
    <w:p>
      <w:pPr>
        <w:spacing w:after="160"/>
        <w:jc w:val="both"/>
      </w:pPr>
      <w:r>
        <w:rPr>
          <w:rFonts w:ascii="Times New Roman" w:cs="Times New Roman" w:eastAsia="Times New Roman" w:hAnsi="Times New Roman"/>
          <w:sz w:val="18"/>
          <w:szCs w:val="18"/>
        </w:rPr>
        <w:t xml:space="preserve">This document was executed by electronic signature under the U.S. ESIGN Act (15 U.S.C. ch. 96) and the applicable Uniform Electronic Transactions Act (UETA). The signer adopted their typed name as their legally binding signature.</w:t>
      </w:r>
    </w:p>
    <w:p>
      <w:pPr>
        <w:spacing w:after="60"/>
        <w:jc w:val="left"/>
      </w:pPr>
      <w:r>
        <w:rPr>
          <w:rFonts w:ascii="Times New Roman" w:cs="Times New Roman" w:eastAsia="Times New Roman" w:hAnsi="Times New Roman"/>
          <w:sz w:val="18"/>
          <w:szCs w:val="18"/>
        </w:rPr>
        <w:t xml:space="preserve">Signature ID:        {{SIG_ID}}</w:t>
      </w:r>
    </w:p>
    <w:p>
      <w:pPr>
        <w:spacing w:after="60"/>
        <w:jc w:val="left"/>
      </w:pPr>
      <w:r>
        <w:rPr>
          <w:rFonts w:ascii="Times New Roman" w:cs="Times New Roman" w:eastAsia="Times New Roman" w:hAnsi="Times New Roman"/>
          <w:sz w:val="18"/>
          <w:szCs w:val="18"/>
        </w:rPr>
        <w:t xml:space="preserve">Signer:              {{SIG_NAME}} ({{SIG_EMAIL}})</w:t>
      </w:r>
    </w:p>
    <w:p>
      <w:pPr>
        <w:spacing w:after="60"/>
        <w:jc w:val="left"/>
      </w:pPr>
      <w:r>
        <w:rPr>
          <w:rFonts w:ascii="Times New Roman" w:cs="Times New Roman" w:eastAsia="Times New Roman" w:hAnsi="Times New Roman"/>
          <w:sz w:val="18"/>
          <w:szCs w:val="18"/>
        </w:rPr>
        <w:t xml:space="preserve">Signature method:    Typed name / click-to-sign (“Adopt and Sign”)</w:t>
      </w:r>
    </w:p>
    <w:p>
      <w:pPr>
        <w:spacing w:after="60"/>
        <w:jc w:val="left"/>
      </w:pPr>
      <w:r>
        <w:rPr>
          <w:rFonts w:ascii="Times New Roman" w:cs="Times New Roman" w:eastAsia="Times New Roman" w:hAnsi="Times New Roman"/>
          <w:sz w:val="18"/>
          <w:szCs w:val="18"/>
        </w:rPr>
        <w:t xml:space="preserve">Signed (UTC):        {{SIG_SIGNED_UTC}}</w:t>
      </w:r>
    </w:p>
    <w:p>
      <w:pPr>
        <w:spacing w:after="60"/>
        <w:jc w:val="left"/>
      </w:pPr>
      <w:r>
        <w:rPr>
          <w:rFonts w:ascii="Times New Roman" w:cs="Times New Roman" w:eastAsia="Times New Roman" w:hAnsi="Times New Roman"/>
          <w:sz w:val="18"/>
          <w:szCs w:val="18"/>
        </w:rPr>
        <w:t xml:space="preserve">Signed (local):      {{SIG_SIGNED_LOCAL}}</w:t>
      </w:r>
    </w:p>
    <w:p>
      <w:pPr>
        <w:spacing w:after="60"/>
        <w:jc w:val="left"/>
      </w:pPr>
      <w:r>
        <w:rPr>
          <w:rFonts w:ascii="Times New Roman" w:cs="Times New Roman" w:eastAsia="Times New Roman" w:hAnsi="Times New Roman"/>
          <w:sz w:val="18"/>
          <w:szCs w:val="18"/>
        </w:rPr>
        <w:t xml:space="preserve">IP address:          {{SIG_IP}}</w:t>
      </w:r>
    </w:p>
    <w:p>
      <w:pPr>
        <w:spacing w:after="60"/>
        <w:jc w:val="left"/>
      </w:pPr>
      <w:r>
        <w:rPr>
          <w:rFonts w:ascii="Times New Roman" w:cs="Times New Roman" w:eastAsia="Times New Roman" w:hAnsi="Times New Roman"/>
          <w:sz w:val="18"/>
          <w:szCs w:val="18"/>
        </w:rPr>
        <w:t xml:space="preserve">Device:              {{SIG_DEVICE}}</w:t>
      </w:r>
    </w:p>
    <w:p>
      <w:pPr>
        <w:spacing w:after="60"/>
        <w:jc w:val="left"/>
      </w:pPr>
      <w:r>
        <w:rPr>
          <w:rFonts w:ascii="Times New Roman" w:cs="Times New Roman" w:eastAsia="Times New Roman" w:hAnsi="Times New Roman"/>
          <w:sz w:val="18"/>
          <w:szCs w:val="18"/>
        </w:rPr>
        <w:t xml:space="preserve">Electronic consent:  ACCEPTED — {{SIG_CONSENT}}</w:t>
      </w:r>
    </w:p>
    <w:p>
      <w:pPr>
        <w:spacing w:after="60"/>
        <w:jc w:val="left"/>
      </w:pPr>
      <w:r>
        <w:rPr>
          <w:rFonts w:ascii="Times New Roman" w:cs="Times New Roman" w:eastAsia="Times New Roman" w:hAnsi="Times New Roman"/>
          <w:sz w:val="18"/>
          <w:szCs w:val="18"/>
        </w:rPr>
        <w:t xml:space="preserve">Document fingerprint (SHA-256):</w:t>
      </w:r>
    </w:p>
    <w:p>
      <w:pPr>
        <w:spacing w:after="160"/>
        <w:jc w:val="left"/>
      </w:pPr>
      <w:r>
        <w:rPr>
          <w:rFonts w:ascii="Times New Roman" w:cs="Times New Roman" w:eastAsia="Times New Roman" w:hAnsi="Times New Roman"/>
          <w:sz w:val="18"/>
          <w:szCs w:val="18"/>
        </w:rPr>
        <w:t xml:space="preserve">f429a240e4054ec2d5f4b40cef16bec379fab2a3c8a822b540ddd6130111f5f0</w:t>
      </w:r>
    </w:p>
    <w:p>
      <w:pPr>
        <w:spacing w:after="60"/>
        <w:jc w:val="both"/>
      </w:pPr>
      <w:r>
        <w:rPr>
          <w:rFonts w:ascii="Times New Roman" w:cs="Times New Roman" w:eastAsia="Times New Roman" w:hAnsi="Times New Roman"/>
          <w:i/>
          <w:iCs/>
          <w:sz w:val="18"/>
          <w:szCs w:val="18"/>
        </w:rPr>
        <w:t xml:space="preserve">This certificate, the IP address, device, and timestamps above form the audit record of this electronic signature.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(DELAWARE), LP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2026-03-12T01:04:06.002Z</dcterms:created>
  <dcterms:modified xsi:type="dcterms:W3CDTF">2026-03-12T01:04:06.004Z</dcterms:modified>
</cp:coreProperties>
</file>

<file path=docProps/custom.xml><?xml version="1.0" encoding="utf-8"?>
<Properties xmlns="http://schemas.openxmlformats.org/officeDocument/2006/custom-properties" xmlns:vt="http://schemas.openxmlformats.org/officeDocument/2006/docPropsVTypes"/>
</file>