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before="0"/>
        <w:jc w:val="center"/>
      </w:pPr>
      <w:r>
        <w:rPr>
          <w:rFonts w:ascii="Times New Roman" w:cs="Times New Roman" w:eastAsia="Times New Roman" w:hAnsi="Times New Roman"/>
          <w:b/>
          <w:bCs/>
          <w:color w:val="8B0000"/>
          <w:sz w:val="24"/>
          <w:szCs w:val="24"/>
        </w:rPr>
        <w:t xml:space="preserve">CONFIDENTIAL OFFERING DOCUMENT</w:t>
      </w:r>
    </w:p>
    <w:p>
      <w:pPr>
        <w:spacing w:before="400"/>
      </w:pPr>
    </w:p>
    <w:p>
      <w:pPr>
        <w:spacing w:after="100" w:before="0"/>
        <w:jc w:val="center"/>
      </w:pPr>
      <w:r>
        <w:rPr>
          <w:rFonts w:ascii="Times New Roman" w:cs="Times New Roman" w:eastAsia="Times New Roman" w:hAnsi="Times New Roman"/>
          <w:b/>
          <w:bCs/>
          <w:sz w:val="44"/>
          <w:szCs w:val="44"/>
        </w:rPr>
        <w:t xml:space="preserve">INVESTMENT PROSPECTUS</w:t>
      </w:r>
    </w:p>
    <w:p>
      <w:pPr>
        <w:spacing w:before="200"/>
      </w:pPr>
    </w:p>
    <w:p>
      <w:pPr>
        <w:pBdr>
          <w:bottom w:val="single" w:color="0D1B2A" w:sz="6" w:space="1"/>
        </w:pBdr>
        <w:spacing w:after="400"/>
        <w:jc w:val="center"/>
      </w:pPr>
    </w:p>
    <w:p>
      <w:pPr>
        <w:spacing w:before="100"/>
      </w:pPr>
    </w:p>
    <w:p>
      <w:pPr>
        <w:spacing w:after="100" w:before="0"/>
        <w:jc w:val="center"/>
      </w:pPr>
      <w:r>
        <w:rPr>
          <w:rFonts w:ascii="Times New Roman" w:cs="Times New Roman" w:eastAsia="Times New Roman" w:hAnsi="Times New Roman"/>
          <w:b/>
          <w:bCs/>
          <w:sz w:val="40"/>
          <w:szCs w:val="40"/>
        </w:rPr>
        <w:t xml:space="preserve">HUSHH ALPHA ALOHA FUND A, LP</w:t>
      </w:r>
    </w:p>
    <w:p>
      <w:pPr>
        <w:spacing w:after="100" w:before="0"/>
        <w:jc w:val="center"/>
      </w:pPr>
      <w:r>
        <w:rPr>
          <w:rFonts w:ascii="Times New Roman" w:cs="Times New Roman" w:eastAsia="Times New Roman" w:hAnsi="Times New Roman"/>
          <w:i/>
          <w:iCs/>
          <w:sz w:val="24"/>
          <w:szCs w:val="24"/>
        </w:rPr>
        <w:t xml:space="preserve">(A Cayman Islands Exempted Limited Partnership)</w:t>
      </w:r>
    </w:p>
    <w:p>
      <w:pPr>
        <w:spacing w:before="100"/>
      </w:pPr>
    </w:p>
    <w:p>
      <w:pPr>
        <w:spacing w:after="80" w:before="0"/>
        <w:jc w:val="center"/>
      </w:pPr>
      <w:r>
        <w:rPr>
          <w:rFonts w:ascii="Times New Roman" w:cs="Times New Roman" w:eastAsia="Times New Roman" w:hAnsi="Times New Roman"/>
          <w:sz w:val="26"/>
          <w:szCs w:val="26"/>
        </w:rPr>
        <w:t xml:space="preserve">An Evergreen, AI-First, FCF-First</w:t>
      </w:r>
    </w:p>
    <w:p>
      <w:pPr>
        <w:spacing w:after="80" w:before="0"/>
        <w:jc w:val="center"/>
      </w:pPr>
      <w:r>
        <w:rPr>
          <w:rFonts w:ascii="Times New Roman" w:cs="Times New Roman" w:eastAsia="Times New Roman" w:hAnsi="Times New Roman"/>
          <w:sz w:val="26"/>
          <w:szCs w:val="26"/>
        </w:rPr>
        <w:t xml:space="preserve">Multi-Asset, Multi-Strategy Permanent Capital Vehicle</w:t>
      </w:r>
    </w:p>
    <w:p>
      <w:pPr>
        <w:spacing w:before="200"/>
      </w:pPr>
    </w:p>
    <w:p>
      <w:pPr>
        <w:pBdr>
          <w:bottom w:val="single" w:color="0D1B2A" w:sz="2" w:space="1"/>
        </w:pBdr>
        <w:spacing w:after="400"/>
        <w:jc w:val="center"/>
      </w:pPr>
    </w:p>
    <w:p>
      <w:pPr>
        <w:spacing w:before="200"/>
      </w:pPr>
    </w:p>
    <w:p>
      <w:pPr>
        <w:spacing w:after="60" w:before="0"/>
        <w:jc w:val="center"/>
      </w:pPr>
      <w:r>
        <w:rPr>
          <w:rFonts w:ascii="Times New Roman" w:cs="Times New Roman" w:eastAsia="Times New Roman" w:hAnsi="Times New Roman"/>
          <w:b/>
          <w:bCs/>
          <w:sz w:val="22"/>
          <w:szCs w:val="22"/>
        </w:rPr>
        <w:t xml:space="preserve">General Partner</w:t>
      </w:r>
    </w:p>
    <w:p>
      <w:pPr>
        <w:spacing w:after="60" w:before="0"/>
        <w:jc w:val="center"/>
      </w:pPr>
      <w:r>
        <w:rPr>
          <w:rFonts w:ascii="Times New Roman" w:cs="Times New Roman" w:eastAsia="Times New Roman" w:hAnsi="Times New Roman"/>
          <w:sz w:val="24"/>
          <w:szCs w:val="24"/>
        </w:rPr>
        <w:t xml:space="preserve">Hushh Technologies Middle East LLC</w:t>
      </w:r>
    </w:p>
    <w:p>
      <w:pPr>
        <w:spacing w:after="200" w:before="0"/>
        <w:jc w:val="center"/>
      </w:pPr>
      <w:r>
        <w:rPr>
          <w:rFonts w:ascii="Times New Roman" w:cs="Times New Roman" w:eastAsia="Times New Roman" w:hAnsi="Times New Roman"/>
          <w:i/>
          <w:iCs/>
          <w:sz w:val="20"/>
          <w:szCs w:val="20"/>
        </w:rPr>
        <w:t xml:space="preserve">(Abu Dhabi Global Market)</w:t>
      </w:r>
    </w:p>
    <w:p>
      <w:pPr>
        <w:spacing w:after="60" w:before="0"/>
        <w:jc w:val="center"/>
      </w:pPr>
      <w:r>
        <w:rPr>
          <w:rFonts w:ascii="Times New Roman" w:cs="Times New Roman" w:eastAsia="Times New Roman" w:hAnsi="Times New Roman"/>
          <w:b/>
          <w:bCs/>
          <w:sz w:val="22"/>
          <w:szCs w:val="22"/>
        </w:rPr>
        <w:t xml:space="preserve">Founder &amp; Chief Investment Officer</w:t>
      </w:r>
    </w:p>
    <w:p>
      <w:pPr>
        <w:spacing w:after="60" w:before="0"/>
        <w:jc w:val="center"/>
      </w:pPr>
      <w:r>
        <w:rPr>
          <w:rFonts w:ascii="Times New Roman" w:cs="Times New Roman" w:eastAsia="Times New Roman" w:hAnsi="Times New Roman"/>
          <w:sz w:val="24"/>
          <w:szCs w:val="24"/>
        </w:rPr>
        <w:t xml:space="preserve">Manish Sainani</w:t>
      </w:r>
    </w:p>
    <w:p>
      <w:pPr>
        <w:spacing w:after="60" w:before="0"/>
        <w:jc w:val="center"/>
      </w:pPr>
      <w:r>
        <w:rPr>
          <w:rFonts w:ascii="Times New Roman" w:cs="Times New Roman" w:eastAsia="Times New Roman" w:hAnsi="Times New Roman"/>
          <w:i/>
          <w:iCs/>
          <w:sz w:val="20"/>
          <w:szCs w:val="20"/>
        </w:rPr>
        <w:t xml:space="preserve">Former GM/Director - AI Products: Google, Microsoft, Splunk</w:t>
      </w:r>
    </w:p>
    <w:p>
      <w:pPr>
        <w:spacing w:after="300" w:before="0"/>
        <w:jc w:val="center"/>
      </w:pPr>
      <w:r>
        <w:rPr>
          <w:rFonts w:ascii="Times New Roman" w:cs="Times New Roman" w:eastAsia="Times New Roman" w:hAnsi="Times New Roman"/>
          <w:i/>
          <w:iCs/>
          <w:sz w:val="20"/>
          <w:szCs w:val="20"/>
        </w:rPr>
        <w:t xml:space="preserve">Stanford GSB MBA | UBS Investment Banking</w:t>
      </w:r>
    </w:p>
    <w:p>
      <w:pPr>
        <w:spacing w:after="60" w:before="0"/>
        <w:jc w:val="center"/>
      </w:pPr>
      <w:r>
        <w:rPr>
          <w:rFonts w:ascii="Times New Roman" w:cs="Times New Roman" w:eastAsia="Times New Roman" w:hAnsi="Times New Roman"/>
          <w:sz w:val="20"/>
          <w:szCs w:val="20"/>
        </w:rPr>
        <w:t xml:space="preserve">Legal Counsel: McDermott Will &amp; Emery LLP</w:t>
      </w:r>
    </w:p>
    <w:p>
      <w:pPr>
        <w:spacing w:after="300" w:before="0"/>
        <w:jc w:val="center"/>
      </w:pPr>
      <w:r>
        <w:rPr>
          <w:rFonts w:ascii="Times New Roman" w:cs="Times New Roman" w:eastAsia="Times New Roman" w:hAnsi="Times New Roman"/>
          <w:i/>
          <w:iCs/>
          <w:sz w:val="20"/>
          <w:szCs w:val="20"/>
        </w:rPr>
        <w:t xml:space="preserve">Stephanie R. Breslow, Partner - Investment Management</w:t>
      </w:r>
    </w:p>
    <w:p>
      <w:pPr>
        <w:spacing w:after="400" w:before="0"/>
        <w:jc w:val="center"/>
      </w:pPr>
      <w:r>
        <w:rPr>
          <w:rFonts w:ascii="Times New Roman" w:cs="Times New Roman" w:eastAsia="Times New Roman" w:hAnsi="Times New Roman"/>
          <w:b/>
          <w:bCs/>
          <w:sz w:val="24"/>
          <w:szCs w:val="24"/>
        </w:rPr>
        <w:t xml:space="preserve">March 2026</w:t>
      </w:r>
    </w:p>
    <w:p>
      <w:pPr>
        <w:pBdr>
          <w:top w:val="single" w:color="8B0000" w:sz="2" w:space="1"/>
        </w:pBdr>
        <w:spacing w:before="200" w:after="100"/>
        <w:jc w:val="center"/>
      </w:pPr>
    </w:p>
    <w:p>
      <w:pPr>
        <w:spacing w:after="100" w:before="0"/>
        <w:jc w:val="center"/>
      </w:pPr>
      <w:r>
        <w:rPr>
          <w:rFonts w:ascii="Times New Roman" w:cs="Times New Roman" w:eastAsia="Times New Roman" w:hAnsi="Times New Roman"/>
          <w:color w:val="8B0000"/>
          <w:sz w:val="16"/>
          <w:szCs w:val="16"/>
        </w:rPr>
        <w:t xml:space="preserve">THIS PROSPECTUS IS CONFIDENTIAL AND IS PROVIDED SOLELY FOR INFORMATIONAL PURPOSES TO QUALIFIED PURCHASERS AND THEIR AUTHORIZED REPRESENTATIVES. THIS DOCUMENT DOES NOT CONSTITUTE AN OFFER TO SELL OR A SOLICITATION OF AN OFFER TO BUY ANY SECURITIES IN ANY JURISDICTION WHERE SUCH OFFER OR SOLICITATION WOULD BE UNLAWFUL. INTERESTS IN THE FUND HAVE NOT BEEN AND WILL NOT BE REGISTERED UNDER THE U.S. SECURITIES ACT OF 1933 OR ANY STATE SECURITIES LAWS.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 INVESTMENT THESIS</w:t>
      </w:r>
    </w:p>
    <w:p>
      <w:pPr>
        <w:pStyle w:val="Heading2"/>
      </w:pPr>
      <w:r>
        <w:rPr>
          <w:b/>
          <w:bCs/>
        </w:rPr>
        <w:t xml:space="preserve">The Core Insight</w:t>
      </w:r>
    </w:p>
    <w:p>
      <w:pPr>
        <w:spacing w:after="200" w:before="0"/>
        <w:jc w:val="both"/>
      </w:pPr>
      <w:r>
        <w:rPr>
          <w:rFonts w:ascii="Times New Roman" w:cs="Times New Roman" w:eastAsia="Times New Roman" w:hAnsi="Times New Roman"/>
          <w:sz w:val="24"/>
          <w:szCs w:val="24"/>
        </w:rPr>
        <w:t xml:space="preserve">Hushh Alpha Aloha Fund A, LP (the "Fund") is built on a single, powerful observation: the world's most valuable businesses are also the world's most prolific cash generators, and the market systematically misprices them during periods of fear and greed. The Fund exists to exploit this mispricing through a disciplined, AI-enhanced system that converts market emotion into permanent ownership of the planet's highest free cash flow producing enterprises.</w:t>
      </w:r>
    </w:p>
    <w:p>
      <w:pPr>
        <w:spacing w:after="200" w:before="0"/>
        <w:jc w:val="both"/>
      </w:pPr>
      <w:r>
        <w:rPr>
          <w:rFonts w:ascii="Times New Roman" w:cs="Times New Roman" w:eastAsia="Times New Roman" w:hAnsi="Times New Roman"/>
          <w:sz w:val="24"/>
          <w:szCs w:val="24"/>
        </w:rPr>
        <w:t xml:space="preserve">The Fund is not an options fund, a quantitative hedge fund, or a passive index vehicle. It is a share accumulation engine — a systematic machine designed to own more shares of the world's best businesses after every market cycle than it did before. Options are the fuel. Free cash flow is the compass. Discipline is the edge.</w:t>
      </w:r>
    </w:p>
    <w:p>
      <w:pPr>
        <w:pStyle w:val="Heading2"/>
      </w:pPr>
      <w:r>
        <w:rPr>
          <w:b/>
          <w:bCs/>
        </w:rPr>
        <w:t xml:space="preserve">The Investment Objective</w:t>
      </w:r>
    </w:p>
    <w:p>
      <w:pPr>
        <w:spacing w:after="200" w:before="0"/>
        <w:jc w:val="both"/>
      </w:pPr>
      <w:r>
        <w:rPr>
          <w:rFonts w:ascii="Times New Roman" w:cs="Times New Roman" w:eastAsia="Times New Roman" w:hAnsi="Times New Roman"/>
          <w:sz w:val="24"/>
          <w:szCs w:val="24"/>
        </w:rPr>
        <w:t xml:space="preserve">The Fund's primary objective is the systematic accumulation of shares in the world's twenty-seven (27) largest free cash flow generating businesses, weighted by their contribution to global economic output, using options overlays to convert market fear and greed into additional ownership at the lowest possible cost basis, with the target of beating the MSCI All Country World Index (ACWI) by two hundred basis points (200 bps) net of all fees and expenses over a rolling five-year period.</w:t>
      </w:r>
    </w:p>
    <w:p>
      <w:pPr>
        <w:pStyle w:val="Heading2"/>
      </w:pPr>
      <w:r>
        <w:rPr>
          <w:b/>
          <w:bCs/>
        </w:rPr>
        <w:t xml:space="preserve">Why This Works</w:t>
      </w:r>
    </w:p>
    <w:p>
      <w:pPr>
        <w:spacing w:after="200"/>
        <w:jc w:val="both"/>
      </w:pPr>
      <w:r>
        <w:rPr>
          <w:rFonts w:ascii="Times New Roman" w:cs="Times New Roman" w:eastAsia="Times New Roman" w:hAnsi="Times New Roman"/>
          <w:b/>
          <w:bCs/>
          <w:sz w:val="24"/>
          <w:szCs w:val="24"/>
        </w:rPr>
        <w:t xml:space="preserve">Free cash flow is gravity. </w:t>
      </w:r>
      <w:r>
        <w:rPr>
          <w:rFonts w:ascii="Times New Roman" w:cs="Times New Roman" w:eastAsia="Times New Roman" w:hAnsi="Times New Roman"/>
          <w:sz w:val="24"/>
          <w:szCs w:val="24"/>
        </w:rPr>
        <w:t xml:space="preserve">Over any ten-year period, equity prices converge toward the present value of future free cash flows. Companies generating $50 billion, $75 billion, or $100 billion in annual FCF are not speculative bets — they are the economic infrastructure of global GDP. They power cloud computing, process payments, manufacture semiconductors, distribute healthcare, and operate the financial rails on which the world economy runs. Their cash flows are not discretionary. They are structural.</w:t>
      </w:r>
    </w:p>
    <w:p>
      <w:pPr>
        <w:spacing w:after="200"/>
        <w:jc w:val="both"/>
      </w:pPr>
      <w:r>
        <w:rPr>
          <w:rFonts w:ascii="Times New Roman" w:cs="Times New Roman" w:eastAsia="Times New Roman" w:hAnsi="Times New Roman"/>
          <w:b/>
          <w:bCs/>
          <w:sz w:val="24"/>
          <w:szCs w:val="24"/>
        </w:rPr>
        <w:t xml:space="preserve">Markets are emotional. </w:t>
      </w:r>
      <w:r>
        <w:rPr>
          <w:rFonts w:ascii="Times New Roman" w:cs="Times New Roman" w:eastAsia="Times New Roman" w:hAnsi="Times New Roman"/>
          <w:sz w:val="24"/>
          <w:szCs w:val="24"/>
        </w:rPr>
        <w:t xml:space="preserve">Despite the fundamental durability of these businesses, their equity prices swing 20-40% in a typical year driven by macroeconomic fear, geopolitical uncertainty, earnings sentiment, and positioning flows. These swings create the opportunity: when the market is fearful, the Fund buys. When the market is greedy, the Fund sells option premium against its holdings. In both cases, the proceeds are reinvested into more shares.</w:t>
      </w:r>
    </w:p>
    <w:p>
      <w:pPr>
        <w:spacing w:after="200"/>
        <w:jc w:val="both"/>
      </w:pPr>
      <w:r>
        <w:rPr>
          <w:rFonts w:ascii="Times New Roman" w:cs="Times New Roman" w:eastAsia="Times New Roman" w:hAnsi="Times New Roman"/>
          <w:b/>
          <w:bCs/>
          <w:sz w:val="24"/>
          <w:szCs w:val="24"/>
        </w:rPr>
        <w:t xml:space="preserve">Compounding is non-linear. </w:t>
      </w:r>
      <w:r>
        <w:rPr>
          <w:rFonts w:ascii="Times New Roman" w:cs="Times New Roman" w:eastAsia="Times New Roman" w:hAnsi="Times New Roman"/>
          <w:sz w:val="24"/>
          <w:szCs w:val="24"/>
        </w:rPr>
        <w:t xml:space="preserve">The Fund operates two compounding engines simultaneously. Engine One is the underlying FCF growth of the portfolio companies — businesses growing free cash flow at 10-25% annually. Engine Two is the DRIP-ON system — the systematic reinvestment of all option premium, dividend income, and interest income into additional shares. Over a decade, a position that has been through fifteen to twenty overbought/oversold cycles with premium reinvested can accumulate 30-40% more shares than a buy-and-hold equivalent, funded entirely by the market's own emotional volatility.</w:t>
      </w:r>
    </w:p>
    <w:p>
      <w:pPr>
        <w:pStyle w:val="Heading2"/>
      </w:pPr>
      <w:r>
        <w:rPr>
          <w:b/>
          <w:bCs/>
        </w:rPr>
        <w:t xml:space="preserve">The Permanent Capital Advantage</w:t>
      </w:r>
    </w:p>
    <w:p>
      <w:pPr>
        <w:spacing w:after="200" w:before="0"/>
        <w:jc w:val="both"/>
      </w:pPr>
      <w:r>
        <w:rPr>
          <w:rFonts w:ascii="Times New Roman" w:cs="Times New Roman" w:eastAsia="Times New Roman" w:hAnsi="Times New Roman"/>
          <w:sz w:val="24"/>
          <w:szCs w:val="24"/>
        </w:rPr>
        <w:t xml:space="preserve">The Fund is structured as an Evergreen vehicle with no fixed termination date, no mandatory wind-down, and no pressure to return capital on an artificial timeline. This structure, modeled on Berkshire Hathaway's permanent capital philosophy and Sequoia Capital's evergreen fund architecture, provides three critical advantages: (1) the ability to hold through full market cycles without forced selling; (2) the compounding runway necessary for the DRIP-ON methodology to generate its full mathematical advantage; and (3) alignment with the multi-decade time horizons of sovereign wealth funds, endowments, and multi-generational family offices.</w:t>
      </w:r>
    </w:p>
    <w:p>
      <w:r>
        <w:br w:type="page"/>
      </w:r>
    </w:p>
    <w:p>
      <w:pPr>
        <w:pStyle w:val="Heading1"/>
      </w:pPr>
      <w:r>
        <w:rPr>
          <w:b/>
          <w:bCs/>
        </w:rPr>
        <w:t xml:space="preserve">II. THE ALPHA BETS 27 PORTFOLIO</w:t>
      </w:r>
    </w:p>
    <w:p>
      <w:pPr>
        <w:pStyle w:val="Heading2"/>
      </w:pPr>
      <w:r>
        <w:rPr>
          <w:b/>
          <w:bCs/>
        </w:rPr>
        <w:t xml:space="preserve">Portfolio Construction Philosophy</w:t>
      </w:r>
    </w:p>
    <w:p>
      <w:pPr>
        <w:spacing w:after="200" w:before="0"/>
        <w:jc w:val="both"/>
      </w:pPr>
      <w:r>
        <w:rPr>
          <w:rFonts w:ascii="Times New Roman" w:cs="Times New Roman" w:eastAsia="Times New Roman" w:hAnsi="Times New Roman"/>
          <w:sz w:val="24"/>
          <w:szCs w:val="24"/>
        </w:rPr>
        <w:t xml:space="preserve">The Alpha Bets 27 Portfolio is a concentrated, conviction-weighted portfolio of up to twenty-seven equity positions in the world's highest absolute free cash flow generating businesses. The portfolio is organized into four tiers based on the magnitude of trailing twelve-month free cash flow (or net income for financial sector holdings):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900"/>
        <w:gridCol w:w="3760"/>
        <w:gridCol w:w="1200"/>
      </w:tblGrid>
      <w:tr>
        <w:tc>
          <w:tcPr>
            <w:tcW w:type="dxa" w:w="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Tier</w:t>
            </w:r>
          </w:p>
        </w:tc>
        <w:tc>
          <w:tcPr>
            <w:tcW w:type="dxa" w:w="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Name</w:t>
            </w:r>
          </w:p>
        </w:tc>
        <w:tc>
          <w:tcPr>
            <w:tcW w:type="dxa" w:w="1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FCF Threshold</w:t>
            </w:r>
          </w:p>
        </w:tc>
        <w:tc>
          <w:tcPr>
            <w:tcW w:type="dxa" w:w="3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Characteristics</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Typical Count</w:t>
            </w:r>
          </w:p>
        </w:tc>
      </w:tr>
      <w:tr>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1</w:t>
            </w:r>
          </w:p>
        </w:tc>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Aces</w:t>
            </w:r>
          </w:p>
        </w:tc>
        <w:tc>
          <w:tcPr>
            <w:tcW w:type="dxa" w:w="1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&gt;$50B TTM FCF</w:t>
            </w:r>
          </w:p>
        </w:tc>
        <w:tc>
          <w:tcPr>
            <w:tcW w:type="dxa" w:w="3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Largest cash generators on Earth; dominant global franchises</w:t>
            </w:r>
          </w:p>
        </w:tc>
        <w:tc>
          <w:tcPr>
            <w:tcW w:type="dxa" w:w="1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2</w:t>
            </w:r>
          </w:p>
        </w:tc>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Kings</w:t>
            </w:r>
          </w:p>
        </w:tc>
        <w:tc>
          <w:tcPr>
            <w:tcW w:type="dxa" w:w="1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$25B-$50B TTM FCF</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Major cash generators with durable competitive moats</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3</w:t>
            </w:r>
          </w:p>
        </w:tc>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Queens</w:t>
            </w:r>
          </w:p>
        </w:tc>
        <w:tc>
          <w:tcPr>
            <w:tcW w:type="dxa" w:w="1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$10B-$25B TTM FCF</w:t>
            </w:r>
          </w:p>
        </w:tc>
        <w:tc>
          <w:tcPr>
            <w:tcW w:type="dxa" w:w="3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Established businesses with accelerating FCF growth</w:t>
            </w:r>
          </w:p>
        </w:tc>
        <w:tc>
          <w:tcPr>
            <w:tcW w:type="dxa" w:w="1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4</w:t>
            </w:r>
          </w:p>
        </w:tc>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Jacks</w:t>
            </w:r>
          </w:p>
        </w:tc>
        <w:tc>
          <w:tcPr>
            <w:tcW w:type="dxa" w:w="1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$5B-$10B TTM FCF</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High-growth businesses; future Aces and Kings</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3-6</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FCF Contribution Weighting</w:t>
      </w:r>
    </w:p>
    <w:p>
      <w:pPr>
        <w:spacing w:after="200" w:before="0"/>
        <w:jc w:val="both"/>
      </w:pPr>
      <w:r>
        <w:rPr>
          <w:rFonts w:ascii="Times New Roman" w:cs="Times New Roman" w:eastAsia="Times New Roman" w:hAnsi="Times New Roman"/>
          <w:sz w:val="24"/>
          <w:szCs w:val="24"/>
        </w:rPr>
        <w:t xml:space="preserve">Unlike market-capitalization weighting (which overweights expensive stocks) or equal weighting (which ignores fundamental differences), the Alpha Bets 27 Portfolio uses Free Cash Flow Contribution Weighting. Each position is sized in proportion to its contribution to the portfolio's aggregate absolute free cash flow. If Apple generates $110 billion in trailing FCF and the portfolio's aggregate FCF is $400 billion, Apple's target weight is 27.5%.</w:t>
      </w:r>
    </w:p>
    <w:p>
      <w:pPr>
        <w:spacing w:after="200" w:before="0"/>
        <w:jc w:val="both"/>
      </w:pPr>
      <w:r>
        <w:rPr>
          <w:rFonts w:ascii="Times New Roman" w:cs="Times New Roman" w:eastAsia="Times New Roman" w:hAnsi="Times New Roman"/>
          <w:sz w:val="24"/>
          <w:szCs w:val="24"/>
        </w:rPr>
        <w:t xml:space="preserve">This methodology produces a portfolio that is weighted toward where the world's profits are actually being generated and flowing — not where market sentiment or momentum has temporarily pushed prices. The FCF Contribution Weights are recalculated quarterly using the most recently available trailing twelve-month financial data, and rebalancing is accomplished primarily through directed options activity (selling puts on underweight positions, selling calls on overweight positions) rather than through equity sales, minimizing tax drag and transaction costs.</w:t>
      </w:r>
    </w:p>
    <w:p>
      <w:pPr>
        <w:pStyle w:val="Heading2"/>
      </w:pPr>
      <w:r>
        <w:rPr>
          <w:b/>
          <w:bCs/>
        </w:rPr>
        <w:t xml:space="preserve">Financial Sector Holdings</w:t>
      </w:r>
    </w:p>
    <w:p>
      <w:pPr>
        <w:spacing w:after="200" w:before="0"/>
        <w:jc w:val="both"/>
      </w:pPr>
      <w:r>
        <w:rPr>
          <w:rFonts w:ascii="Times New Roman" w:cs="Times New Roman" w:eastAsia="Times New Roman" w:hAnsi="Times New Roman"/>
          <w:sz w:val="24"/>
          <w:szCs w:val="24"/>
        </w:rPr>
        <w:t xml:space="preserve">For financial services companies (banks, insurers, payment processors), where free cash flow is not a meaningful metric due to the nature of financial intermediation, the Fund uses trailing twelve-month net income as the sizing metric. This ensures that financial sector holdings like Berkshire Hathaway, JPMorgan Chase, and Visa are appropriately weighted based on their actual profit generation rather than an inapplicable cash flow metric. A trailing three-year average is used for both metrics to smooth cyclicality.</w:t>
      </w:r>
    </w:p>
    <w:p>
      <w:pPr>
        <w:pStyle w:val="Heading2"/>
      </w:pPr>
      <w:r>
        <w:rPr>
          <w:b/>
          <w:bCs/>
        </w:rPr>
        <w:t xml:space="preserve">Global GDP Pillar Alignment</w:t>
      </w:r>
    </w:p>
    <w:p>
      <w:pPr>
        <w:spacing w:after="200" w:before="0"/>
        <w:jc w:val="both"/>
      </w:pPr>
      <w:r>
        <w:rPr>
          <w:rFonts w:ascii="Times New Roman" w:cs="Times New Roman" w:eastAsia="Times New Roman" w:hAnsi="Times New Roman"/>
          <w:sz w:val="24"/>
          <w:szCs w:val="24"/>
        </w:rPr>
        <w:t xml:space="preserve">The Alpha Bets 27 are not selected based on sector labels or index classifications. They are selected because they represent the dominant cash-generating enterprises within the structural pillars of global GDP. Global economic output of approximately $105 trillion is concentrated in six pillars that constitute 70-80% of total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60"/>
      </w:tblGrid>
      <w:tr>
        <w:tc>
          <w:tcPr>
            <w:tcW w:type="dxa" w:w="2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GDP Pillar</w:t>
            </w:r>
          </w:p>
        </w:tc>
        <w:tc>
          <w:tcPr>
            <w:tcW w:type="dxa" w:w="14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 of Global GDP</w:t>
            </w:r>
          </w:p>
        </w:tc>
        <w:tc>
          <w:tcPr>
            <w:tcW w:type="dxa" w:w="3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Alpha Bets Representation</w:t>
            </w:r>
          </w:p>
        </w:tc>
        <w:tc>
          <w:tcPr>
            <w:tcW w:type="dxa" w:w="23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AI/Data Tailwind</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Financial Services &amp; Payments</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20-22%</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Berkshire, JPMorgan, Visa, Mastercard</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underwriting, fraud detection, real-time payments</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Technology &amp; Cloud Infrastructure</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Apple, Microsoft, Alphabet, Meta, Amazon</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Hyperscaler capex, enterprise AI adoption</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Healthcare &amp; Pharmaceuticals</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10-12%</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UnitedHealth, Johnson &amp; Johnson, Eli Lilly</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drug discovery, precision medicine, claims automation</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Energy &amp; Energy Transition</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Saudi Aramco, ExxonMobil, NextEra</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grid optimization, production efficiency</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Consumer Platforms &amp; Retail</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8-10%</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Amazon, Costco, LVMH</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Personalization, supply chain AI, demand forecasting</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Industrials, Semis &amp; Logistics</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8-10%</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TSMC, NVIDIA, Broadcom, Caterpillar</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compute demand, autonomous systems, Industry 4.0</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Fund does not pick "AI stocks." It picks the dominant cash generators within each GDP pillar whose FCF growth is being accelerated by AI and data-driven transformation. This is a fundamentally different and more defensible thesis than sector-based AI investing.</w:t>
      </w:r>
    </w:p>
    <w:p>
      <w:pPr>
        <w:pStyle w:val="Heading2"/>
      </w:pPr>
      <w:r>
        <w:rPr>
          <w:b/>
          <w:bCs/>
        </w:rPr>
        <w:t xml:space="preserve">Selection Criteria: The "Aces of Aces" Filter</w:t>
      </w:r>
    </w:p>
    <w:p>
      <w:pPr>
        <w:spacing w:after="200" w:before="0"/>
        <w:jc w:val="both"/>
      </w:pPr>
      <w:r>
        <w:rPr>
          <w:rFonts w:ascii="Times New Roman" w:cs="Times New Roman" w:eastAsia="Times New Roman" w:hAnsi="Times New Roman"/>
          <w:sz w:val="24"/>
          <w:szCs w:val="24"/>
        </w:rPr>
        <w:t xml:space="preserve">To qualify for inclusion in the Alpha Bets 27 Portfolio, a company must satisfy all of the following criteria:</w:t>
      </w:r>
    </w:p>
    <w:p>
      <w:pPr>
        <w:spacing w:after="200" w:before="0"/>
        <w:ind w:left="720"/>
        <w:jc w:val="both"/>
      </w:pPr>
      <w:r>
        <w:rPr>
          <w:rFonts w:ascii="Times New Roman" w:cs="Times New Roman" w:eastAsia="Times New Roman" w:hAnsi="Times New Roman"/>
          <w:sz w:val="24"/>
          <w:szCs w:val="24"/>
        </w:rPr>
        <w:t xml:space="preserve">1. Absolute FCF Magnitude: Minimum $5 billion in trailing twelve-month free cash flow (or net income for financial sector companies), placing it in the top decile globally.</w:t>
      </w:r>
    </w:p>
    <w:p>
      <w:pPr>
        <w:spacing w:after="200" w:before="0"/>
        <w:ind w:left="720"/>
        <w:jc w:val="both"/>
      </w:pPr>
      <w:r>
        <w:rPr>
          <w:rFonts w:ascii="Times New Roman" w:cs="Times New Roman" w:eastAsia="Times New Roman" w:hAnsi="Times New Roman"/>
          <w:sz w:val="24"/>
          <w:szCs w:val="24"/>
        </w:rPr>
        <w:t xml:space="preserve">2. FCF Growth Trajectory: Demonstrated FCF growth above 10% CAGR over the trailing five years, indicating structural rather than cyclical profitability.</w:t>
      </w:r>
    </w:p>
    <w:p>
      <w:pPr>
        <w:spacing w:after="200" w:before="0"/>
        <w:ind w:left="720"/>
        <w:jc w:val="both"/>
      </w:pPr>
      <w:r>
        <w:rPr>
          <w:rFonts w:ascii="Times New Roman" w:cs="Times New Roman" w:eastAsia="Times New Roman" w:hAnsi="Times New Roman"/>
          <w:sz w:val="24"/>
          <w:szCs w:val="24"/>
        </w:rPr>
        <w:t xml:space="preserve">3. GDP Pillar Alignment: Operates within a sector representing more than 5% of global GDP with identifiable secular tailwinds, ensuring the business benefits from structural economic growth rather than transient demand.</w:t>
      </w:r>
    </w:p>
    <w:p>
      <w:pPr>
        <w:spacing w:after="200" w:before="0"/>
        <w:ind w:left="720"/>
        <w:jc w:val="both"/>
      </w:pPr>
      <w:r>
        <w:rPr>
          <w:rFonts w:ascii="Times New Roman" w:cs="Times New Roman" w:eastAsia="Times New Roman" w:hAnsi="Times New Roman"/>
          <w:sz w:val="24"/>
          <w:szCs w:val="24"/>
        </w:rPr>
        <w:t xml:space="preserve">4. Competitive Moat Durability: Possesses quantifiable competitive advantages (network effects, switching costs, scale economies, regulatory barriers, or intellectual property) that protect FCF generation against competitive erosion.</w:t>
      </w:r>
    </w:p>
    <w:p>
      <w:pPr>
        <w:spacing w:after="200" w:before="0"/>
        <w:ind w:left="720"/>
        <w:jc w:val="both"/>
      </w:pPr>
      <w:r>
        <w:rPr>
          <w:rFonts w:ascii="Times New Roman" w:cs="Times New Roman" w:eastAsia="Times New Roman" w:hAnsi="Times New Roman"/>
          <w:sz w:val="24"/>
          <w:szCs w:val="24"/>
        </w:rPr>
        <w:t xml:space="preserve">5. Options Liquidity: Maintains deep, liquid options chains sufficient for the DNSA Engine to execute covered call and cash-secured put strategies with tight bid-ask spreads and adequate open interest across relevant strike prices and expirations.</w:t>
      </w:r>
    </w:p>
    <w:p>
      <w:pPr>
        <w:spacing w:after="200" w:before="0"/>
        <w:jc w:val="both"/>
      </w:pPr>
      <w:r>
        <w:rPr>
          <w:rFonts w:ascii="Times New Roman" w:cs="Times New Roman" w:eastAsia="Times New Roman" w:hAnsi="Times New Roman"/>
          <w:sz w:val="24"/>
          <w:szCs w:val="24"/>
        </w:rPr>
        <w:t xml:space="preserve">This filter produces a global universe of approximately 40-50 qualifying companies, from which the General Partner curates 27 based on the FCF Contribution Weighting methodology and the maximum position count constraint (Iron Rule 5).</w:t>
      </w:r>
    </w:p>
    <w:p>
      <w:r>
        <w:br w:type="page"/>
      </w:r>
    </w:p>
    <w:p>
      <w:pPr>
        <w:pStyle w:val="Heading1"/>
      </w:pPr>
      <w:r>
        <w:rPr>
          <w:b/>
          <w:bCs/>
        </w:rPr>
        <w:t xml:space="preserve">III. THE DNSA ENGINE: DYNAMIC NET SHARE ACCUMULATION</w:t>
      </w:r>
    </w:p>
    <w:p>
      <w:pPr>
        <w:pStyle w:val="Heading2"/>
      </w:pPr>
      <w:r>
        <w:rPr>
          <w:b/>
          <w:bCs/>
        </w:rPr>
        <w:t xml:space="preserve">Overview</w:t>
      </w:r>
    </w:p>
    <w:p>
      <w:pPr>
        <w:spacing w:after="200" w:before="0"/>
        <w:jc w:val="both"/>
      </w:pPr>
      <w:r>
        <w:rPr>
          <w:rFonts w:ascii="Times New Roman" w:cs="Times New Roman" w:eastAsia="Times New Roman" w:hAnsi="Times New Roman"/>
          <w:sz w:val="24"/>
          <w:szCs w:val="24"/>
        </w:rPr>
        <w:t xml:space="preserve">The DNSA Engine is the Fund's proprietary, AI-first systematic options overlay system. It is the mechanism through which market emotion — fear and greed — is converted into additional ownership of the Alpha Bets 27 positions. The DNSA Engine executes two primary strategies: covered call writing against the Fund's equity holdings during periods of market greed, and cash-secured put selling against the Fund's Treasury collateral during periods of market fear.</w:t>
      </w:r>
    </w:p>
    <w:p>
      <w:pPr>
        <w:spacing w:after="200" w:before="0"/>
        <w:jc w:val="both"/>
      </w:pPr>
      <w:r>
        <w:rPr>
          <w:rFonts w:ascii="Times New Roman" w:cs="Times New Roman" w:eastAsia="Times New Roman" w:hAnsi="Times New Roman"/>
          <w:sz w:val="24"/>
          <w:szCs w:val="24"/>
        </w:rPr>
        <w:t xml:space="preserve">The DNSA Engine is not a separate profit center. It is the execution arm of the Fund's core philosophy: every dollar of option premium is fuel for acquiring more shares. Premium is not the product. More shares of the world's most profitable businesses is the product.</w:t>
      </w:r>
    </w:p>
    <w:p>
      <w:pPr>
        <w:pStyle w:val="Heading2"/>
      </w:pPr>
      <w:r>
        <w:rPr>
          <w:b/>
          <w:bCs/>
        </w:rPr>
        <w:t xml:space="preserve">Architecture</w:t>
      </w:r>
    </w:p>
    <w:p>
      <w:pPr>
        <w:spacing w:after="200" w:before="0"/>
        <w:jc w:val="both"/>
      </w:pPr>
      <w:r>
        <w:rPr>
          <w:rFonts w:ascii="Times New Roman" w:cs="Times New Roman" w:eastAsia="Times New Roman" w:hAnsi="Times New Roman"/>
          <w:sz w:val="24"/>
          <w:szCs w:val="24"/>
        </w:rPr>
        <w:t xml:space="preserve">The DNSA Engine operates on a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Layer</w:t>
            </w:r>
          </w:p>
        </w:tc>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Function</w:t>
            </w:r>
          </w:p>
        </w:tc>
        <w:tc>
          <w:tcPr>
            <w:tcW w:type="dxa" w:w="45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Key Components</w:t>
            </w:r>
          </w:p>
        </w:tc>
      </w:tr>
      <w:tr>
        <w:tc>
          <w:tcPr>
            <w:tcW w:type="dxa" w:w="2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1: Data Ingestion</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Real-time market data aggregation</w:t>
            </w:r>
          </w:p>
        </w:tc>
        <w:tc>
          <w:tcPr>
            <w:tcW w:type="dxa" w:w="45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Price feeds, options chains, volatility surfaces, order flow, fundamental data, macro indicators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2: Signal Generation</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Fear/Greed identification and scoring</w:t>
            </w:r>
          </w:p>
        </w:tc>
        <w:tc>
          <w:tcPr>
            <w:tcW w:type="dxa" w:w="45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RSI (weekly), Implied Volatility Rank (52-week), Put/Call Ratio, VIX term structure, Bollinger Band position, credit spreads</w:t>
            </w:r>
          </w:p>
        </w:tc>
      </w:tr>
      <w:tr>
        <w:tc>
          <w:tcPr>
            <w:tcW w:type="dxa" w:w="2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3: Execution</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Trade generation and order management</w:t>
            </w:r>
          </w:p>
        </w:tc>
        <w:tc>
          <w:tcPr>
            <w:tcW w:type="dxa" w:w="45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Covered call selection, put strike/expiry optimization, DRIP-ON reinvestment routing, assignment detection and repurchase</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4: Risk Management</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Real-time compliance and monitoring</w:t>
            </w:r>
          </w:p>
        </w:tc>
        <w:tc>
          <w:tcPr>
            <w:tcW w:type="dxa" w:w="45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monitoring, put capacity management, Iron Rule verification, assignment exposure tracking, counterparty exposure</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The Asymmetric Entry/Exit Framework</w:t>
      </w:r>
    </w:p>
    <w:p>
      <w:pPr>
        <w:spacing w:after="200" w:before="0"/>
        <w:jc w:val="both"/>
      </w:pPr>
      <w:r>
        <w:rPr>
          <w:rFonts w:ascii="Times New Roman" w:cs="Times New Roman" w:eastAsia="Times New Roman" w:hAnsi="Times New Roman"/>
          <w:sz w:val="24"/>
          <w:szCs w:val="24"/>
        </w:rPr>
        <w:t xml:space="preserve">The DNSA Engine employs an intentionally asymmetric approach to buying and selling:</w:t>
      </w:r>
    </w:p>
    <w:p>
      <w:pPr>
        <w:spacing w:after="200" w:before="0"/>
        <w:jc w:val="both"/>
      </w:pPr>
      <w:r>
        <w:rPr>
          <w:rFonts w:ascii="Times New Roman" w:cs="Times New Roman" w:eastAsia="Times New Roman" w:hAnsi="Times New Roman"/>
          <w:b/>
          <w:bCs/>
          <w:sz w:val="24"/>
          <w:szCs w:val="24"/>
        </w:rPr>
        <w:t xml:space="preserve">Selling Calls (Harvesting Greed) — Moderate Threshold, High Frequency</w:t>
      </w:r>
    </w:p>
    <w:p>
      <w:pPr>
        <w:spacing w:after="200" w:before="0"/>
        <w:jc w:val="both"/>
      </w:pPr>
      <w:r>
        <w:rPr>
          <w:rFonts w:ascii="Times New Roman" w:cs="Times New Roman" w:eastAsia="Times New Roman" w:hAnsi="Times New Roman"/>
          <w:sz w:val="24"/>
          <w:szCs w:val="24"/>
        </w:rPr>
        <w:t xml:space="preserve">The Fund sells covered calls against equity holdings when implied volatility rank exceeds the 70th percentile on a 52-week lookback and the underlying security exhibits overbought conditions (RSI above 65 on weekly timeframes, price touching upper Bollinger Band on monthly charts). Because Iron Rule 1 protects the Fund from permanent share reduction (any assigned shares are repurchased within three Business Days), the Fund can afford to sell calls relatively frequently at moderate overbought levels. The premium collected from each call sale enters the DRIP-ON reinvestment pipeline.</w:t>
      </w:r>
    </w:p>
    <w:p>
      <w:pPr>
        <w:spacing w:after="200" w:before="0"/>
        <w:jc w:val="both"/>
      </w:pPr>
      <w:r>
        <w:rPr>
          <w:rFonts w:ascii="Times New Roman" w:cs="Times New Roman" w:eastAsia="Times New Roman" w:hAnsi="Times New Roman"/>
          <w:b/>
          <w:bCs/>
          <w:sz w:val="24"/>
          <w:szCs w:val="24"/>
        </w:rPr>
        <w:t xml:space="preserve">Selling Puts (Deploying into Fear) — Extreme Threshold, Low Frequency</w:t>
      </w:r>
    </w:p>
    <w:p>
      <w:pPr>
        <w:spacing w:after="200" w:before="0"/>
        <w:jc w:val="both"/>
      </w:pPr>
      <w:r>
        <w:rPr>
          <w:rFonts w:ascii="Times New Roman" w:cs="Times New Roman" w:eastAsia="Times New Roman" w:hAnsi="Times New Roman"/>
          <w:sz w:val="24"/>
          <w:szCs w:val="24"/>
        </w:rPr>
        <w:t xml:space="preserve">The Fund sells cash-secured puts against T-Bill Reserve collateral on underweight Alpha Bets positions when genuine extreme fear conditions are present: VIX above 30, RSI below 30 on weekly timeframes, put/call ratios spiking above 1.2, and ideally credit spreads widening simultaneously. The high threshold ensures the Fund deploys capital only at prices representing significant discounts to intrinsic value. If assigned, the Fund acquires additional shares at distressed prices while simultaneously closing the gap between actual and target FCF Contribution Weight.</w:t>
      </w:r>
    </w:p>
    <w:p>
      <w:pPr>
        <w:spacing w:after="200" w:before="0"/>
        <w:jc w:val="both"/>
      </w:pPr>
      <w:r>
        <w:rPr>
          <w:rFonts w:ascii="Times New Roman" w:cs="Times New Roman" w:eastAsia="Times New Roman" w:hAnsi="Times New Roman"/>
          <w:sz w:val="24"/>
          <w:szCs w:val="24"/>
        </w:rPr>
        <w:t xml:space="preserve">The asymmetry is the edge: sell into moderate greed frequently, buy into extreme fear rarely. Over a full market cycle, the Fund harvests dozens of small premiums during calm markets and converts them into shares at distressed prices during a handful of genuine fear events. The mathematical compounding of this cadence over a decade is extraordinary.</w:t>
      </w:r>
    </w:p>
    <w:p>
      <w:pPr>
        <w:pStyle w:val="Heading2"/>
      </w:pPr>
      <w:r>
        <w:rPr>
          <w:b/>
          <w:bCs/>
        </w:rPr>
        <w:t xml:space="preserve">The DRIP-ON Methodology</w:t>
      </w:r>
    </w:p>
    <w:p>
      <w:pPr>
        <w:spacing w:after="200" w:before="0"/>
        <w:jc w:val="both"/>
      </w:pPr>
      <w:r>
        <w:rPr>
          <w:rFonts w:ascii="Times New Roman" w:cs="Times New Roman" w:eastAsia="Times New Roman" w:hAnsi="Times New Roman"/>
          <w:sz w:val="24"/>
          <w:szCs w:val="24"/>
        </w:rPr>
        <w:t xml:space="preserve">DRIP-ON (Dividend and Premium Reinvestment Program - Optimized for Net Share Accumulation) is the Fund's second compounding engine. All income generated by the Fund — option premium, dividend income, and Treasury interest — is automatically reinvested into additional shares of Alpha Bets 27 positions in accordance with the FCF Contribution Weight targets.</w:t>
      </w:r>
    </w:p>
    <w:p>
      <w:pPr>
        <w:spacing w:after="200" w:before="0"/>
        <w:jc w:val="both"/>
      </w:pPr>
      <w:r>
        <w:rPr>
          <w:rFonts w:ascii="Times New Roman" w:cs="Times New Roman" w:eastAsia="Times New Roman" w:hAnsi="Times New Roman"/>
          <w:sz w:val="24"/>
          <w:szCs w:val="24"/>
        </w:rPr>
        <w:t xml:space="preserve">No income is distributed to Partners. No premium is extracted as yield. Every dollar of income generated by the portfolio is converted into more ownership of the same businesses that generated it. This is the key intellectual insight of the Fund: covered call premium reinvestment into buying more shares creates a second compounding engine that operates independently of, and in addition to, the underlying FCF growth of the portfolio companies.</w:t>
      </w:r>
    </w:p>
    <w:p>
      <w:pPr>
        <w:spacing w:after="200" w:before="0"/>
        <w:jc w:val="both"/>
      </w:pPr>
      <w:r>
        <w:rPr>
          <w:rFonts w:ascii="Times New Roman" w:cs="Times New Roman" w:eastAsia="Times New Roman" w:hAnsi="Times New Roman"/>
          <w:sz w:val="24"/>
          <w:szCs w:val="24"/>
        </w:rPr>
        <w:t xml:space="preserve">Over a ten-year horizon, the DRIP-ON methodology can generate 30-40% more shares than a buy-and-hold equivalent, funded entirely by the market's own emotional volatility. This makes Hushh Alpha Aloha Fund A a share accumulation strategy, not an income strategy — a distinction that fundamentally differentiates it from every other covered call fund in the market.</w:t>
      </w:r>
    </w:p>
    <w:p>
      <w:pPr>
        <w:pStyle w:val="Heading2"/>
      </w:pPr>
      <w:r>
        <w:rPr>
          <w:b/>
          <w:bCs/>
        </w:rPr>
        <w:t xml:space="preserve">Dual-Broker Execution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Broker</w:t>
            </w:r>
          </w:p>
        </w:tc>
        <w:tc>
          <w:tcPr>
            <w:tcW w:type="dxa" w:w="3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Function</w:t>
            </w:r>
          </w:p>
        </w:tc>
        <w:tc>
          <w:tcPr>
            <w:tcW w:type="dxa" w:w="39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Rationale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Primary options execution broker</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API-first architecture optimized for algorithmic options execution; FINRA/SIPC member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Interactive Brokers</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Equity custody and execution; margin management</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Institutional-grade execution across global markets; deep API integration; competitive margin rates</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Charles Schwab / Thinkorswim</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Supplemental execution; human-in-the-loop trading interface</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Thinkorswim platform provides professional-grade visualization for human oversight of DNSA Engine activity</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(at scale)</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brokerage; securities lending; capital introduction</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credibility; deep balance sheet for margin and lending; LP distribution network</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Morgan Stanley (at scale)</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brokerage; institutional distribution</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Complementary to Goldman for prime brokerage diversification and distribution reach</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 treasury management; cash custody</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Treasury sleeve custody; operational banking; institutional-grade cash management</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dual-broker architecture ensures that options execution (Alpaca) is operationally independent from equity custody (IBKR/Schwab), providing redundancy, counterparty diversification, and the ability to optimize execution quality across different venues and asset types.</w:t>
      </w:r>
    </w:p>
    <w:p>
      <w:pPr>
        <w:pStyle w:val="Heading2"/>
      </w:pPr>
      <w:r>
        <w:rPr>
          <w:b/>
          <w:bCs/>
        </w:rPr>
        <w:t xml:space="preserve">Assignment Management and Iron Rule 1 Compliance</w:t>
      </w:r>
    </w:p>
    <w:p>
      <w:pPr>
        <w:spacing w:after="200" w:before="0"/>
        <w:jc w:val="both"/>
      </w:pPr>
      <w:r>
        <w:rPr>
          <w:rFonts w:ascii="Times New Roman" w:cs="Times New Roman" w:eastAsia="Times New Roman" w:hAnsi="Times New Roman"/>
          <w:sz w:val="24"/>
          <w:szCs w:val="24"/>
        </w:rPr>
        <w:t xml:space="preserve">When a covered call is assigned and the Fund's shares are called away, the DNSA Engine initiates an automatic repurchase protocol: equivalent shares are repurchased within the same trading session when practicable, and in all cases within three Business Days, as required by Iron Rule 1. The assignment-detection-to-repurchase pipeline operates in real-time, measured in minutes rather than hours, with automated alerts to the human-in-the-loop operator for any assignment exceeding pre-set thresholds.</w:t>
      </w:r>
    </w:p>
    <w:p>
      <w:r>
        <w:br w:type="page"/>
      </w:r>
    </w:p>
    <w:p>
      <w:pPr>
        <w:pStyle w:val="Heading1"/>
      </w:pPr>
      <w:r>
        <w:rPr>
          <w:b/>
          <w:bCs/>
        </w:rPr>
        <w:t xml:space="preserve">IV. CAPITAL STRUCTURE AND THE DUAL-SLEEVE ARCHITECTURE</w:t>
      </w:r>
    </w:p>
    <w:p>
      <w:pPr>
        <w:pStyle w:val="Heading2"/>
      </w:pPr>
      <w:r>
        <w:rPr>
          <w:b/>
          <w:bCs/>
        </w:rPr>
        <w:t xml:space="preserve">The 78/22 Allocation</w:t>
      </w:r>
    </w:p>
    <w:p>
      <w:pPr>
        <w:spacing w:after="200" w:before="0"/>
        <w:jc w:val="both"/>
      </w:pPr>
      <w:r>
        <w:rPr>
          <w:rFonts w:ascii="Times New Roman" w:cs="Times New Roman" w:eastAsia="Times New Roman" w:hAnsi="Times New Roman"/>
          <w:sz w:val="24"/>
          <w:szCs w:val="24"/>
        </w:rPr>
        <w:t xml:space="preserve">The Fund's assets are divided into two complementary sleeves, each serving multiple simultaneous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Characteristic</w:t>
            </w:r>
          </w:p>
        </w:tc>
        <w:tc>
          <w:tcPr>
            <w:tcW w:type="dxa" w:w="358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Equity Sleeve (78%)</w:t>
            </w:r>
          </w:p>
        </w:tc>
        <w:tc>
          <w:tcPr>
            <w:tcW w:type="dxa" w:w="358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T-Bill Reserve (22%)</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Composition</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Alpha Bets 27 equity positions</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Short-term U.S. Treasury obligations (&lt;12 months)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Primary Function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Long-term FCF-weighted equity ownership</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Yield generation + collateral + liquidity buffer</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Maximum Leverage</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70% Loan-to-Value</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99% Loan-to-Value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Options Activity</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Covered call writing (selling greed)</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Cash-secured put selling (buying fear)</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Treatment</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Premium + dividends → DRIP-ON reinvestment</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T-Bill yield + put premium → DRIP-ON reinvestment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Rebalancing Role</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Call selling on overweight positions</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Put selling on underweight positions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Leverage Architecture and Capital Efficiency</w:t>
      </w:r>
    </w:p>
    <w:p>
      <w:pPr>
        <w:spacing w:after="200" w:before="0"/>
        <w:jc w:val="both"/>
      </w:pPr>
      <w:r>
        <w:rPr>
          <w:rFonts w:ascii="Times New Roman" w:cs="Times New Roman" w:eastAsia="Times New Roman" w:hAnsi="Times New Roman"/>
          <w:sz w:val="24"/>
          <w:szCs w:val="24"/>
        </w:rPr>
        <w:t xml:space="preserve">The Fund's leverage policy is designed for maximum capital efficiency within conservative risk bounds:</w:t>
      </w:r>
    </w:p>
    <w:p>
      <w:pPr>
        <w:spacing w:after="200" w:before="0"/>
        <w:jc w:val="both"/>
      </w:pPr>
      <w:r>
        <w:rPr>
          <w:rFonts w:ascii="Times New Roman" w:cs="Times New Roman" w:eastAsia="Times New Roman" w:hAnsi="Times New Roman"/>
          <w:b/>
          <w:bCs/>
          <w:sz w:val="24"/>
          <w:szCs w:val="24"/>
        </w:rPr>
        <w:t xml:space="preserve">Equity Sleeve Leverage (Maximum 70% LTV):</w:t>
      </w:r>
    </w:p>
    <w:p>
      <w:pPr>
        <w:spacing w:after="200" w:before="0"/>
        <w:jc w:val="both"/>
      </w:pPr>
      <w:r>
        <w:rPr>
          <w:rFonts w:ascii="Times New Roman" w:cs="Times New Roman" w:eastAsia="Times New Roman" w:hAnsi="Times New Roman"/>
          <w:sz w:val="24"/>
          <w:szCs w:val="24"/>
        </w:rPr>
        <w:t xml:space="preserve">The maximum borrowing power against the Equity Sleeve is approximately 54.6% of total NAV (78% allocation x 70% LTV). This headroom exists for assignment coverage, opportunistic accumulation during extreme fear events, and working capital — not for speculative leveraging. At the 70% cap, a 30% equity drawdown from maximum leverage would bring effective LTV to approximately 100%, meaning the Fund would need to be at full leverage AND experience a severe crash simultaneously to face margin call risk. This is conservative by institutional hedge fund standards.</w:t>
      </w:r>
    </w:p>
    <w:p>
      <w:pPr>
        <w:spacing w:after="200" w:before="0"/>
        <w:jc w:val="both"/>
      </w:pPr>
      <w:r>
        <w:rPr>
          <w:rFonts w:ascii="Times New Roman" w:cs="Times New Roman" w:eastAsia="Times New Roman" w:hAnsi="Times New Roman"/>
          <w:b/>
          <w:bCs/>
          <w:sz w:val="24"/>
          <w:szCs w:val="24"/>
        </w:rPr>
        <w:t xml:space="preserve">T-Bill Sleeve Leverage (Maximum 99% LTV):</w:t>
      </w:r>
    </w:p>
    <w:p>
      <w:pPr>
        <w:spacing w:after="200" w:before="0"/>
        <w:jc w:val="both"/>
      </w:pPr>
      <w:r>
        <w:rPr>
          <w:rFonts w:ascii="Times New Roman" w:cs="Times New Roman" w:eastAsia="Times New Roman" w:hAnsi="Times New Roman"/>
          <w:sz w:val="24"/>
          <w:szCs w:val="24"/>
        </w:rPr>
        <w:t xml:space="preserve">The T-Bill Reserve at 99% LTV means the Fund extracts nearly the full economic value from its Treasury holdings. This creates a triple-income stream from a single pool of capital: (1) T-Bill coupon yield; (2) cash-secured put premium from selling puts against the T-Bill collateral; and (3) DRIP-ON reinvestment of both income streams into additional equity shares. Most funds treat their cash reserve as dead capital. The Fund treats it as a three-function capital efficiency engine.</w:t>
      </w:r>
    </w:p>
    <w:p>
      <w:pPr>
        <w:spacing w:after="200" w:before="0"/>
        <w:jc w:val="both"/>
      </w:pPr>
      <w:r>
        <w:rPr>
          <w:rFonts w:ascii="Times New Roman" w:cs="Times New Roman" w:eastAsia="Times New Roman" w:hAnsi="Times New Roman"/>
          <w:b/>
          <w:bCs/>
          <w:sz w:val="24"/>
          <w:szCs w:val="24"/>
        </w:rPr>
        <w:t xml:space="preserve">Put Capacity Management:</w:t>
      </w:r>
    </w:p>
    <w:p>
      <w:pPr>
        <w:spacing w:after="200" w:before="0"/>
        <w:jc w:val="both"/>
      </w:pPr>
      <w:r>
        <w:rPr>
          <w:rFonts w:ascii="Times New Roman" w:cs="Times New Roman" w:eastAsia="Times New Roman" w:hAnsi="Times New Roman"/>
          <w:sz w:val="24"/>
          <w:szCs w:val="24"/>
        </w:rPr>
        <w:t xml:space="preserve">A critical risk control: the DNSA Engine's Put Capacity Manager tracks aggregate put assignment exposure as a percentage of T-Bill Reserve value in real-time. New put sales are hard-stopped when aggregate assignment exposure reaches 70% of T-Bill Reserve value. This preserves 30% dry powder for the deepest fear moments — ensuring the Fund always has capital available to deploy when prices are most attractive.</w:t>
      </w:r>
    </w:p>
    <w:p>
      <w:pPr>
        <w:spacing w:after="200" w:before="0"/>
        <w:jc w:val="both"/>
      </w:pPr>
      <w:r>
        <w:rPr>
          <w:rFonts w:ascii="Times New Roman" w:cs="Times New Roman" w:eastAsia="Times New Roman" w:hAnsi="Times New Roman"/>
          <w:b/>
          <w:bCs/>
          <w:sz w:val="24"/>
          <w:szCs w:val="24"/>
        </w:rPr>
        <w:t xml:space="preserve">Aggregate Fund-Level Leverage Cap (Maximum 60%):</w:t>
      </w:r>
    </w:p>
    <w:p>
      <w:pPr>
        <w:spacing w:after="200" w:before="0"/>
        <w:jc w:val="both"/>
      </w:pPr>
      <w:r>
        <w:rPr>
          <w:rFonts w:ascii="Times New Roman" w:cs="Times New Roman" w:eastAsia="Times New Roman" w:hAnsi="Times New Roman"/>
          <w:sz w:val="24"/>
          <w:szCs w:val="24"/>
        </w:rPr>
        <w:t xml:space="preserve">Total borrowings divided by total NAV shall not exceed 60% at any time. This aggregate cap provides a portfolio-level safety margin beyond the individual sleeve limits.</w:t>
      </w:r>
    </w:p>
    <w:p>
      <w:pPr>
        <w:pStyle w:val="Heading2"/>
      </w:pPr>
      <w:r>
        <w:rPr>
          <w:b/>
          <w:bCs/>
        </w:rPr>
        <w:t xml:space="preserve">The 1024 Club</w:t>
      </w:r>
    </w:p>
    <w:p>
      <w:pPr>
        <w:spacing w:after="200" w:before="0"/>
        <w:jc w:val="both"/>
      </w:pPr>
      <w:r>
        <w:rPr>
          <w:rFonts w:ascii="Times New Roman" w:cs="Times New Roman" w:eastAsia="Times New Roman" w:hAnsi="Times New Roman"/>
          <w:sz w:val="24"/>
          <w:szCs w:val="24"/>
        </w:rPr>
        <w:t xml:space="preserve">The aggregate number of Limited Partners across the Master Fund and all Feeder Funds (counted on a look-through basis) shall not exceed one thousand and twenty-four (1,024) at any time. This limitation ensures the Fund maintains the character of an exclusive, high-conviction partnership while providing sufficient capacity for institutional scale. At the target AUM of $10 billion or more, the average LP commitment would exceed $10 million — ensuring a concentrated, aligned, and engaged investor base.</w:t>
      </w:r>
    </w:p>
    <w:p>
      <w:r>
        <w:br w:type="page"/>
      </w:r>
    </w:p>
    <w:p>
      <w:pPr>
        <w:pStyle w:val="Heading1"/>
      </w:pPr>
      <w:r>
        <w:rPr>
          <w:b/>
          <w:bCs/>
        </w:rPr>
        <w:t xml:space="preserve">V. THE FIVE IRON RULES</w:t>
      </w:r>
    </w:p>
    <w:p>
      <w:pPr>
        <w:spacing w:after="200" w:before="0"/>
        <w:jc w:val="both"/>
      </w:pPr>
      <w:r>
        <w:rPr>
          <w:rFonts w:ascii="Times New Roman" w:cs="Times New Roman" w:eastAsia="Times New Roman" w:hAnsi="Times New Roman"/>
          <w:i/>
          <w:iCs/>
          <w:sz w:val="24"/>
          <w:szCs w:val="24"/>
        </w:rPr>
        <w:t xml:space="preserve">The Five Iron Rules are the constitutional provisions of the Fund. They define the boundaries within which all investment and operational decisions must be made. They cannot be amended, modified, suspended, or waived without the unanimous written consent of every Partner — General Partner and every Limited Partner alike. They are the Fund's DNA.</w:t>
      </w:r>
    </w:p>
    <w:p>
      <w:pPr>
        <w:spacing w:before="200"/>
      </w:pPr>
    </w:p>
    <w:p>
      <w:pPr>
        <w:spacing w:after="200" w:before="0"/>
        <w:jc w:val="both"/>
      </w:pPr>
      <w:r>
        <w:rPr>
          <w:rFonts w:ascii="Times New Roman" w:cs="Times New Roman" w:eastAsia="Times New Roman" w:hAnsi="Times New Roman"/>
          <w:b/>
          <w:bCs/>
          <w:sz w:val="24"/>
          <w:szCs w:val="24"/>
        </w:rPr>
        <w:t xml:space="preserve">IRON RULE 1: NET SHARE ACCUMULATION</w:t>
      </w:r>
    </w:p>
    <w:p>
      <w:pPr>
        <w:spacing w:after="200" w:before="0"/>
        <w:jc w:val="both"/>
      </w:pPr>
      <w:r>
        <w:rPr>
          <w:rFonts w:ascii="Times New Roman" w:cs="Times New Roman" w:eastAsia="Times New Roman" w:hAnsi="Times New Roman"/>
          <w:sz w:val="24"/>
          <w:szCs w:val="24"/>
        </w:rPr>
        <w:t xml:space="preserve">The Fund shall never voluntarily reduce the aggregate number of shares held in any Alpha Bets 27 position except: (a) in connection with a compulsory corporate action; (b) to satisfy a binding legal or regulatory obligation; or (c) to fund LP redemptions when no other liquidity source is available, and only to the minimum extent necessary. In the event of option assignment, equivalent shares shall be repurchased within three Business Days.</w:t>
      </w:r>
    </w:p>
    <w:p>
      <w:pPr>
        <w:spacing w:after="200" w:before="0"/>
        <w:jc w:val="both"/>
      </w:pPr>
      <w:r>
        <w:rPr>
          <w:rFonts w:ascii="Times New Roman" w:cs="Times New Roman" w:eastAsia="Times New Roman" w:hAnsi="Times New Roman"/>
          <w:i/>
          <w:iCs/>
          <w:sz w:val="24"/>
          <w:szCs w:val="24"/>
        </w:rPr>
        <w:t xml:space="preserve">Why this matters: This rule ensures the Fund is always getting bigger — always owning more of the world's best businesses. It prevents the temptation to take profits, time markets, or reduce positions based on short-term sentiment. The shares are the product. Accumulation is the strategy.</w:t>
      </w:r>
    </w:p>
    <w:p>
      <w:pPr>
        <w:spacing w:before="100"/>
      </w:pPr>
    </w:p>
    <w:p>
      <w:pPr>
        <w:spacing w:after="200" w:before="0"/>
        <w:jc w:val="both"/>
      </w:pPr>
      <w:r>
        <w:rPr>
          <w:rFonts w:ascii="Times New Roman" w:cs="Times New Roman" w:eastAsia="Times New Roman" w:hAnsi="Times New Roman"/>
          <w:b/>
          <w:bCs/>
          <w:sz w:val="24"/>
          <w:szCs w:val="24"/>
        </w:rPr>
        <w:t xml:space="preserve">IRON RULE 2: MANDATORY T-BILL RESERVE</w:t>
      </w:r>
    </w:p>
    <w:p>
      <w:pPr>
        <w:spacing w:after="200" w:before="0"/>
        <w:jc w:val="both"/>
      </w:pPr>
      <w:r>
        <w:rPr>
          <w:rFonts w:ascii="Times New Roman" w:cs="Times New Roman" w:eastAsia="Times New Roman" w:hAnsi="Times New Roman"/>
          <w:sz w:val="24"/>
          <w:szCs w:val="24"/>
        </w:rPr>
        <w:t xml:space="preserve">The Fund shall maintain a T-Bill Reserve of not less than 20% of total assets at all times. Any temporary deviation shall be corrected within thirty calendar days.</w:t>
      </w:r>
    </w:p>
    <w:p>
      <w:pPr>
        <w:spacing w:after="200" w:before="0"/>
        <w:jc w:val="both"/>
      </w:pPr>
      <w:r>
        <w:rPr>
          <w:rFonts w:ascii="Times New Roman" w:cs="Times New Roman" w:eastAsia="Times New Roman" w:hAnsi="Times New Roman"/>
          <w:i/>
          <w:iCs/>
          <w:sz w:val="24"/>
          <w:szCs w:val="24"/>
        </w:rPr>
        <w:t xml:space="preserve">Why this matters: The T-Bill Reserve is the Fund's liquidity backbone, collateral base, and deployment buffer. It ensures the Fund can always meet redemptions, always has collateral for put selling, and always has dry powder for extreme fear events — without ever being forced to sell equity positions.</w:t>
      </w:r>
    </w:p>
    <w:p>
      <w:pPr>
        <w:spacing w:before="100"/>
      </w:pPr>
    </w:p>
    <w:p>
      <w:pPr>
        <w:spacing w:after="200" w:before="0"/>
        <w:jc w:val="both"/>
      </w:pPr>
      <w:r>
        <w:rPr>
          <w:rFonts w:ascii="Times New Roman" w:cs="Times New Roman" w:eastAsia="Times New Roman" w:hAnsi="Times New Roman"/>
          <w:b/>
          <w:bCs/>
          <w:sz w:val="24"/>
          <w:szCs w:val="24"/>
        </w:rPr>
        <w:t xml:space="preserve">IRON RULE 3: DRIP-ON ALWAYS ON</w:t>
      </w:r>
    </w:p>
    <w:p>
      <w:pPr>
        <w:spacing w:after="200" w:before="0"/>
        <w:jc w:val="both"/>
      </w:pPr>
      <w:r>
        <w:rPr>
          <w:rFonts w:ascii="Times New Roman" w:cs="Times New Roman" w:eastAsia="Times New Roman" w:hAnsi="Times New Roman"/>
          <w:sz w:val="24"/>
          <w:szCs w:val="24"/>
        </w:rPr>
        <w:t xml:space="preserve">All option premium, dividend income, interest income, and any other cash income shall be reinvested pursuant to the DRIP-ON methodology. No income distributions shall be made to Partners.</w:t>
      </w:r>
    </w:p>
    <w:p>
      <w:pPr>
        <w:spacing w:after="200" w:before="0"/>
        <w:jc w:val="both"/>
      </w:pPr>
      <w:r>
        <w:rPr>
          <w:rFonts w:ascii="Times New Roman" w:cs="Times New Roman" w:eastAsia="Times New Roman" w:hAnsi="Times New Roman"/>
          <w:i/>
          <w:iCs/>
          <w:sz w:val="24"/>
          <w:szCs w:val="24"/>
        </w:rPr>
        <w:t xml:space="preserve">Why this matters: This rule protects the second compounding engine. The moment income is distributed rather than reinvested, the mathematical advantage of premium-funded share accumulation disappears. DRIP-ON is not a feature — it is the strategy.</w:t>
      </w:r>
    </w:p>
    <w:p>
      <w:pPr>
        <w:spacing w:before="100"/>
      </w:pPr>
    </w:p>
    <w:p>
      <w:pPr>
        <w:spacing w:after="200" w:before="0"/>
        <w:jc w:val="both"/>
      </w:pPr>
      <w:r>
        <w:rPr>
          <w:rFonts w:ascii="Times New Roman" w:cs="Times New Roman" w:eastAsia="Times New Roman" w:hAnsi="Times New Roman"/>
          <w:b/>
          <w:bCs/>
          <w:sz w:val="24"/>
          <w:szCs w:val="24"/>
        </w:rPr>
        <w:t xml:space="preserve">IRON RULE 4: LEVERAGE HARD CAPS</w:t>
      </w:r>
    </w:p>
    <w:p>
      <w:pPr>
        <w:spacing w:after="200" w:before="0"/>
        <w:jc w:val="both"/>
      </w:pPr>
      <w:r>
        <w:rPr>
          <w:rFonts w:ascii="Times New Roman" w:cs="Times New Roman" w:eastAsia="Times New Roman" w:hAnsi="Times New Roman"/>
          <w:sz w:val="24"/>
          <w:szCs w:val="24"/>
        </w:rPr>
        <w:t xml:space="preserve">The Fund shall never exceed: (a) 70% LTV on the Equity Sleeve; (b) 99% LTV on the T-Bill Reserve; and (c) 60% aggregate fund-level leverage. These caps may not be exceeded for any purpose, including to fund redemptions or meet margin calls.</w:t>
      </w:r>
    </w:p>
    <w:p>
      <w:pPr>
        <w:spacing w:after="200" w:before="0"/>
        <w:jc w:val="both"/>
      </w:pPr>
      <w:r>
        <w:rPr>
          <w:rFonts w:ascii="Times New Roman" w:cs="Times New Roman" w:eastAsia="Times New Roman" w:hAnsi="Times New Roman"/>
          <w:i/>
          <w:iCs/>
          <w:sz w:val="24"/>
          <w:szCs w:val="24"/>
        </w:rPr>
        <w:t xml:space="preserve">Why this matters: Leverage kills funds. Not gradually — suddenly. These hard caps ensure the Fund can survive any historically observed market drawdown without forced liquidation, even in a tail scenario combining severe equity losses with correlated volatility spikes.</w:t>
      </w:r>
    </w:p>
    <w:p>
      <w:pPr>
        <w:spacing w:before="100"/>
      </w:pPr>
    </w:p>
    <w:p>
      <w:pPr>
        <w:spacing w:after="200" w:before="0"/>
        <w:jc w:val="both"/>
      </w:pPr>
      <w:r>
        <w:rPr>
          <w:rFonts w:ascii="Times New Roman" w:cs="Times New Roman" w:eastAsia="Times New Roman" w:hAnsi="Times New Roman"/>
          <w:b/>
          <w:bCs/>
          <w:sz w:val="24"/>
          <w:szCs w:val="24"/>
        </w:rPr>
        <w:t xml:space="preserve">IRON RULE 5: CONCENTRATED EXCELLENCE</w:t>
      </w:r>
    </w:p>
    <w:p>
      <w:pPr>
        <w:spacing w:after="200" w:before="0"/>
        <w:jc w:val="both"/>
      </w:pPr>
      <w:r>
        <w:rPr>
          <w:rFonts w:ascii="Times New Roman" w:cs="Times New Roman" w:eastAsia="Times New Roman" w:hAnsi="Times New Roman"/>
          <w:sz w:val="24"/>
          <w:szCs w:val="24"/>
        </w:rPr>
        <w:t xml:space="preserve">The Alpha Bets 27 Portfolio shall not hold more than twenty-seven equity positions at any time. Each position must meet the minimum FCF threshold for its tier. Any position falling below its tier threshold enters a twelve-month watch list.</w:t>
      </w:r>
    </w:p>
    <w:p>
      <w:pPr>
        <w:spacing w:after="200" w:before="0"/>
        <w:jc w:val="both"/>
      </w:pPr>
      <w:r>
        <w:rPr>
          <w:rFonts w:ascii="Times New Roman" w:cs="Times New Roman" w:eastAsia="Times New Roman" w:hAnsi="Times New Roman"/>
          <w:i/>
          <w:iCs/>
          <w:sz w:val="24"/>
          <w:szCs w:val="24"/>
        </w:rPr>
        <w:t xml:space="preserve">Why this matters: Diversification is the refuge of the ignorant, as Munger observed. The Fund's edge comes from deep knowledge of a concentrated portfolio of the world's best businesses — not from owning hundreds of positions that dilute conviction and attention. Twenty-seven positions provide sufficient diversification across GDP pillars while maintaining the concentration necessary for the DNSA Engine to operate effectively.</w:t>
      </w:r>
    </w:p>
    <w:p>
      <w:r>
        <w:br w:type="page"/>
      </w:r>
    </w:p>
    <w:p>
      <w:pPr>
        <w:pStyle w:val="Heading1"/>
      </w:pPr>
      <w:r>
        <w:rPr>
          <w:b/>
          <w:bCs/>
        </w:rPr>
        <w:t xml:space="preserve">VI. FEE STRUCTURE AND SHARE CLASSES</w:t>
      </w:r>
    </w:p>
    <w:p>
      <w:pPr>
        <w:pStyle w:val="Heading2"/>
      </w:pPr>
      <w:r>
        <w:rPr>
          <w:b/>
          <w:bCs/>
        </w:rPr>
        <w:t xml:space="preserve">Fee Philosophy</w:t>
      </w:r>
    </w:p>
    <w:p>
      <w:pPr>
        <w:spacing w:after="200" w:before="0"/>
        <w:jc w:val="both"/>
      </w:pPr>
      <w:r>
        <w:rPr>
          <w:rFonts w:ascii="Times New Roman" w:cs="Times New Roman" w:eastAsia="Times New Roman" w:hAnsi="Times New Roman"/>
          <w:sz w:val="24"/>
          <w:szCs w:val="24"/>
        </w:rPr>
        <w:t xml:space="preserve">The Fund's fee structure is designed around a simple principle: the General Partner's primary economic incentive should be performance, not asset gathering. The tiered management fee decreases as AUM grows, ensuring that the General Partner benefits from scale only if performance sustains investor confidence and capital growth. The management fee exists to cover real operational costs — technology, data, compliance, administration — not to generate profit for the GP.</w:t>
      </w:r>
    </w:p>
    <w:p>
      <w:pPr>
        <w:pStyle w:val="Heading2"/>
      </w:pPr>
      <w:r>
        <w:rPr>
          <w:b/>
          <w:bCs/>
        </w:rPr>
        <w:t xml:space="preserve">Six Share Classes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800"/>
        <w:gridCol w:w="2200"/>
        <w:gridCol w:w="1300"/>
        <w:gridCol w:w="1760"/>
      </w:tblGrid>
      <w:tr>
        <w:tc>
          <w:tcPr>
            <w:tcW w:type="dxa" w:w="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Class</w:t>
            </w:r>
          </w:p>
        </w:tc>
        <w:tc>
          <w:tcPr>
            <w:tcW w:type="dxa" w:w="17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Investor Type</w:t>
            </w:r>
          </w:p>
        </w:tc>
        <w:tc>
          <w:tcPr>
            <w:tcW w:type="dxa" w:w="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Minimum</w:t>
            </w:r>
          </w:p>
        </w:tc>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Mgmt Fee</w:t>
            </w:r>
          </w:p>
        </w:tc>
        <w:tc>
          <w:tcPr>
            <w:tcW w:type="dxa" w:w="13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Performance</w:t>
            </w:r>
          </w:p>
        </w:tc>
        <w:tc>
          <w:tcPr>
            <w:tcW w:type="dxa" w:w="1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Special Terms</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Qualified Purchasers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$1M</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1.69%/1.19%/0.69% (tiered by account size)</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Standard terms</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B</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($10M+)</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$10M</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1.19% flat</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Priority co-investment rights</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Partners / RIAs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$5M</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1.49% flat</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advisory rights</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Sovereign Wealth / Pensions</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$50M</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flat</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Advisory Committee seat; dedicated IR</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Staff / Affiliates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Employee alignment</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GP</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First-in/last-out; no restrictions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Management Fee (Tiered)</w:t>
      </w:r>
    </w:p>
    <w:p>
      <w:pPr>
        <w:spacing w:after="200" w:before="0"/>
        <w:jc w:val="both"/>
      </w:pPr>
      <w:r>
        <w:rPr>
          <w:rFonts w:ascii="Times New Roman" w:cs="Times New Roman" w:eastAsia="Times New Roman" w:hAnsi="Times New Roman"/>
          <w:sz w:val="24"/>
          <w:szCs w:val="24"/>
        </w:rPr>
        <w:t xml:space="preserve">The Management Fee is calculated and payable quarterly in advance based on the Adjusted NAV of each LP's account. For Class A interests, the fee steps down as the individual LP's account grows: 1.69% on the first $100 million, 1.19% on assets from $100 million to $500 million, and 0.69% on assets above $500 million. This structure rewards long-term LP commitment and ensures fee alignment as the Fund scales. At $1 billion AUM with a representative LP mix, the blended effective management fee is estimated at approximately 1.0%.</w:t>
      </w:r>
    </w:p>
    <w:p>
      <w:pPr>
        <w:pStyle w:val="Heading2"/>
      </w:pPr>
      <w:r>
        <w:rPr>
          <w:b/>
          <w:bCs/>
        </w:rPr>
        <w:t xml:space="preserve">Performance Allocation (15% Above Hurdle with Permanent High-Water Mark)</w:t>
      </w:r>
    </w:p>
    <w:p>
      <w:pPr>
        <w:spacing w:after="200" w:before="0"/>
        <w:jc w:val="both"/>
      </w:pPr>
      <w:r>
        <w:rPr>
          <w:rFonts w:ascii="Times New Roman" w:cs="Times New Roman" w:eastAsia="Times New Roman" w:hAnsi="Times New Roman"/>
          <w:sz w:val="24"/>
          <w:szCs w:val="24"/>
        </w:rPr>
        <w:t xml:space="preserve">The General Partner receives a performance allocation of 15% of net profits in excess of the Hurdle Rate, calculated separately for each LP account. The Hurdle Rate is the return of the MSCI ACWI Global Index plus 200 basis points, calculated on a cumulative compounding basis since admission or the most recent High-Water Mark, whichever is later.</w:t>
      </w:r>
    </w:p>
    <w:p>
      <w:pPr>
        <w:spacing w:after="200" w:before="0"/>
        <w:jc w:val="both"/>
      </w:pPr>
      <w:r>
        <w:rPr>
          <w:rFonts w:ascii="Times New Roman" w:cs="Times New Roman" w:eastAsia="Times New Roman" w:hAnsi="Times New Roman"/>
          <w:sz w:val="24"/>
          <w:szCs w:val="24"/>
        </w:rPr>
        <w:t xml:space="preserve">The High-Water Mark is permanent and never resets. If the Fund underperforms in any period, the General Partner earns no performance allocation until all prior losses are recovered and the cumulative return exceeds the cumulative hurdle. This ensures the GP cannot earn performance fees on recovery of lost capital — the most investor-friendly structure available in the hedge fund industry.</w:t>
      </w:r>
    </w:p>
    <w:p>
      <w:pPr>
        <w:spacing w:after="200" w:before="0"/>
        <w:jc w:val="both"/>
      </w:pPr>
      <w:r>
        <w:rPr>
          <w:rFonts w:ascii="Times New Roman" w:cs="Times New Roman" w:eastAsia="Times New Roman" w:hAnsi="Times New Roman"/>
          <w:sz w:val="24"/>
          <w:szCs w:val="24"/>
        </w:rPr>
        <w:t xml:space="preserve">Class F Interests (Founder/GP) pay zero management fee and zero performance allocation, ensuring the GP's $5 million co-investment bears the same market risk as every LP but at the lowest possible cost. This is a structural alignment mechanism: the GP earns performance allocation only on LP capital, never on its own.</w:t>
      </w:r>
    </w:p>
    <w:p>
      <w:pPr>
        <w:pStyle w:val="Heading2"/>
      </w:pPr>
      <w:r>
        <w:rPr>
          <w:b/>
          <w:bCs/>
        </w:rPr>
        <w:t xml:space="preserve">GP Co-Investment: $5M First-In / Last-Out</w:t>
      </w:r>
    </w:p>
    <w:p>
      <w:pPr>
        <w:spacing w:after="200" w:before="0"/>
        <w:jc w:val="both"/>
      </w:pPr>
      <w:r>
        <w:rPr>
          <w:rFonts w:ascii="Times New Roman" w:cs="Times New Roman" w:eastAsia="Times New Roman" w:hAnsi="Times New Roman"/>
          <w:sz w:val="24"/>
          <w:szCs w:val="24"/>
        </w:rPr>
        <w:t xml:space="preserve">The General Partner commits a minimum of $5 million as the Fund's first capital contribution. This GP Co-Investment is first-in (contributing before any LP) and last-out (returned only after all LP capital is returned upon dissolution). This structure ensures the GP bears the earliest risk, has the most patient capital, and is economically subordinated to every LP in a wind-down scenario. The GP Co-Investment may be increased at any time.</w:t>
      </w:r>
    </w:p>
    <w:p>
      <w:pPr>
        <w:pStyle w:val="Heading2"/>
      </w:pPr>
      <w:r>
        <w:rPr>
          <w:b/>
          <w:bCs/>
        </w:rPr>
        <w:t xml:space="preserve">Fee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Hushh Alpha Aloha Fund A</w:t>
            </w:r>
          </w:p>
        </w:tc>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Typical Hedge Fund</w:t>
            </w:r>
          </w:p>
        </w:tc>
        <w:tc>
          <w:tcPr>
            <w:tcW w:type="dxa" w:w="21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Advantage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Management Fee</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- 1.69% (tiered, declining)</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2.00% flat</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Up to 65% lower at scale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Fee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index + 200bps hurdle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 with no hurdle or soft hurdle</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Higher bar; lower rate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High-Water Mark</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Permanent, never resets</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resets annually or on new series</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True investor protection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$5M first-in / last-out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Typically 1-2% of AUM, pari passu</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takes first and greatest risk</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Distributions</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 (DRIP-ON reinvested)</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distributed (reducing compounding)</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Full compounding preserved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Lock-Up</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12-month soft lock (2% fee)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1-3 year hard lock</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Greater liquidity, lower penalty</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VII. RISK FACTORS</w:t>
      </w:r>
    </w:p>
    <w:p>
      <w:pPr>
        <w:spacing w:after="200" w:before="0"/>
        <w:jc w:val="both"/>
      </w:pPr>
      <w:r>
        <w:rPr>
          <w:rFonts w:ascii="Times New Roman" w:cs="Times New Roman" w:eastAsia="Times New Roman" w:hAnsi="Times New Roman"/>
          <w:i/>
          <w:iCs/>
          <w:sz w:val="24"/>
          <w:szCs w:val="24"/>
        </w:rPr>
        <w:t xml:space="preserve">An investment in the Fund involves significant risks. Prospective investors should carefully consider the following risk factors, in addition to the other information contained in this Prospectus, before making an investment decision. The Fund is suitable only for sophisticated investors who can bear the economic risk of a substantial or total loss of their investment.</w:t>
      </w:r>
    </w:p>
    <w:p>
      <w:pPr>
        <w:pStyle w:val="Heading2"/>
      </w:pPr>
      <w:r>
        <w:rPr>
          <w:b/>
          <w:bCs/>
        </w:rPr>
        <w:t xml:space="preserve">7.1. Concentration Risk</w:t>
      </w:r>
    </w:p>
    <w:p>
      <w:pPr>
        <w:spacing w:after="200" w:before="0"/>
        <w:jc w:val="both"/>
      </w:pPr>
      <w:r>
        <w:rPr>
          <w:rFonts w:ascii="Times New Roman" w:cs="Times New Roman" w:eastAsia="Times New Roman" w:hAnsi="Times New Roman"/>
          <w:sz w:val="24"/>
          <w:szCs w:val="24"/>
        </w:rPr>
        <w:t xml:space="preserve">The Fund maintains a concentrated portfolio of no more than twenty-seven equity positions. While concentration can enhance returns when the General Partner's investment judgment is correct, it also magnifies losses when individual positions decline. A material adverse development affecting one or more of the Fund's largest positions (Aces) could have a disproportionate impact on the Fund's NAV. The Five Iron Rules limit diversification and may prevent the Fund from reducing exposure to underperforming positions.</w:t>
      </w:r>
    </w:p>
    <w:p>
      <w:pPr>
        <w:pStyle w:val="Heading2"/>
      </w:pPr>
      <w:r>
        <w:rPr>
          <w:b/>
          <w:bCs/>
        </w:rPr>
        <w:t xml:space="preserve">7.2. Options Risk</w:t>
      </w:r>
    </w:p>
    <w:p>
      <w:pPr>
        <w:spacing w:after="200" w:before="0"/>
        <w:jc w:val="both"/>
      </w:pPr>
      <w:r>
        <w:rPr>
          <w:rFonts w:ascii="Times New Roman" w:cs="Times New Roman" w:eastAsia="Times New Roman" w:hAnsi="Times New Roman"/>
          <w:sz w:val="24"/>
          <w:szCs w:val="24"/>
        </w:rPr>
        <w:t xml:space="preserve">The Fund's covered call and cash-secured put strategies involve risks specific to options including: the risk of assignment at unfavorable prices; the risk that options expire worthless (resulting in premium income but unrealized opportunity cost on uncovered positions); the risk of rapid changes in implied volatility affecting option pricing; the risk that the DNSA Engine's signals generate false entries or exits; and the risk that correlated option assignments during market stress consume T-Bill collateral faster than anticipated. The Fund's use of options may limit upside participation in strongly rising markets due to covered call obligations.</w:t>
      </w:r>
    </w:p>
    <w:p>
      <w:pPr>
        <w:pStyle w:val="Heading2"/>
      </w:pPr>
      <w:r>
        <w:rPr>
          <w:b/>
          <w:bCs/>
        </w:rPr>
        <w:t xml:space="preserve">7.3. Leverage Risk</w:t>
      </w:r>
    </w:p>
    <w:p>
      <w:pPr>
        <w:spacing w:after="200" w:before="0"/>
        <w:jc w:val="both"/>
      </w:pPr>
      <w:r>
        <w:rPr>
          <w:rFonts w:ascii="Times New Roman" w:cs="Times New Roman" w:eastAsia="Times New Roman" w:hAnsi="Times New Roman"/>
          <w:sz w:val="24"/>
          <w:szCs w:val="24"/>
        </w:rPr>
        <w:t xml:space="preserve">The Fund employs leverage against both the Equity Sleeve (up to 70% LTV) and the T-Bill Reserve (up to 99% LTV). Leverage amplifies both gains and losses. In a severe and sustained market decline, leveraged positions may experience accelerated losses. While the Fund's leverage caps (Iron Rule 4) provide structural protection, a sufficiently extreme market event could still result in material losses. The Fund may be subject to margin calls from Prime Brokers that require it to pledge additional collateral or liquidate positions.</w:t>
      </w:r>
    </w:p>
    <w:p>
      <w:pPr>
        <w:pStyle w:val="Heading2"/>
      </w:pPr>
      <w:r>
        <w:rPr>
          <w:b/>
          <w:bCs/>
        </w:rPr>
        <w:t xml:space="preserve">7.4. Liquidity Risk</w:t>
      </w:r>
    </w:p>
    <w:p>
      <w:pPr>
        <w:spacing w:after="200" w:before="0"/>
        <w:jc w:val="both"/>
      </w:pPr>
      <w:r>
        <w:rPr>
          <w:rFonts w:ascii="Times New Roman" w:cs="Times New Roman" w:eastAsia="Times New Roman" w:hAnsi="Times New Roman"/>
          <w:sz w:val="24"/>
          <w:szCs w:val="24"/>
        </w:rPr>
        <w:t xml:space="preserve">The Fund's quarterly redemption structure, sixty-day notice requirement, and fifteen percent quarterly gate may prevent Limited Partners from accessing their capital when desired. In periods of market stress, the General Partner may suspend redemptions entirely. The Fund's concentrated equity positions, while individually liquid, may experience reduced liquidity during market dislocations when the Fund most needs to sell.</w:t>
      </w:r>
    </w:p>
    <w:p>
      <w:pPr>
        <w:pStyle w:val="Heading2"/>
      </w:pPr>
      <w:r>
        <w:rPr>
          <w:b/>
          <w:bCs/>
        </w:rPr>
        <w:t xml:space="preserve">7.5. Key-Person Risk</w:t>
      </w:r>
    </w:p>
    <w:p>
      <w:pPr>
        <w:spacing w:after="200" w:before="0"/>
        <w:jc w:val="both"/>
      </w:pPr>
      <w:r>
        <w:rPr>
          <w:rFonts w:ascii="Times New Roman" w:cs="Times New Roman" w:eastAsia="Times New Roman" w:hAnsi="Times New Roman"/>
          <w:sz w:val="24"/>
          <w:szCs w:val="24"/>
        </w:rPr>
        <w:t xml:space="preserve">The Fund is substantially dependent on the Founder, Manish Sainani, who serves as sole managing member of the General Partner and has ultimate authority over all investment and operational decisions. The departure, death, or incapacitation of the Founder could materially and adversely affect the Fund's operations, investment performance, and ability to attract and retain investors. While the LPA provides for succession planning, there can be no assurance that a successor would implement the Fund's strategy with comparable skill and judgment.</w:t>
      </w:r>
    </w:p>
    <w:p>
      <w:pPr>
        <w:pStyle w:val="Heading2"/>
      </w:pPr>
      <w:r>
        <w:rPr>
          <w:b/>
          <w:bCs/>
        </w:rPr>
        <w:t xml:space="preserve">7.6. AI and Technology System Risk</w:t>
      </w:r>
    </w:p>
    <w:p>
      <w:pPr>
        <w:spacing w:after="200" w:before="0"/>
        <w:jc w:val="both"/>
      </w:pPr>
      <w:r>
        <w:rPr>
          <w:rFonts w:ascii="Times New Roman" w:cs="Times New Roman" w:eastAsia="Times New Roman" w:hAnsi="Times New Roman"/>
          <w:sz w:val="24"/>
          <w:szCs w:val="24"/>
        </w:rPr>
        <w:t xml:space="preserve">The DNSA Engine is an AI-first systematic trading system that relies on proprietary algorithms, real-time data feeds, and automated execution pipelines. System failures, software bugs, data feed errors, algorithmic errors, or cyberattacks could result in erroneous trades, missed opportunities, or material financial losses. The DNSA Engine's historical backtests and simulations may not accurately predict future performance. AI systems may exhibit unexpected behaviors in novel market conditions not represented in training data.</w:t>
      </w:r>
    </w:p>
    <w:p>
      <w:pPr>
        <w:pStyle w:val="Heading2"/>
      </w:pPr>
      <w:r>
        <w:rPr>
          <w:b/>
          <w:bCs/>
        </w:rPr>
        <w:t xml:space="preserve">7.7. Counterparty Risk</w:t>
      </w:r>
    </w:p>
    <w:p>
      <w:pPr>
        <w:spacing w:after="200" w:before="0"/>
        <w:jc w:val="both"/>
      </w:pPr>
      <w:r>
        <w:rPr>
          <w:rFonts w:ascii="Times New Roman" w:cs="Times New Roman" w:eastAsia="Times New Roman" w:hAnsi="Times New Roman"/>
          <w:sz w:val="24"/>
          <w:szCs w:val="24"/>
        </w:rPr>
        <w:t xml:space="preserve">The Fund maintains accounts and relationships with multiple Prime Brokers and execution brokers. The failure or financial distress of any Prime Broker could impair the Fund's ability to access its assets, execute trades, or meet obligations. While the multi-broker architecture provides diversification, the Fund's assets held at any single broker may be subject to the broker's creditworthiness and solvency.</w:t>
      </w:r>
    </w:p>
    <w:p>
      <w:pPr>
        <w:pStyle w:val="Heading2"/>
      </w:pPr>
      <w:r>
        <w:rPr>
          <w:b/>
          <w:bCs/>
        </w:rPr>
        <w:t xml:space="preserve">7.8. Market Risk</w:t>
      </w:r>
    </w:p>
    <w:p>
      <w:pPr>
        <w:spacing w:after="200" w:before="0"/>
        <w:jc w:val="both"/>
      </w:pPr>
      <w:r>
        <w:rPr>
          <w:rFonts w:ascii="Times New Roman" w:cs="Times New Roman" w:eastAsia="Times New Roman" w:hAnsi="Times New Roman"/>
          <w:sz w:val="24"/>
          <w:szCs w:val="24"/>
        </w:rPr>
        <w:t xml:space="preserve">The Fund's equity positions are subject to the risks inherent in equity markets including economic recessions, geopolitical events, interest rate changes, inflation, currency fluctuations, regulatory changes, and general market volatility. The Fund's concentrated exposure to the world's largest free cash flow generators provides fundamental support but does not eliminate exposure to broad market declines.</w:t>
      </w:r>
    </w:p>
    <w:p>
      <w:pPr>
        <w:pStyle w:val="Heading2"/>
      </w:pPr>
      <w:r>
        <w:rPr>
          <w:b/>
          <w:bCs/>
        </w:rPr>
        <w:t xml:space="preserve">7.9. Regulatory and Tax Risk</w:t>
      </w:r>
    </w:p>
    <w:p>
      <w:pPr>
        <w:spacing w:after="200" w:before="0"/>
        <w:jc w:val="both"/>
      </w:pPr>
      <w:r>
        <w:rPr>
          <w:rFonts w:ascii="Times New Roman" w:cs="Times New Roman" w:eastAsia="Times New Roman" w:hAnsi="Times New Roman"/>
          <w:sz w:val="24"/>
          <w:szCs w:val="24"/>
        </w:rPr>
        <w:t xml:space="preserve">Changes in securities laws, tax laws, or regulations in any jurisdiction in which the Fund or its investors operate could adversely affect the Fund's operations, tax efficiency, or returns. The Fund's multi-jurisdictional structure (Cayman, Delaware, Singapore, ADGM) is subject to the regulatory requirements of multiple authorities, and compliance costs may increase over time. Tax treatment of option premium income, mark-to-market gains, and partnership allocations may change based on legislative or regulatory action.</w:t>
      </w:r>
    </w:p>
    <w:p>
      <w:pPr>
        <w:pStyle w:val="Heading2"/>
      </w:pPr>
      <w:r>
        <w:rPr>
          <w:b/>
          <w:bCs/>
        </w:rPr>
        <w:t xml:space="preserve">7.10. Evergreen Structure Risk</w:t>
      </w:r>
    </w:p>
    <w:p>
      <w:pPr>
        <w:spacing w:after="200" w:before="0"/>
        <w:jc w:val="both"/>
      </w:pPr>
      <w:r>
        <w:rPr>
          <w:rFonts w:ascii="Times New Roman" w:cs="Times New Roman" w:eastAsia="Times New Roman" w:hAnsi="Times New Roman"/>
          <w:sz w:val="24"/>
          <w:szCs w:val="24"/>
        </w:rPr>
        <w:t xml:space="preserve">The Fund's Evergreen Structure means there is no scheduled wind-down or liquidity event. Limited Partners may be unable to exit their investment except through the quarterly redemption process, which is subject to gate provisions and potential suspension. The Fund's NAV per interest may differ materially from the value that would be realized in an orderly liquidation.</w:t>
      </w:r>
    </w:p>
    <w:p>
      <w:pPr>
        <w:pStyle w:val="Heading2"/>
      </w:pPr>
      <w:r>
        <w:rPr>
          <w:b/>
          <w:bCs/>
        </w:rPr>
        <w:t xml:space="preserve">7.11. Conflicts of Interest</w:t>
      </w:r>
    </w:p>
    <w:p>
      <w:pPr>
        <w:spacing w:after="200" w:before="0"/>
        <w:jc w:val="both"/>
      </w:pPr>
      <w:r>
        <w:rPr>
          <w:rFonts w:ascii="Times New Roman" w:cs="Times New Roman" w:eastAsia="Times New Roman" w:hAnsi="Times New Roman"/>
          <w:sz w:val="24"/>
          <w:szCs w:val="24"/>
        </w:rPr>
        <w:t xml:space="preserve">The General Partner and the Founder may face conflicts of interest including: the GP's economic interest in growing AUM (which increases management fees) versus maintaining portfolio concentration; the GP's performance allocation incentive (which may encourage risk-taking); the Founder's involvement with Hushh Technologies Corporation (a separate entity with its own commercial activities); and potential conflicts between the interests of different share classes. The Fund's MFN provision, Advisory Committee, and mandatory quarterly reporting are designed to mitigate these conflicts.</w:t>
      </w:r>
    </w:p>
    <w:p>
      <w:r>
        <w:br w:type="page"/>
      </w:r>
    </w:p>
    <w:p>
      <w:pPr>
        <w:pStyle w:val="Heading1"/>
      </w:pPr>
      <w:r>
        <w:rPr>
          <w:b/>
          <w:bCs/>
        </w:rPr>
        <w:t xml:space="preserve">VIII. FUND STRUCTURE AND SERVICE PROVIDERS</w:t>
      </w:r>
    </w:p>
    <w:p>
      <w:pPr>
        <w:pStyle w:val="Heading2"/>
      </w:pPr>
      <w:r>
        <w:rPr>
          <w:b/>
          <w:bCs/>
        </w:rPr>
        <w:t xml:space="preserve">Master-Feeder Architecture</w:t>
      </w:r>
    </w:p>
    <w:p>
      <w:pPr>
        <w:spacing w:after="200" w:before="0"/>
        <w:jc w:val="both"/>
      </w:pPr>
      <w:r>
        <w:rPr>
          <w:rFonts w:ascii="Times New Roman" w:cs="Times New Roman" w:eastAsia="Times New Roman" w:hAnsi="Times New Roman"/>
          <w:sz w:val="24"/>
          <w:szCs w:val="24"/>
        </w:rPr>
        <w:t xml:space="preserve">The Fund operates as a Cayman Islands Exempted Limited Partnership serving as the Master Fund in a multi-feeder structure designed to accommodate investors across jurisdictions with optimal tax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Vehicle</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Domicile</w:t>
            </w:r>
          </w:p>
        </w:tc>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 Investor Base</w:t>
            </w:r>
          </w:p>
        </w:tc>
        <w:tc>
          <w:tcPr>
            <w:tcW w:type="dxa" w:w="22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Tax Treatment</w:t>
            </w:r>
          </w:p>
        </w:tc>
      </w:tr>
      <w:tr>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 (Master)</w:t>
            </w:r>
          </w:p>
        </w:tc>
        <w:tc>
          <w:tcPr>
            <w:tcW w:type="dxa" w:w="1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Islands</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Feeders only (no direct LPs)</w:t>
            </w:r>
          </w:p>
        </w:tc>
        <w:tc>
          <w:tcPr>
            <w:tcW w:type="dxa" w:w="22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neutral (0% Cayman tax)</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Feeder, LP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USA</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U.S. taxable investors; tax-exempt plans</w:t>
            </w:r>
          </w:p>
        </w:tc>
        <w:tc>
          <w:tcPr>
            <w:tcW w:type="dxa" w:w="22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Pass-through (K-1 reporting)</w:t>
            </w:r>
          </w:p>
        </w:tc>
      </w:tr>
      <w:tr>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 VCC Feeder</w:t>
            </w:r>
          </w:p>
        </w:tc>
        <w:tc>
          <w:tcPr>
            <w:tcW w:type="dxa" w:w="1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Asia-Pacific institutions; family offices</w:t>
            </w:r>
          </w:p>
        </w:tc>
        <w:tc>
          <w:tcPr>
            <w:tcW w:type="dxa" w:w="22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exempt under S13R/13X; treaty access</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ADGM Feeder, LP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UAE</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GCC SWFs; Middle East families; global tax-exempt</w:t>
            </w:r>
          </w:p>
        </w:tc>
        <w:tc>
          <w:tcPr>
            <w:tcW w:type="dxa" w:w="22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 tax (ADGM); UAE treaty network</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Investors in tax-exempt or tax-advantaged accounts (IRAs, pensions, endowments) may invest through any Feeder but will typically benefit most from the Delaware Feeder (for U.S. tax-exempt entities) or the ADGM/Singapore Feeders (for non-U.S. tax-exempt entities), depending on their domicile and applicable bilateral tax treaties.</w:t>
      </w:r>
    </w:p>
    <w:p>
      <w:pPr>
        <w:pStyle w:val="Heading2"/>
      </w:pPr>
      <w:r>
        <w:rPr>
          <w:b/>
          <w:bCs/>
        </w:rPr>
        <w:t xml:space="preserve">Service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Role</w:t>
            </w:r>
          </w:p>
        </w:tc>
        <w:tc>
          <w:tcPr>
            <w:tcW w:type="dxa" w:w="4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Provider</w:t>
            </w:r>
          </w:p>
        </w:tc>
        <w:tc>
          <w:tcPr>
            <w:tcW w:type="dxa" w:w="23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Jurisdiction</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Global Market, UAE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(Stephanie R. Breslow)</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New York / 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 (Initial)</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Interactive Brokers; Charles Schwab</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 (At Scale)</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&amp; Co.; Morgan Stanley &amp; Co.</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 / 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Administrator</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 Citco, SS&amp;C, or Apex recommended]</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Auditor</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 Big Four or top-10 PCAOB firm]</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Global</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Compliance / CCO</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Regulatory Registrations</w:t>
      </w:r>
    </w:p>
    <w:p>
      <w:pPr>
        <w:spacing w:after="200" w:before="0"/>
        <w:jc w:val="both"/>
      </w:pPr>
      <w:r>
        <w:rPr>
          <w:rFonts w:ascii="Times New Roman" w:cs="Times New Roman" w:eastAsia="Times New Roman" w:hAnsi="Times New Roman"/>
          <w:sz w:val="24"/>
          <w:szCs w:val="24"/>
        </w:rPr>
        <w:t xml:space="preserve">The General Partner will register as an Exempt Reporting Adviser with the SEC (transitioning to full Registered Investment Adviser registration upon reaching $150 million in regulatory AUM). The Delaware Feeder will file Form D under Regulation D Rule 506(b) and operate in reliance on Section 3(c)(7) of the Investment Company Act (Qualified Purchasers). The Cayman Master Fund will register with the Cayman Islands Monetary Authority (CIMA). The ADGM Feeder and GP entity will be licensed by the ADGM Financial Services Regulatory Authority (FSRA). The Singapore VCC will be regulated by the Monetary Authority of Singapore (MAS).</w:t>
      </w:r>
    </w:p>
    <w:p>
      <w:r>
        <w:br w:type="page"/>
      </w:r>
    </w:p>
    <w:p>
      <w:pPr>
        <w:pStyle w:val="Heading1"/>
      </w:pPr>
      <w:r>
        <w:rPr>
          <w:b/>
          <w:bCs/>
        </w:rPr>
        <w:t xml:space="preserve">IX. THE FOUNDER AND GENERAL PARTNER</w:t>
      </w:r>
    </w:p>
    <w:p>
      <w:pPr>
        <w:pStyle w:val="Heading2"/>
      </w:pPr>
      <w:r>
        <w:rPr>
          <w:b/>
          <w:bCs/>
        </w:rPr>
        <w:t xml:space="preserve">Manish Sainani — Founder, CEO, and Chief Investment Officer</w:t>
      </w:r>
    </w:p>
    <w:p>
      <w:pPr>
        <w:spacing w:after="200" w:before="0"/>
        <w:jc w:val="both"/>
      </w:pPr>
      <w:r>
        <w:rPr>
          <w:rFonts w:ascii="Times New Roman" w:cs="Times New Roman" w:eastAsia="Times New Roman" w:hAnsi="Times New Roman"/>
          <w:sz w:val="24"/>
          <w:szCs w:val="24"/>
        </w:rPr>
        <w:t xml:space="preserve">Manish Sainani brings a rare combination of institutional-grade technology leadership, capital markets experience, and entrepreneurial intensity to the management of the Fund.</w:t>
      </w:r>
    </w:p>
    <w:p>
      <w:pPr>
        <w:spacing w:after="200" w:before="0"/>
        <w:jc w:val="both"/>
      </w:pPr>
      <w:r>
        <w:rPr>
          <w:rFonts w:ascii="Times New Roman" w:cs="Times New Roman" w:eastAsia="Times New Roman" w:hAnsi="Times New Roman"/>
          <w:b/>
          <w:bCs/>
          <w:sz w:val="24"/>
          <w:szCs w:val="24"/>
        </w:rPr>
        <w:t xml:space="preserve">Professional Background:</w:t>
      </w:r>
    </w:p>
    <w:p>
      <w:pPr>
        <w:spacing w:after="200" w:before="0"/>
        <w:jc w:val="both"/>
      </w:pPr>
      <w:r>
        <w:rPr>
          <w:rFonts w:ascii="Times New Roman" w:cs="Times New Roman" w:eastAsia="Times New Roman" w:hAnsi="Times New Roman"/>
          <w:sz w:val="24"/>
          <w:szCs w:val="24"/>
        </w:rPr>
        <w:t xml:space="preserve">General Manager / Director of AI Products at Google (Cloud TPUs/GPUs, Vertex AI platform), Microsoft (Azure Machine Learning), and Splunk (AI Platform). In these roles, Manish was responsible for building and scaling AI/ML and Developer Platform businesses generating hundreds of millions of dollars in annual revenue, managing global product and engineering teams, and interfacing with the world's largest enterprise customers on AI infrastructure strategy.</w:t>
      </w:r>
    </w:p>
    <w:p>
      <w:pPr>
        <w:spacing w:after="200" w:before="0"/>
        <w:jc w:val="both"/>
      </w:pPr>
      <w:r>
        <w:rPr>
          <w:rFonts w:ascii="Times New Roman" w:cs="Times New Roman" w:eastAsia="Times New Roman" w:hAnsi="Times New Roman"/>
          <w:b/>
          <w:bCs/>
          <w:sz w:val="24"/>
          <w:szCs w:val="24"/>
        </w:rPr>
        <w:t xml:space="preserve">Education:</w:t>
      </w:r>
    </w:p>
    <w:p>
      <w:pPr>
        <w:spacing w:after="200" w:before="0"/>
        <w:jc w:val="both"/>
      </w:pPr>
      <w:r>
        <w:rPr>
          <w:rFonts w:ascii="Times New Roman" w:cs="Times New Roman" w:eastAsia="Times New Roman" w:hAnsi="Times New Roman"/>
          <w:sz w:val="24"/>
          <w:szCs w:val="24"/>
        </w:rPr>
        <w:t xml:space="preserve">MBA, Stanford Graduate School of Business. Investment Banking, UBS.</w:t>
      </w:r>
    </w:p>
    <w:p>
      <w:pPr>
        <w:spacing w:after="200" w:before="0"/>
        <w:jc w:val="both"/>
      </w:pPr>
      <w:r>
        <w:rPr>
          <w:rFonts w:ascii="Times New Roman" w:cs="Times New Roman" w:eastAsia="Times New Roman" w:hAnsi="Times New Roman"/>
          <w:b/>
          <w:bCs/>
          <w:sz w:val="24"/>
          <w:szCs w:val="24"/>
        </w:rPr>
        <w:t xml:space="preserve">Investment Philosophy:</w:t>
      </w:r>
    </w:p>
    <w:p>
      <w:pPr>
        <w:spacing w:after="200" w:before="0"/>
        <w:jc w:val="both"/>
      </w:pPr>
      <w:r>
        <w:rPr>
          <w:rFonts w:ascii="Times New Roman" w:cs="Times New Roman" w:eastAsia="Times New Roman" w:hAnsi="Times New Roman"/>
          <w:sz w:val="24"/>
          <w:szCs w:val="24"/>
        </w:rPr>
        <w:t xml:space="preserve">Manish's investment philosophy synthesizes the concentrated value investing discipline of Warren Buffett and Charlie Munger, the systematic quantitative approach of Jim Simons at Renaissance Technologies, the all-weather multi-stream diversification framework of Ray Dalio at Bridgewater, and the permanent capital patience of Berkshire Hathaway's evergreen structure. The result is the Alpha Bets 27 / DNSA Engine / DRIP-ON system — a strategy that is simultaneously concentrated and systematic, patient and active, fundamental and quantitative.</w:t>
      </w:r>
    </w:p>
    <w:p>
      <w:pPr>
        <w:spacing w:after="200" w:before="0"/>
        <w:jc w:val="both"/>
      </w:pPr>
      <w:r>
        <w:rPr>
          <w:rFonts w:ascii="Times New Roman" w:cs="Times New Roman" w:eastAsia="Times New Roman" w:hAnsi="Times New Roman"/>
          <w:b/>
          <w:bCs/>
          <w:sz w:val="24"/>
          <w:szCs w:val="24"/>
        </w:rPr>
        <w:t xml:space="preserve">Alignment:</w:t>
      </w:r>
    </w:p>
    <w:p>
      <w:pPr>
        <w:spacing w:after="200" w:before="0"/>
        <w:jc w:val="both"/>
      </w:pPr>
      <w:r>
        <w:rPr>
          <w:rFonts w:ascii="Times New Roman" w:cs="Times New Roman" w:eastAsia="Times New Roman" w:hAnsi="Times New Roman"/>
          <w:sz w:val="24"/>
          <w:szCs w:val="24"/>
        </w:rPr>
        <w:t xml:space="preserve">Manish is the sole managing member and principal of the General Partner (Hushh Technologies Middle East LLC). He commits a minimum of $5 million as the Fund's first capital (first-in/last-out). He receives zero management fee and zero performance allocation on his own capital. His economic alignment with LPs is structural and permanent.</w:t>
      </w:r>
    </w:p>
    <w:p>
      <w:pPr>
        <w:pStyle w:val="Heading2"/>
      </w:pPr>
      <w:r>
        <w:rPr>
          <w:b/>
          <w:bCs/>
        </w:rPr>
        <w:t xml:space="preserve">Hushh Technologies Corporation — The Parent Platform</w:t>
      </w:r>
    </w:p>
    <w:p>
      <w:pPr>
        <w:spacing w:after="200" w:before="0"/>
        <w:jc w:val="both"/>
      </w:pPr>
      <w:r>
        <w:rPr>
          <w:rFonts w:ascii="Times New Roman" w:cs="Times New Roman" w:eastAsia="Times New Roman" w:hAnsi="Times New Roman"/>
          <w:sz w:val="24"/>
          <w:szCs w:val="24"/>
        </w:rPr>
        <w:t xml:space="preserve">Hushh Technologies Corporation is a separate Delaware C Corporation founded by Manish Sainani. It serves as the parent technology company developing the Hushh personal data infrastructure platform — a consumer and enterprise platform for personal data sovereignty with the mission: "Your Data, Your Business." Hushh Technologies Corporation has no ownership interest in and no economic claim on the Fund. The Fund's General Partner is Hushh Technologies Middle East LLC, a separate ADGM-registered entity. This corporate separation is maintained for regulatory clarity and investor protection.</w:t>
      </w:r>
    </w:p>
    <w:p>
      <w:pPr>
        <w:spacing w:after="200" w:before="0"/>
        <w:jc w:val="both"/>
      </w:pPr>
      <w:r>
        <w:rPr>
          <w:rFonts w:ascii="Times New Roman" w:cs="Times New Roman" w:eastAsia="Times New Roman" w:hAnsi="Times New Roman"/>
          <w:sz w:val="24"/>
          <w:szCs w:val="24"/>
        </w:rPr>
        <w:t xml:space="preserve">HushOne, Inc., which started as an internal stealth project at Google (Alphabet) and is now independently funded, is a completely separate entity with no relationship whatsoever to Hushh Technologies Corporation or the Fund.</w:t>
      </w:r>
    </w:p>
    <w:p>
      <w:r>
        <w:br w:type="page"/>
      </w:r>
    </w:p>
    <w:p>
      <w:pPr>
        <w:pStyle w:val="Heading1"/>
      </w:pPr>
      <w:r>
        <w:rPr>
          <w:b/>
          <w:bCs/>
        </w:rPr>
        <w:t xml:space="preserve">X. SUMMARY OF PRINCIPAL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Term</w:t>
            </w:r>
          </w:p>
        </w:tc>
        <w:tc>
          <w:tcPr>
            <w:tcW w:type="dxa" w:w="6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Detail</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Name</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Structure</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Exempted LP (Master) with Delaware, Singapore VCC, and ADGM LP Feeders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Type</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Evergreen, open-ended, permanent capital vehicle</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Strategy</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AI-first, FCF-first concentrated equity with systematic options overlay (DNSA Engine + DRIP-ON)</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Target Return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MSCI ACWI + 200 bps net of all fees, rolling 5-year basis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 (ADGM)</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Founder/CIO</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Manish Sainani</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(Stephanie R. Breslow)</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 minimum (first-in / last-out)</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Minimum LP Investment</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 (Class A); see Share Classes for other classes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Maximum LPs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1,024 across all vehicles (The 1024 Club)</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Management Fee</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- 1.69% tiered by class and account size (declining with AUM)</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Allocation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Global Index + 200 bps hurdle, permanent high-water mark</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Redemptions</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60-day notice; 15% quarterly gate; 12-month soft lock (2% fee)</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Limits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70% LTV Equity; 99% LTV T-Bills; 60% aggregate fund-level</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Portfolio</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Alpha Bets 27: up to 27 positions in highest FCF businesses globally</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Asset Allocation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~78% Equity Sleeve / ~22% T-Bill Reserve</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Policy</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 reinvested (DRIP-ON); no distributions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Constitutional Rules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Five Iron Rules (unanimous consent to amend)</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Offering Exemption</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Regulation D Rule 506(b); Section 3(c)(7) Investment Company Act</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Reporting</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K-1 (Delaware Feeder); non-U.S. feeders offer treaty/exempt structures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Valuation</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Mark-to-market quarterly; closing prices for equities; mid-market for options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Annual by independent PCAOB-registered auditor</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XI. HOW TO INVEST</w:t>
      </w:r>
    </w:p>
    <w:p>
      <w:pPr>
        <w:pStyle w:val="Heading2"/>
      </w:pPr>
      <w:r>
        <w:rPr>
          <w:b/>
          <w:bCs/>
        </w:rPr>
        <w:t xml:space="preserve">Subscription Process</w:t>
      </w:r>
    </w:p>
    <w:p>
      <w:pPr>
        <w:spacing w:after="200" w:before="0"/>
        <w:ind w:left="720"/>
        <w:jc w:val="both"/>
      </w:pPr>
      <w:r>
        <w:rPr>
          <w:rFonts w:ascii="Times New Roman" w:cs="Times New Roman" w:eastAsia="Times New Roman" w:hAnsi="Times New Roman"/>
          <w:sz w:val="24"/>
          <w:szCs w:val="24"/>
        </w:rPr>
        <w:t xml:space="preserve">1. Initial Inquiry: Contact the General Partner or its authorized representative to express interest and confirm eligibility as a Qualified Purchaser.</w:t>
      </w:r>
    </w:p>
    <w:p>
      <w:pPr>
        <w:spacing w:after="200" w:before="0"/>
        <w:ind w:left="720"/>
        <w:jc w:val="both"/>
      </w:pPr>
      <w:r>
        <w:rPr>
          <w:rFonts w:ascii="Times New Roman" w:cs="Times New Roman" w:eastAsia="Times New Roman" w:hAnsi="Times New Roman"/>
          <w:sz w:val="24"/>
          <w:szCs w:val="24"/>
        </w:rPr>
        <w:t xml:space="preserve">2. Due Diligence: Review this Prospectus, the applicable Limited Partnership Agreement, the Private Placement Memorandum (PPM), and any supplemental materials. The General Partner welcomes and encourages thorough operational and investment due diligence.</w:t>
      </w:r>
    </w:p>
    <w:p>
      <w:pPr>
        <w:spacing w:after="200" w:before="0"/>
        <w:ind w:left="720"/>
        <w:jc w:val="both"/>
      </w:pPr>
      <w:r>
        <w:rPr>
          <w:rFonts w:ascii="Times New Roman" w:cs="Times New Roman" w:eastAsia="Times New Roman" w:hAnsi="Times New Roman"/>
          <w:sz w:val="24"/>
          <w:szCs w:val="24"/>
        </w:rPr>
        <w:t xml:space="preserve">3. Subscription Documentation: Complete and execute: (a) the Subscription Agreement for the applicable Feeder Fund; (b) a counterpart signature page to the Limited Partnership Agreement; (c) AML/KYC documentation including government-issued identification, source of funds declaration, and beneficial ownership information; and (d) IRS Form W-9 (for U.S. persons) or applicable Form W-8 (for non-U.S. persons).</w:t>
      </w:r>
    </w:p>
    <w:p>
      <w:pPr>
        <w:spacing w:after="200" w:before="0"/>
        <w:ind w:left="720"/>
        <w:jc w:val="both"/>
      </w:pPr>
      <w:r>
        <w:rPr>
          <w:rFonts w:ascii="Times New Roman" w:cs="Times New Roman" w:eastAsia="Times New Roman" w:hAnsi="Times New Roman"/>
          <w:sz w:val="24"/>
          <w:szCs w:val="24"/>
        </w:rPr>
        <w:t xml:space="preserve">4. Review and Acceptance: The General Partner will review all subscription documentation and AML/KYC materials. The General Partner reserves the right to accept or reject any subscription in whole or in part.</w:t>
      </w:r>
    </w:p>
    <w:p>
      <w:pPr>
        <w:spacing w:after="200" w:before="0"/>
        <w:ind w:left="720"/>
        <w:jc w:val="both"/>
      </w:pPr>
      <w:r>
        <w:rPr>
          <w:rFonts w:ascii="Times New Roman" w:cs="Times New Roman" w:eastAsia="Times New Roman" w:hAnsi="Times New Roman"/>
          <w:sz w:val="24"/>
          <w:szCs w:val="24"/>
        </w:rPr>
        <w:t xml:space="preserve">5. Capital Contribution: Upon acceptance, wire transfer of the capital contribution to the designated account of the applicable Feeder Fund.</w:t>
      </w:r>
    </w:p>
    <w:p>
      <w:pPr>
        <w:spacing w:after="200" w:before="0"/>
        <w:ind w:left="720"/>
        <w:jc w:val="both"/>
      </w:pPr>
      <w:r>
        <w:rPr>
          <w:rFonts w:ascii="Times New Roman" w:cs="Times New Roman" w:eastAsia="Times New Roman" w:hAnsi="Times New Roman"/>
          <w:sz w:val="24"/>
          <w:szCs w:val="24"/>
        </w:rPr>
        <w:t xml:space="preserve">6. Admission: New Limited Partners are admitted as of the first Business Day of each calendar quarter (or at such other times as the General Partner may determine).</w:t>
      </w:r>
    </w:p>
    <w:p>
      <w:pPr>
        <w:pStyle w:val="Heading2"/>
      </w:pPr>
      <w:r>
        <w:rPr>
          <w:b/>
          <w:bCs/>
        </w:rPr>
        <w:t xml:space="preserve">Contact Information</w:t>
      </w:r>
    </w:p>
    <w:p>
      <w:pPr>
        <w:spacing w:after="200" w:before="0"/>
        <w:jc w:val="both"/>
      </w:pPr>
      <w:r>
        <w:rPr>
          <w:rFonts w:ascii="Times New Roman" w:cs="Times New Roman" w:eastAsia="Times New Roman" w:hAnsi="Times New Roman"/>
          <w:b/>
          <w:bCs/>
          <w:sz w:val="24"/>
          <w:szCs w:val="24"/>
        </w:rPr>
        <w:t xml:space="preserve">General Partner:</w:t>
      </w:r>
    </w:p>
    <w:p>
      <w:pPr>
        <w:spacing w:after="200" w:before="0"/>
        <w:jc w:val="both"/>
      </w:pPr>
      <w:r>
        <w:rPr>
          <w:rFonts w:ascii="Times New Roman" w:cs="Times New Roman" w:eastAsia="Times New Roman" w:hAnsi="Times New Roman"/>
          <w:sz w:val="24"/>
          <w:szCs w:val="24"/>
        </w:rPr>
        <w:t xml:space="preserve">Hushh Technologies Middle East LLC</w:t>
      </w:r>
    </w:p>
    <w:p>
      <w:pPr>
        <w:spacing w:after="200" w:before="0"/>
        <w:jc w:val="both"/>
      </w:pPr>
      <w:r>
        <w:rPr>
          <w:rFonts w:ascii="Times New Roman" w:cs="Times New Roman" w:eastAsia="Times New Roman" w:hAnsi="Times New Roman"/>
          <w:sz w:val="24"/>
          <w:szCs w:val="24"/>
        </w:rPr>
        <w:t xml:space="preserve">Abu Dhabi Global Market, Abu Dhabi, UAE</w:t>
      </w:r>
    </w:p>
    <w:p>
      <w:pPr>
        <w:spacing w:before="100"/>
      </w:pPr>
    </w:p>
    <w:p>
      <w:pPr>
        <w:spacing w:after="200" w:before="0"/>
        <w:jc w:val="both"/>
      </w:pPr>
      <w:r>
        <w:rPr>
          <w:rFonts w:ascii="Times New Roman" w:cs="Times New Roman" w:eastAsia="Times New Roman" w:hAnsi="Times New Roman"/>
          <w:b/>
          <w:bCs/>
          <w:sz w:val="24"/>
          <w:szCs w:val="24"/>
        </w:rPr>
        <w:t xml:space="preserve">Founder and Chief Investment Officer:</w:t>
      </w:r>
    </w:p>
    <w:p>
      <w:pPr>
        <w:spacing w:after="200" w:before="0"/>
        <w:jc w:val="both"/>
      </w:pPr>
      <w:r>
        <w:rPr>
          <w:rFonts w:ascii="Times New Roman" w:cs="Times New Roman" w:eastAsia="Times New Roman" w:hAnsi="Times New Roman"/>
          <w:sz w:val="24"/>
          <w:szCs w:val="24"/>
        </w:rPr>
        <w:t xml:space="preserve">Manish Sainani</w:t>
      </w:r>
    </w:p>
    <w:p>
      <w:pPr>
        <w:spacing w:after="200" w:before="0"/>
        <w:jc w:val="both"/>
      </w:pPr>
      <w:r>
        <w:rPr>
          <w:rFonts w:ascii="Times New Roman" w:cs="Times New Roman" w:eastAsia="Times New Roman" w:hAnsi="Times New Roman"/>
          <w:sz w:val="24"/>
          <w:szCs w:val="24"/>
        </w:rPr>
        <w:t xml:space="preserve">Email: manish@hushh.ai</w:t>
      </w:r>
    </w:p>
    <w:p>
      <w:pPr>
        <w:spacing w:before="100"/>
      </w:pPr>
    </w:p>
    <w:p>
      <w:pPr>
        <w:spacing w:after="200" w:before="0"/>
        <w:jc w:val="both"/>
      </w:pPr>
      <w:r>
        <w:rPr>
          <w:rFonts w:ascii="Times New Roman" w:cs="Times New Roman" w:eastAsia="Times New Roman" w:hAnsi="Times New Roman"/>
          <w:b/>
          <w:bCs/>
          <w:sz w:val="24"/>
          <w:szCs w:val="24"/>
        </w:rPr>
        <w:t xml:space="preserve">Legal Counsel:</w:t>
      </w:r>
    </w:p>
    <w:p>
      <w:pPr>
        <w:spacing w:after="200" w:before="0"/>
        <w:jc w:val="both"/>
      </w:pPr>
      <w:r>
        <w:rPr>
          <w:rFonts w:ascii="Times New Roman" w:cs="Times New Roman" w:eastAsia="Times New Roman" w:hAnsi="Times New Roman"/>
          <w:sz w:val="24"/>
          <w:szCs w:val="24"/>
        </w:rPr>
        <w:t xml:space="preserve">Stephanie R. Breslow, Partner</w:t>
      </w:r>
    </w:p>
    <w:p>
      <w:pPr>
        <w:spacing w:after="200" w:before="0"/>
        <w:jc w:val="both"/>
      </w:pPr>
      <w:r>
        <w:rPr>
          <w:rFonts w:ascii="Times New Roman" w:cs="Times New Roman" w:eastAsia="Times New Roman" w:hAnsi="Times New Roman"/>
          <w:sz w:val="24"/>
          <w:szCs w:val="24"/>
        </w:rPr>
        <w:t xml:space="preserve">McDermott Will &amp; Emery LLP</w:t>
      </w:r>
    </w:p>
    <w:p>
      <w:pPr>
        <w:spacing w:after="200" w:before="0"/>
        <w:jc w:val="both"/>
      </w:pPr>
      <w:r>
        <w:rPr>
          <w:rFonts w:ascii="Times New Roman" w:cs="Times New Roman" w:eastAsia="Times New Roman" w:hAnsi="Times New Roman"/>
          <w:sz w:val="24"/>
          <w:szCs w:val="24"/>
        </w:rPr>
        <w:t xml:space="preserve">One Vanderbilt Avenue, New York, NY 10017</w:t>
      </w:r>
    </w:p>
    <w:p>
      <w:pPr>
        <w:spacing w:after="200" w:before="0"/>
        <w:jc w:val="both"/>
      </w:pPr>
      <w:r>
        <w:rPr>
          <w:rFonts w:ascii="Times New Roman" w:cs="Times New Roman" w:eastAsia="Times New Roman" w:hAnsi="Times New Roman"/>
          <w:sz w:val="24"/>
          <w:szCs w:val="24"/>
        </w:rPr>
        <w:t xml:space="preserve">https://www.mcdermottlaw.com/people/stephanie-r-breslow/</w:t>
      </w:r>
    </w:p>
    <w:p>
      <w:r>
        <w:br w:type="page"/>
      </w:r>
    </w:p>
    <w:p>
      <w:pPr>
        <w:pStyle w:val="Heading1"/>
      </w:pPr>
      <w:r>
        <w:rPr>
          <w:b/>
          <w:bCs/>
        </w:rPr>
        <w:t xml:space="preserve">XII. IMPORTANT LEGAL DISCLAIMERS</w:t>
      </w:r>
    </w:p>
    <w:p>
      <w:pPr>
        <w:spacing w:after="200" w:before="0"/>
        <w:jc w:val="both"/>
      </w:pPr>
      <w:r>
        <w:rPr>
          <w:rFonts w:ascii="Times New Roman" w:cs="Times New Roman" w:eastAsia="Times New Roman" w:hAnsi="Times New Roman"/>
          <w:b/>
          <w:bCs/>
          <w:sz w:val="24"/>
          <w:szCs w:val="24"/>
        </w:rPr>
        <w:t xml:space="preserve">THIS PROSPECTUS IS CONFIDENTIAL AND HAS BEEN PREPARED BY HUSHH TECHNOLOGIES MIDDLE EAST LLC (THE "GENERAL PARTNER") SOLELY FOR INFORMATIONAL PURPOSES. IT DOES NOT CONSTITUTE AN OFFER TO SELL OR A SOLICITATION OF AN OFFER TO BUY ANY SECURITY IN ANY JURISDICTION IN WHICH SUCH OFFER OR SOLICITATION WOULD BE UNLAWFUL.</w:t>
      </w:r>
    </w:p>
    <w:p>
      <w:pPr>
        <w:spacing w:after="200" w:before="0"/>
        <w:jc w:val="both"/>
      </w:pPr>
      <w:r>
        <w:rPr>
          <w:rFonts w:ascii="Times New Roman" w:cs="Times New Roman" w:eastAsia="Times New Roman" w:hAnsi="Times New Roman"/>
          <w:b/>
          <w:bCs/>
          <w:sz w:val="24"/>
          <w:szCs w:val="24"/>
        </w:rPr>
        <w:t xml:space="preserve">THE INTERESTS DESCRIBED HEREIN HAVE NOT BEEN AND WILL NOT BE REGISTERED UNDER THE UNITED STATES SECURITIES ACT OF 1933, AS AMENDED, OR THE SECURITIES LAWS OF ANY STATE OR OTHER JURISDICTION. THE INTERESTS ARE BEING OFFERED AND SOLD IN RELIANCE UPON EXEMPTIONS FROM REGISTRATION UNDER REGULATION D PROMULGATED UNDER THE SECURITIES ACT AND APPLICABLE STATE SECURITIES LAWS. THE INTERESTS MAY NOT BE TRANSFERRED OR RESOLD EXCEPT AS PERMITTED UNDER THE SECURITIES ACT AND APPLICABLE STATE SECURITIES LAWS PURSUANT TO REGISTRATION OR EXEMPTION THEREFROM.</w:t>
      </w:r>
    </w:p>
    <w:p>
      <w:pPr>
        <w:spacing w:after="200" w:before="0"/>
        <w:jc w:val="both"/>
      </w:pPr>
      <w:r>
        <w:rPr>
          <w:rFonts w:ascii="Times New Roman" w:cs="Times New Roman" w:eastAsia="Times New Roman" w:hAnsi="Times New Roman"/>
          <w:b/>
          <w:bCs/>
          <w:sz w:val="24"/>
          <w:szCs w:val="24"/>
        </w:rPr>
        <w:t xml:space="preserve">THE FUND HAS NOT BEEN AND WILL NOT BE REGISTERED UNDER THE UNITED STATES INVESTMENT COMPANY ACT OF 1940, AS AMENDED, IN RELIANCE UPON THE EXEMPTION PROVIDED BY SECTION 3(c)(7) THEREOF.</w:t>
      </w:r>
    </w:p>
    <w:p>
      <w:pPr>
        <w:spacing w:after="200" w:before="0"/>
        <w:jc w:val="both"/>
      </w:pPr>
      <w:r>
        <w:rPr>
          <w:rFonts w:ascii="Times New Roman" w:cs="Times New Roman" w:eastAsia="Times New Roman" w:hAnsi="Times New Roman"/>
          <w:b/>
          <w:bCs/>
          <w:sz w:val="24"/>
          <w:szCs w:val="24"/>
        </w:rPr>
        <w:t xml:space="preserve">AN INVESTMENT IN THE FUND IS SPECULATIVE AND INVOLVES A HIGH DEGREE OF RISK, INCLUDING THE RISK OF LOSS OF THE ENTIRE INVESTMENT. THERE CAN BE NO ASSURANCE THAT THE FUND WILL ACHIEVE ITS INVESTMENT OBJECTIVE. THE FUND IS SUITABLE ONLY FOR SOPHISTICATED INVESTORS WHO CAN BEAR THE ECONOMIC RISK OF A SUBSTANTIAL LOSS.</w:t>
      </w:r>
    </w:p>
    <w:p>
      <w:pPr>
        <w:spacing w:after="200" w:before="0"/>
        <w:jc w:val="both"/>
      </w:pPr>
      <w:r>
        <w:rPr>
          <w:rFonts w:ascii="Times New Roman" w:cs="Times New Roman" w:eastAsia="Times New Roman" w:hAnsi="Times New Roman"/>
          <w:b/>
          <w:bCs/>
          <w:sz w:val="24"/>
          <w:szCs w:val="24"/>
        </w:rPr>
        <w:t xml:space="preserve">PAST PERFORMANCE IS NOT INDICATIVE OF FUTURE RESULTS. THE FUND'S INVESTMENT STRATEGY HAS NOT BEEN FULLY IMPLEMENTED AND THE FUND HAS NO OPERATING HISTORY. PROJECTED, HYPOTHETICAL, OR ESTIMATED PERFORMANCE RESULTS HAVE INHERENT LIMITATIONS AND DO NOT REPRESENT ACTUAL TRADING.</w:t>
      </w:r>
    </w:p>
    <w:p>
      <w:pPr>
        <w:spacing w:after="200" w:before="0"/>
        <w:jc w:val="both"/>
      </w:pPr>
      <w:r>
        <w:rPr>
          <w:rFonts w:ascii="Times New Roman" w:cs="Times New Roman" w:eastAsia="Times New Roman" w:hAnsi="Times New Roman"/>
          <w:b/>
          <w:bCs/>
          <w:sz w:val="24"/>
          <w:szCs w:val="24"/>
        </w:rPr>
        <w:t xml:space="preserve">THIS PROSPECTUS CONTAINS FORWARD-LOOKING STATEMENTS REGARDING THE FUND'S STRATEGY, OBJECTIVES, AND EXPECTED PERFORMANCE. THESE STATEMENTS INVOLVE KNOWN AND UNKNOWN RISKS, UNCERTAINTIES, AND OTHER FACTORS THAT MAY CAUSE ACTUAL RESULTS TO DIFFER MATERIALLY FROM THOSE EXPRESSED OR IMPLIED.</w:t>
      </w:r>
    </w:p>
    <w:p>
      <w:pPr>
        <w:spacing w:after="200" w:before="0"/>
        <w:jc w:val="both"/>
      </w:pPr>
      <w:r>
        <w:rPr>
          <w:rFonts w:ascii="Times New Roman" w:cs="Times New Roman" w:eastAsia="Times New Roman" w:hAnsi="Times New Roman"/>
          <w:b/>
          <w:bCs/>
          <w:sz w:val="24"/>
          <w:szCs w:val="24"/>
        </w:rPr>
        <w:t xml:space="preserve">PROSPECTIVE INVESTORS ARE ADVISED TO CONSULT THEIR OWN LEGAL, TAX, AND FINANCIAL ADVISORS BEFORE MAKING ANY INVESTMENT DECISION.</w:t>
      </w:r>
    </w:p>
    <w:p>
      <w:pPr>
        <w:spacing w:after="200" w:before="0"/>
        <w:jc w:val="both"/>
      </w:pPr>
      <w:r>
        <w:rPr>
          <w:rFonts w:ascii="Times New Roman" w:cs="Times New Roman" w:eastAsia="Times New Roman" w:hAnsi="Times New Roman"/>
          <w:b/>
          <w:bCs/>
          <w:sz w:val="24"/>
          <w:szCs w:val="24"/>
        </w:rPr>
        <w:t xml:space="preserve">THIS PROSPECTUS SUPERSEDES ALL PRIOR DRAFTS AND SHALL NOT BE RELIED UPON BY ANY PERSON OTHER THAN THE INTENDED RECIPIENT AND SUCH RECIPIENT'S AUTHORIZED ADVISORS.</w:t>
      </w:r>
    </w:p>
    <w:p>
      <w:pPr>
        <w:spacing w:before="400"/>
      </w:pPr>
    </w:p>
    <w:p>
      <w:pPr>
        <w:pBdr>
          <w:top w:val="single" w:color="0D1B2A" w:sz="2" w:space="1"/>
        </w:pBdr>
        <w:spacing w:before="200" w:after="200"/>
        <w:jc w:val="center"/>
      </w:pPr>
    </w:p>
    <w:p>
      <w:pPr>
        <w:spacing w:after="100" w:before="0"/>
        <w:jc w:val="center"/>
      </w:pPr>
      <w:r>
        <w:rPr>
          <w:rFonts w:ascii="Times New Roman" w:cs="Times New Roman" w:eastAsia="Times New Roman" w:hAnsi="Times New Roman"/>
          <w:b/>
          <w:bCs/>
          <w:sz w:val="28"/>
          <w:szCs w:val="28"/>
        </w:rPr>
        <w:t xml:space="preserve">Hushh Alpha Aloha Fund A, LP</w:t>
      </w:r>
    </w:p>
    <w:p>
      <w:pPr>
        <w:spacing w:after="100" w:before="0"/>
        <w:jc w:val="center"/>
      </w:pPr>
      <w:r>
        <w:rPr>
          <w:rFonts w:ascii="Times New Roman" w:cs="Times New Roman" w:eastAsia="Times New Roman" w:hAnsi="Times New Roman"/>
          <w:i/>
          <w:iCs/>
          <w:sz w:val="24"/>
          <w:szCs w:val="24"/>
        </w:rPr>
        <w:t xml:space="preserve">"Own More. Always."</w:t>
      </w:r>
    </w:p>
    <w:p>
      <w:pPr>
        <w:spacing w:after="100" w:before="0"/>
        <w:jc w:val="center"/>
      </w:pPr>
      <w:r>
        <w:rPr>
          <w:rFonts w:ascii="Times New Roman" w:cs="Times New Roman" w:eastAsia="Times New Roman" w:hAnsi="Times New Roman"/>
          <w:i/>
          <w:iCs/>
          <w:sz w:val="22"/>
          <w:szCs w:val="22"/>
        </w:rPr>
        <w:t xml:space="preserve">Your Data. Your Business. Your Alpha. Your Aloha.</w:t>
      </w:r>
    </w:p>
    <w:p>
      <w:pPr>
        <w:spacing w:before="0" w:after="200"/>
        <w:jc w:val="center"/>
      </w:pPr>
      <w:r>
        <w:br w:type="page"/>
      </w:r>
      <w:r>
        <w:rPr>
          <w:rFonts w:ascii="Times New Roman" w:cs="Times New Roman" w:eastAsia="Times New Roman" w:hAnsi="Times New Roman"/>
          <w:b/>
          <w:bCs/>
          <w:sz w:val="24"/>
          <w:szCs w:val="24"/>
        </w:rPr>
        <w:t xml:space="preserve">ACKNOWLEDGEMENT AND SIGNATURE</w:t>
      </w:r>
    </w:p>
    <w:p>
      <w:pPr>
        <w:spacing w:after="200"/>
        <w:jc w:val="both"/>
      </w:pPr>
      <w:r>
        <w:rPr>
          <w:rFonts w:ascii="Times New Roman" w:cs="Times New Roman" w:eastAsia="Times New Roman" w:hAnsi="Times New Roman"/>
          <w:sz w:val="24"/>
          <w:szCs w:val="24"/>
        </w:rPr>
        <w:t xml:space="preserve">IN WITNESS WHEREOF, the parties have executed this Prospectus by electronic signature as of the date set forth below.</w:t>
      </w:r>
    </w:p>
    <w:p>
      <w:pPr>
        <w:spacing w:before="600"/>
      </w:pPr>
    </w:p>
    <w:p>
      <w:pPr>
        <w:spacing w:after="200"/>
        <w:jc w:val="both"/>
      </w:pPr>
      <w:r>
        <w:rPr>
          <w:rFonts w:ascii="Times New Roman" w:cs="Times New Roman" w:eastAsia="Times New Roman" w:hAnsi="Times New Roman"/>
          <w:b/>
          <w:bCs/>
          <w:sz w:val="24"/>
          <w:szCs w:val="24"/>
        </w:rPr>
        <w:t xml:space="preserve">GENERAL PARTNER:</w:t>
      </w:r>
    </w:p>
    <w:p>
      <w:pPr>
        <w:spacing w:after="200"/>
        <w:jc w:val="both"/>
      </w:pPr>
      <w:r>
        <w:rPr>
          <w:rFonts w:ascii="Times New Roman" w:cs="Times New Roman" w:eastAsia="Times New Roman" w:hAnsi="Times New Roman"/>
          <w:b/>
          <w:bCs/>
          <w:sz w:val="24"/>
          <w:szCs w:val="24"/>
        </w:rPr>
        <w:t xml:space="preserve">HUSHH TECHNOLOGIES MIDDLE EAST LLC</w:t>
      </w:r>
    </w:p>
    <w:p>
      <w:pPr>
        <w:spacing w:before="400"/>
      </w:pPr>
    </w:p>
    <w:p>
      <w:pPr>
        <w:spacing w:after="200"/>
        <w:jc w:val="both"/>
      </w:pPr>
      <w:r>
        <w:rPr>
          <w:rFonts w:ascii="Times New Roman" w:cs="Times New Roman" w:eastAsia="Times New Roman" w:hAnsi="Times New Roman"/>
          <w:sz w:val="24"/>
          <w:szCs w:val="24"/>
        </w:rPr>
        <w:t xml:space="preserve">By: {{GP_SIGNATURE}}</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CEO, and Sole Managing Member</w:t>
      </w:r>
    </w:p>
    <w:p>
      <w:pPr>
        <w:spacing w:after="200"/>
        <w:jc w:val="both"/>
      </w:pPr>
      <w:r>
        <w:rPr>
          <w:rFonts w:ascii="Times New Roman" w:cs="Times New Roman" w:eastAsia="Times New Roman" w:hAnsi="Times New Roman"/>
          <w:sz w:val="24"/>
          <w:szCs w:val="24"/>
        </w:rPr>
        <w:t xml:space="preserve">Date: {{GP_DATE}}</w:t>
      </w:r>
    </w:p>
    <w:p>
      <w:pPr>
        <w:spacing w:before="700"/>
      </w:pPr>
    </w:p>
    <w:p>
      <w:pPr>
        <w:spacing w:after="200"/>
        <w:jc w:val="both"/>
      </w:pPr>
      <w:r>
        <w:rPr>
          <w:rFonts w:ascii="Times New Roman" w:cs="Times New Roman" w:eastAsia="Times New Roman" w:hAnsi="Times New Roman"/>
          <w:b/>
          <w:bCs/>
          <w:sz w:val="24"/>
          <w:szCs w:val="24"/>
        </w:rPr>
        <w:t xml:space="preserve">LIMITED PARTNER:</w:t>
      </w:r>
    </w:p>
    <w:p>
      <w:pPr>
        <w:spacing w:before="300"/>
      </w:pPr>
    </w:p>
    <w:p>
      <w:pPr>
        <w:spacing w:after="200"/>
        <w:jc w:val="both"/>
      </w:pPr>
      <w:r>
        <w:rPr>
          <w:rFonts w:ascii="Times New Roman" w:cs="Times New Roman" w:eastAsia="Times New Roman" w:hAnsi="Times New Roman"/>
          <w:sz w:val="24"/>
          <w:szCs w:val="24"/>
        </w:rPr>
        <w:t xml:space="preserve">By: {{LP_SIGNATURE}}</w:t>
      </w:r>
    </w:p>
    <w:p>
      <w:pPr>
        <w:spacing w:after="200"/>
        <w:jc w:val="both"/>
      </w:pPr>
      <w:r>
        <w:rPr>
          <w:rFonts w:ascii="Times New Roman" w:cs="Times New Roman" w:eastAsia="Times New Roman" w:hAnsi="Times New Roman"/>
          <w:sz w:val="24"/>
          <w:szCs w:val="24"/>
        </w:rPr>
        <w:t xml:space="preserve">Name: {{LP_NAME}}</w:t>
      </w:r>
    </w:p>
    <w:p>
      <w:pPr>
        <w:spacing w:after="200"/>
        <w:jc w:val="both"/>
      </w:pPr>
      <w:r>
        <w:rPr>
          <w:rFonts w:ascii="Times New Roman" w:cs="Times New Roman" w:eastAsia="Times New Roman" w:hAnsi="Times New Roman"/>
          <w:sz w:val="24"/>
          <w:szCs w:val="24"/>
        </w:rPr>
        <w:t xml:space="preserve">Date: {{LP_DATE}}</w:t>
      </w:r>
    </w:p>
    <w:p>
      <w:pPr>
        <w:spacing w:before="400"/>
      </w:pPr>
    </w:p>
    <w:p>
      <w:pPr>
        <w:spacing w:after="200"/>
        <w:jc w:val="both"/>
      </w:pPr>
      <w:r>
        <w:rPr>
          <w:rFonts w:ascii="Times New Roman" w:cs="Times New Roman" w:eastAsia="Times New Roman" w:hAnsi="Times New Roman"/>
          <w:i/>
          <w:iCs/>
          <w:sz w:val="24"/>
          <w:szCs w:val="24"/>
        </w:rPr>
        <w:t xml:space="preserve">Executed by electronic signature.</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 INVESTMENT PROSPECTUS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80"/>
      <w:outlineLvl w:val="0"/>
    </w:pPr>
    <w:rPr>
      <w:rFonts w:ascii="Times New Roman" w:cs="Times New Roman" w:eastAsia="Times New Roman" w:hAnsi="Times New Roman"/>
      <w:b/>
      <w:bCs/>
      <w:color w:val="0D1B2A"/>
      <w:sz w:val="36"/>
      <w:szCs w:val="36"/>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color w:val="1a3c6e"/>
      <w:sz w:val="28"/>
      <w:szCs w:val="28"/>
    </w:rPr>
  </w:style>
  <w:style w:type="paragraph" w:styleId="Heading3">
    <w:name w:val="Heading 3"/>
    <w:basedOn w:val="Normal"/>
    <w:next w:val="Normal"/>
    <w:qFormat/>
    <w:pPr>
      <w:spacing w:before="200" w:after="160"/>
      <w:outlineLvl w:val="2"/>
    </w:pPr>
    <w:rPr>
      <w:rFonts w:ascii="Times New Roman" w:cs="Times New Roman" w:eastAsia="Times New Roman" w:hAnsi="Times New Roman"/>
      <w:b/>
      <w:bCs/>
      <w:i/>
      <w:i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2026-03-12T01:52:21.700Z</dcterms:created>
  <dcterms:modified xsi:type="dcterms:W3CDTF">2026-03-12T01:52:21.701Z</dcterms:modified>
</cp:coreProperties>
</file>

<file path=docProps/custom.xml><?xml version="1.0" encoding="utf-8"?>
<Properties xmlns="http://schemas.openxmlformats.org/officeDocument/2006/custom-properties" xmlns:vt="http://schemas.openxmlformats.org/officeDocument/2006/docPropsVTypes"/>
</file>