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pPr>
    </w:p>
    <w:p>
      <w:pPr>
        <w:spacing w:after="200" w:before="0"/>
        <w:jc w:val="center"/>
      </w:pPr>
      <w:r>
        <w:rPr>
          <w:rFonts w:ascii="Times New Roman" w:cs="Times New Roman" w:eastAsia="Times New Roman" w:hAnsi="Times New Roman"/>
          <w:b/>
          <w:bCs/>
          <w:color w:val="8B0000"/>
          <w:sz w:val="26"/>
          <w:szCs w:val="26"/>
        </w:rPr>
        <w:t xml:space="preserve">CONFIDENTIAL PRIVATE PLACEMENT MEMORANDUM</w:t>
      </w:r>
    </w:p>
    <w:p>
      <w:pPr>
        <w:spacing w:before="300"/>
      </w:pPr>
    </w:p>
    <w:p>
      <w:pPr>
        <w:pBdr>
          <w:bottom w:val="single" w:color="0D1B2A" w:sz="4" w:space="1"/>
        </w:pBdr>
        <w:spacing w:after="300"/>
      </w:pPr>
    </w:p>
    <w:p>
      <w:pPr>
        <w:spacing w:before="100"/>
      </w:pPr>
    </w:p>
    <w:p>
      <w:pPr>
        <w:spacing w:after="100" w:before="0"/>
        <w:jc w:val="center"/>
      </w:pPr>
      <w:r>
        <w:rPr>
          <w:rFonts w:ascii="Times New Roman" w:cs="Times New Roman" w:eastAsia="Times New Roman" w:hAnsi="Times New Roman"/>
          <w:b/>
          <w:bCs/>
          <w:sz w:val="44"/>
          <w:szCs w:val="44"/>
        </w:rPr>
        <w:t xml:space="preserve">HUSHH ALPHA ALOHA FUND A, LP</w:t>
      </w:r>
    </w:p>
    <w:p>
      <w:pPr>
        <w:spacing w:after="100" w:before="0"/>
        <w:jc w:val="center"/>
      </w:pPr>
      <w:r>
        <w:rPr>
          <w:rFonts w:ascii="Times New Roman" w:cs="Times New Roman" w:eastAsia="Times New Roman" w:hAnsi="Times New Roman"/>
          <w:i/>
          <w:iCs/>
          <w:sz w:val="24"/>
          <w:szCs w:val="24"/>
        </w:rPr>
        <w:t xml:space="preserve">(A Cayman Islands Exempted Limited Partnership)</w:t>
      </w:r>
    </w:p>
    <w:p>
      <w:pPr>
        <w:spacing w:before="100"/>
      </w:pPr>
    </w:p>
    <w:p>
      <w:pPr>
        <w:spacing w:after="100" w:before="0"/>
        <w:jc w:val="center"/>
      </w:pPr>
      <w:r>
        <w:rPr>
          <w:rFonts w:ascii="Times New Roman" w:cs="Times New Roman" w:eastAsia="Times New Roman" w:hAnsi="Times New Roman"/>
          <w:b/>
          <w:bCs/>
          <w:color w:val="0D1B2A"/>
          <w:sz w:val="30"/>
          <w:szCs w:val="30"/>
        </w:rPr>
        <w:t xml:space="preserve">MASTER FUND</w:t>
      </w:r>
    </w:p>
    <w:p>
      <w:pPr>
        <w:spacing w:before="50"/>
      </w:pPr>
    </w:p>
    <w:p>
      <w:pPr>
        <w:spacing w:after="200" w:before="0"/>
        <w:jc w:val="center"/>
      </w:pPr>
      <w:r>
        <w:rPr>
          <w:rFonts w:ascii="Times New Roman" w:cs="Times New Roman" w:eastAsia="Times New Roman" w:hAnsi="Times New Roman"/>
          <w:i/>
          <w:iCs/>
          <w:sz w:val="22"/>
          <w:szCs w:val="22"/>
        </w:rPr>
        <w:t xml:space="preserve">with Feeder Funds in Delaware (USA), Singapore (VCC), and Abu Dhabi Global Market (UAE)</w:t>
      </w:r>
    </w:p>
    <w:p>
      <w:pPr>
        <w:pBdr>
          <w:bottom w:val="single" w:color="0D1B2A" w:sz="4" w:space="1"/>
        </w:pBdr>
        <w:spacing w:after="300"/>
      </w:pPr>
    </w:p>
    <w:p>
      <w:pPr>
        <w:spacing w:before="200"/>
      </w:pPr>
    </w:p>
    <w:p>
      <w:pPr>
        <w:spacing w:after="60" w:before="0"/>
        <w:jc w:val="center"/>
      </w:pPr>
      <w:r>
        <w:rPr>
          <w:rFonts w:ascii="Times New Roman" w:cs="Times New Roman" w:eastAsia="Times New Roman" w:hAnsi="Times New Roman"/>
          <w:b/>
          <w:bCs/>
          <w:sz w:val="26"/>
          <w:szCs w:val="26"/>
        </w:rPr>
        <w:t xml:space="preserve">An Evergreen, AI-First, FCF-First Permanent Capital Vehicle</w:t>
      </w:r>
    </w:p>
    <w:p>
      <w:pPr>
        <w:spacing w:after="300" w:before="0"/>
        <w:jc w:val="center"/>
      </w:pPr>
      <w:r>
        <w:rPr>
          <w:rFonts w:ascii="Times New Roman" w:cs="Times New Roman" w:eastAsia="Times New Roman" w:hAnsi="Times New Roman"/>
          <w:i/>
          <w:iCs/>
          <w:sz w:val="22"/>
          <w:szCs w:val="22"/>
        </w:rPr>
        <w:t xml:space="preserve">Employing the Alpha Bets 27 Portfolio, the DNSA Engine, and the DRIP-ON Methodology</w:t>
      </w:r>
    </w:p>
    <w:p>
      <w:pPr>
        <w:spacing w:after="60" w:before="0"/>
        <w:jc w:val="center"/>
      </w:pPr>
      <w:r>
        <w:rPr>
          <w:rFonts w:ascii="Times New Roman" w:cs="Times New Roman" w:eastAsia="Times New Roman" w:hAnsi="Times New Roman"/>
          <w:b/>
          <w:bCs/>
          <w:sz w:val="22"/>
          <w:szCs w:val="22"/>
        </w:rPr>
        <w:t xml:space="preserve">Interests Offered:</w:t>
      </w:r>
    </w:p>
    <w:p>
      <w:pPr>
        <w:spacing w:after="300" w:before="0"/>
        <w:jc w:val="center"/>
      </w:pPr>
      <w:r>
        <w:rPr>
          <w:rFonts w:ascii="Times New Roman" w:cs="Times New Roman" w:eastAsia="Times New Roman" w:hAnsi="Times New Roman"/>
          <w:sz w:val="24"/>
          <w:szCs w:val="24"/>
        </w:rPr>
        <w:t xml:space="preserve">Class A | Class B | Class C | Class I | Class S | Class F</w:t>
      </w:r>
    </w:p>
    <w:p>
      <w:pPr>
        <w:spacing w:after="300" w:before="0"/>
        <w:jc w:val="center"/>
      </w:pPr>
      <w:r>
        <w:rPr>
          <w:rFonts w:ascii="Times New Roman" w:cs="Times New Roman" w:eastAsia="Times New Roman" w:hAnsi="Times New Roman"/>
          <w:sz w:val="22"/>
          <w:szCs w:val="22"/>
        </w:rPr>
        <w:t xml:space="preserve">Minimum Investment: $1,000,000 (Class A)</w:t>
      </w:r>
    </w:p>
    <w:p>
      <w:pPr>
        <w:pBdr>
          <w:bottom w:val="single" w:color="0D1B2A" w:sz="4" w:space="1"/>
        </w:pBdr>
        <w:spacing w:after="300"/>
      </w:pPr>
    </w:p>
    <w:p>
      <w:pPr>
        <w:spacing w:before="100"/>
      </w:pPr>
    </w:p>
    <w:p>
      <w:pPr>
        <w:spacing w:after="40" w:before="0"/>
        <w:jc w:val="center"/>
      </w:pPr>
      <w:r>
        <w:rPr>
          <w:rFonts w:ascii="Times New Roman" w:cs="Times New Roman" w:eastAsia="Times New Roman" w:hAnsi="Times New Roman"/>
          <w:b/>
          <w:bCs/>
          <w:sz w:val="20"/>
          <w:szCs w:val="20"/>
        </w:rPr>
        <w:t xml:space="preserve">General Partner</w:t>
      </w:r>
    </w:p>
    <w:p>
      <w:pPr>
        <w:spacing w:after="40" w:before="0"/>
        <w:jc w:val="center"/>
      </w:pPr>
      <w:r>
        <w:rPr>
          <w:rFonts w:ascii="Times New Roman" w:cs="Times New Roman" w:eastAsia="Times New Roman" w:hAnsi="Times New Roman"/>
          <w:b/>
          <w:bCs/>
          <w:sz w:val="24"/>
          <w:szCs w:val="24"/>
        </w:rPr>
        <w:t xml:space="preserve">Hushh Technologies Middle East LLC</w:t>
      </w:r>
    </w:p>
    <w:p>
      <w:pPr>
        <w:spacing w:after="200" w:before="0"/>
        <w:jc w:val="center"/>
      </w:pPr>
      <w:r>
        <w:rPr>
          <w:rFonts w:ascii="Times New Roman" w:cs="Times New Roman" w:eastAsia="Times New Roman" w:hAnsi="Times New Roman"/>
          <w:i/>
          <w:iCs/>
          <w:sz w:val="20"/>
          <w:szCs w:val="20"/>
        </w:rPr>
        <w:t xml:space="preserve">Abu Dhabi Global Market, United Arab Emirates</w:t>
      </w:r>
    </w:p>
    <w:p>
      <w:pPr>
        <w:spacing w:after="40" w:before="0"/>
        <w:jc w:val="center"/>
      </w:pPr>
      <w:r>
        <w:rPr>
          <w:rFonts w:ascii="Times New Roman" w:cs="Times New Roman" w:eastAsia="Times New Roman" w:hAnsi="Times New Roman"/>
          <w:b/>
          <w:bCs/>
          <w:sz w:val="20"/>
          <w:szCs w:val="20"/>
        </w:rPr>
        <w:t xml:space="preserve">Founder, Chief Executive Officer &amp; Chief Investment Officer</w:t>
      </w:r>
    </w:p>
    <w:p>
      <w:pPr>
        <w:spacing w:after="200" w:before="0"/>
        <w:jc w:val="center"/>
      </w:pPr>
      <w:r>
        <w:rPr>
          <w:rFonts w:ascii="Times New Roman" w:cs="Times New Roman" w:eastAsia="Times New Roman" w:hAnsi="Times New Roman"/>
          <w:sz w:val="24"/>
          <w:szCs w:val="24"/>
        </w:rPr>
        <w:t xml:space="preserve">Manish Sainani</w:t>
      </w:r>
    </w:p>
    <w:p>
      <w:pPr>
        <w:spacing w:after="40" w:before="0"/>
        <w:jc w:val="center"/>
      </w:pPr>
      <w:r>
        <w:rPr>
          <w:rFonts w:ascii="Times New Roman" w:cs="Times New Roman" w:eastAsia="Times New Roman" w:hAnsi="Times New Roman"/>
          <w:b/>
          <w:bCs/>
          <w:sz w:val="20"/>
          <w:szCs w:val="20"/>
        </w:rPr>
        <w:t xml:space="preserve">Legal Counsel</w:t>
      </w:r>
    </w:p>
    <w:p>
      <w:pPr>
        <w:spacing w:after="40" w:before="0"/>
        <w:jc w:val="center"/>
      </w:pPr>
      <w:r>
        <w:rPr>
          <w:rFonts w:ascii="Times New Roman" w:cs="Times New Roman" w:eastAsia="Times New Roman" w:hAnsi="Times New Roman"/>
          <w:sz w:val="24"/>
          <w:szCs w:val="24"/>
        </w:rPr>
        <w:t xml:space="preserve">McDermott Will &amp; Emery LLP</w:t>
      </w:r>
    </w:p>
    <w:p>
      <w:pPr>
        <w:spacing w:after="300" w:before="0"/>
        <w:jc w:val="center"/>
      </w:pPr>
      <w:r>
        <w:rPr>
          <w:rFonts w:ascii="Times New Roman" w:cs="Times New Roman" w:eastAsia="Times New Roman" w:hAnsi="Times New Roman"/>
          <w:i/>
          <w:iCs/>
          <w:sz w:val="20"/>
          <w:szCs w:val="20"/>
        </w:rPr>
        <w:t xml:space="preserve">Stephanie R. Breslow, Partner — Investment Management</w:t>
      </w:r>
    </w:p>
    <w:p>
      <w:pPr>
        <w:spacing w:after="400" w:before="0"/>
        <w:jc w:val="center"/>
      </w:pPr>
      <w:r>
        <w:rPr>
          <w:rFonts w:ascii="Times New Roman" w:cs="Times New Roman" w:eastAsia="Times New Roman" w:hAnsi="Times New Roman"/>
          <w:b/>
          <w:bCs/>
          <w:sz w:val="22"/>
          <w:szCs w:val="22"/>
        </w:rPr>
        <w:t xml:space="preserve">Dated: March 2026</w:t>
      </w:r>
    </w:p>
    <w:p>
      <w:pPr>
        <w:pBdr>
          <w:bottom w:val="single" w:color="0D1B2A" w:sz="4" w:space="1"/>
        </w:pBdr>
        <w:spacing w:after="300"/>
      </w:pPr>
    </w:p>
    <w:p>
      <w:pPr>
        <w:spacing w:before="100"/>
      </w:pPr>
    </w:p>
    <w:p>
      <w:pPr>
        <w:spacing w:after="100" w:before="0"/>
        <w:jc w:val="both"/>
      </w:pPr>
      <w:r>
        <w:rPr>
          <w:rFonts w:ascii="Times New Roman" w:cs="Times New Roman" w:eastAsia="Times New Roman" w:hAnsi="Times New Roman"/>
          <w:color w:val="333333"/>
          <w:sz w:val="16"/>
          <w:szCs w:val="16"/>
        </w:rPr>
        <w:t xml:space="preserve">THE INTERESTS DESCRIBED HEREIN HAVE NOT BEEN REGISTERED UNDER THE UNITED STATES SECURITIES ACT OF 1933, AS AMENDED (THE "SECURITIES ACT"), OR THE SECURITIES LAWS OF ANY STATE OR OTHER JURISDICTION, AND ARE BEING OFFERED AND SOLD IN RELIANCE UPON EXEMPTIONS FROM REGISTRATION UNDER REGULATION D PROMULGATED UNDER THE SECURITIES ACT. THE INTERESTS MAY NOT BE OFFERED, SOLD, TRANSFERRED, PLEDGED, OR OTHERWISE DISPOSED OF EXCEPT IN COMPLIANCE WITH THE SECURITIES ACT AND APPLICABLE STATE SECURITIES LAWS.</w:t>
      </w:r>
    </w:p>
    <w:p>
      <w:pPr>
        <w:spacing w:after="100" w:before="0"/>
        <w:jc w:val="both"/>
      </w:pPr>
      <w:r>
        <w:rPr>
          <w:rFonts w:ascii="Times New Roman" w:cs="Times New Roman" w:eastAsia="Times New Roman" w:hAnsi="Times New Roman"/>
          <w:color w:val="333333"/>
          <w:sz w:val="16"/>
          <w:szCs w:val="16"/>
        </w:rPr>
        <w:t xml:space="preserve">THE FUND HAS NOT BEEN REGISTERED UNDER THE UNITED STATES INVESTMENT COMPANY ACT OF 1940, AS AMENDED (THE "1940 ACT"), IN RELIANCE UPON THE EXEMPTION PROVIDED BY SECTION 3(c)(7) THEREOF. ACCORDINGLY, INTERESTS MAY ONLY BE OFFERED AND SOLD TO "QUALIFIED PURCHASERS" AS DEFINED IN SECTION 2(a)(51) OF THE 1940 ACT.</w:t>
      </w:r>
    </w:p>
    <w:p>
      <w:pPr>
        <w:spacing w:after="100" w:before="0"/>
        <w:jc w:val="both"/>
      </w:pPr>
      <w:r>
        <w:rPr>
          <w:rFonts w:ascii="Times New Roman" w:cs="Times New Roman" w:eastAsia="Times New Roman" w:hAnsi="Times New Roman"/>
          <w:color w:val="8B0000"/>
          <w:sz w:val="16"/>
          <w:szCs w:val="16"/>
        </w:rPr>
        <w:t xml:space="preserve">NO FEDERAL OR STATE SECURITIES COMMISSION OR REGULATORY AUTHORITY HAS PASSED UPON THE ACCURACY OR ADEQUACY OF THIS MEMORANDUM OR MADE ANY RECOMMENDATION AS TO WHETHER THE INTERESTS DESCRIBED HEREIN ARE A SUITABLE INVESTMENT. ANY REPRESENTATION TO THE CONTRARY IS A CRIMINAL OFFENSE.</w:t>
      </w:r>
    </w:p>
    <w:p>
      <w:pPr>
        <w:spacing w:after="200" w:before="0"/>
        <w:jc w:val="both"/>
      </w:pPr>
      <w:r>
        <w:rPr>
          <w:rFonts w:ascii="Times New Roman" w:cs="Times New Roman" w:eastAsia="Times New Roman" w:hAnsi="Times New Roman"/>
          <w:color w:val="333333"/>
          <w:sz w:val="16"/>
          <w:szCs w:val="16"/>
        </w:rPr>
        <w:t xml:space="preserve">THIS MEMORANDUM IS CONFIDENTIAL AND IS INTENDED SOLELY FOR THE USE OF THE PERSON TO WHOM IT HAS BEEN DELIVERED FOR THE PURPOSE OF EVALUATING AN INVESTMENT IN THE FUND. REPRODUCTION OR DISTRIBUTION OF THIS MEMORANDUM, IN WHOLE OR IN PART, OR THE DISCLOSURE OF ANY OF ITS CONTENTS, IS PROHIBITED WITHOUT THE PRIOR WRITTEN CONSENT OF THE GENERAL PARTNER.</w:t>
      </w:r>
    </w:p>
    <w:p>
      <w:r>
        <w:br w:type="page"/>
      </w:r>
    </w:p>
    <w:p>
      <w:pPr>
        <w:pStyle w:val="Heading1"/>
      </w:pPr>
      <w:r>
        <w:rPr>
          <w:b/>
          <w:bCs/>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rPr>
          <w:b/>
          <w:bCs/>
        </w:rPr>
        <w:t xml:space="preserve">I. SUMMARY OF THE OFFERING</w:t>
      </w:r>
    </w:p>
    <w:p>
      <w:pPr>
        <w:spacing w:after="200" w:before="0"/>
        <w:jc w:val="both"/>
      </w:pPr>
      <w:r>
        <w:rPr>
          <w:rFonts w:ascii="Times New Roman" w:cs="Times New Roman" w:eastAsia="Times New Roman" w:hAnsi="Times New Roman"/>
          <w:i/>
          <w:iCs/>
          <w:sz w:val="24"/>
          <w:szCs w:val="24"/>
        </w:rPr>
        <w:t xml:space="preserve">The following summary is qualified in its entirety by the detailed information appearing elsewhere in this Memorandum and in the Limited Partnership Agreement (the "LPA"). Capitalized terms not defined herein have the meanings ascribed to them in the LPA. Prospective investors should read this entire Memorandum and the LPA carefully before making an investment decision.</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0B0B0" w:sz="1"/>
              <w:left w:val="single" w:color="B0B0B0" w:sz="1"/>
              <w:bottom w:val="single" w:color="B0B0B0" w:sz="1"/>
              <w:right w:val="single" w:color="B0B0B0" w:sz="1"/>
            </w:tcBorders>
            <w:shd w:fill="0D1B2A"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0"/>
                <w:szCs w:val="20"/>
              </w:rPr>
              <w:t xml:space="preserve">Term</w:t>
            </w:r>
          </w:p>
        </w:tc>
        <w:tc>
          <w:tcPr>
            <w:tcW w:type="dxa" w:w="7160"/>
            <w:tcBorders>
              <w:top w:val="single" w:color="B0B0B0" w:sz="1"/>
              <w:left w:val="single" w:color="B0B0B0" w:sz="1"/>
              <w:bottom w:val="single" w:color="B0B0B0" w:sz="1"/>
              <w:right w:val="single" w:color="B0B0B0" w:sz="1"/>
            </w:tcBorders>
            <w:shd w:fill="0D1B2A"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0"/>
                <w:szCs w:val="20"/>
              </w:rPr>
              <w:t xml:space="preserve">Summary</w:t>
            </w:r>
          </w:p>
        </w:tc>
      </w:tr>
      <w:tr>
        <w:tc>
          <w:tcPr>
            <w:tcW w:type="dxa" w:w="2200"/>
            <w:tcBorders>
              <w:top w:val="single" w:color="B0B0B0" w:sz="1"/>
              <w:left w:val="single" w:color="B0B0B0" w:sz="1"/>
              <w:bottom w:val="single" w:color="B0B0B0" w:sz="1"/>
              <w:right w:val="single" w:color="B0B0B0" w:sz="1"/>
            </w:tcBorders>
            <w:shd w:fill="F2F5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Fund</w:t>
            </w:r>
          </w:p>
        </w:tc>
        <w:tc>
          <w:tcPr>
            <w:tcW w:type="dxa" w:w="7160"/>
            <w:tcBorders>
              <w:top w:val="single" w:color="B0B0B0" w:sz="1"/>
              <w:left w:val="single" w:color="B0B0B0" w:sz="1"/>
              <w:bottom w:val="single" w:color="B0B0B0" w:sz="1"/>
              <w:right w:val="single" w:color="B0B0B0" w:sz="1"/>
            </w:tcBorders>
            <w:shd w:fill="F2F5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Hushh Alpha Aloha Fund A, LP, a Cayman Islands Exempted Limited Partnership (the "Master Fund"), together with its Feeder Funds: Hushh Alpha Aloha Fund A (Delaware), LP; Hushh Alpha Aloha Fund A (Singapore) VCC; and Hushh Alpha Aloha Fund A (ADGM), LP.</w:t>
            </w:r>
          </w:p>
        </w:tc>
      </w:tr>
      <w:tr>
        <w:tc>
          <w:tcPr>
            <w:tcW w:type="dxa" w:w="22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General Partner</w:t>
            </w:r>
          </w:p>
        </w:tc>
        <w:tc>
          <w:tcPr>
            <w:tcW w:type="dxa" w:w="716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Hushh Technologies Middle East LLC, an ADGM-registered limited liability company. The General Partner is controlled by Manish Sainani as sole managing member.</w:t>
            </w:r>
          </w:p>
        </w:tc>
      </w:tr>
      <w:tr>
        <w:tc>
          <w:tcPr>
            <w:tcW w:type="dxa" w:w="2200"/>
            <w:tcBorders>
              <w:top w:val="single" w:color="B0B0B0" w:sz="1"/>
              <w:left w:val="single" w:color="B0B0B0" w:sz="1"/>
              <w:bottom w:val="single" w:color="B0B0B0" w:sz="1"/>
              <w:right w:val="single" w:color="B0B0B0" w:sz="1"/>
            </w:tcBorders>
            <w:shd w:fill="F2F5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Founder / CIO</w:t>
            </w:r>
          </w:p>
        </w:tc>
        <w:tc>
          <w:tcPr>
            <w:tcW w:type="dxa" w:w="7160"/>
            <w:tcBorders>
              <w:top w:val="single" w:color="B0B0B0" w:sz="1"/>
              <w:left w:val="single" w:color="B0B0B0" w:sz="1"/>
              <w:bottom w:val="single" w:color="B0B0B0" w:sz="1"/>
              <w:right w:val="single" w:color="B0B0B0" w:sz="1"/>
            </w:tcBorders>
            <w:shd w:fill="F2F5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Manish Sainani. Former GM/Director of AI Products at Google (Cloud TPUs/GPUs, Vertex AI), Microsoft (Azure ML), and Splunk (AI Platform). Stanford GSB MBA. UBS Investment Banking.</w:t>
            </w:r>
          </w:p>
        </w:tc>
      </w:tr>
      <w:tr>
        <w:tc>
          <w:tcPr>
            <w:tcW w:type="dxa" w:w="22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Investment Objective</w:t>
            </w:r>
          </w:p>
        </w:tc>
        <w:tc>
          <w:tcPr>
            <w:tcW w:type="dxa" w:w="716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Systematic accumulation of shares in the world's 27 highest absolute free cash flow generating businesses, weighted by FCF contribution to global economic output, using options overlays to convert market fear and greed into additional ownership at the lowest possible cost basis. Target: MSCI ACWI + 200 bps net of all fees over a rolling five-year period.</w:t>
            </w:r>
          </w:p>
        </w:tc>
      </w:tr>
      <w:tr>
        <w:tc>
          <w:tcPr>
            <w:tcW w:type="dxa" w:w="2200"/>
            <w:tcBorders>
              <w:top w:val="single" w:color="B0B0B0" w:sz="1"/>
              <w:left w:val="single" w:color="B0B0B0" w:sz="1"/>
              <w:bottom w:val="single" w:color="B0B0B0" w:sz="1"/>
              <w:right w:val="single" w:color="B0B0B0" w:sz="1"/>
            </w:tcBorders>
            <w:shd w:fill="F2F5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Investment Strategy</w:t>
            </w:r>
          </w:p>
        </w:tc>
        <w:tc>
          <w:tcPr>
            <w:tcW w:type="dxa" w:w="7160"/>
            <w:tcBorders>
              <w:top w:val="single" w:color="B0B0B0" w:sz="1"/>
              <w:left w:val="single" w:color="B0B0B0" w:sz="1"/>
              <w:bottom w:val="single" w:color="B0B0B0" w:sz="1"/>
              <w:right w:val="single" w:color="B0B0B0" w:sz="1"/>
            </w:tcBorders>
            <w:shd w:fill="F2F5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Three integrated components: (1) Alpha Bets 27 Portfolio — concentrated FCF-weighted equity positions in four tiers (Aces/Kings/Queens/Jacks); (2) DNSA Engine — AI-first systematic covered call writing and cash-secured put selling; (3) DRIP-ON — 100% reinvestment of all income into additional shares.</w:t>
            </w:r>
          </w:p>
        </w:tc>
      </w:tr>
      <w:tr>
        <w:tc>
          <w:tcPr>
            <w:tcW w:type="dxa" w:w="22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Fund Structure</w:t>
            </w:r>
          </w:p>
        </w:tc>
        <w:tc>
          <w:tcPr>
            <w:tcW w:type="dxa" w:w="716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Cayman Master Fund with Delaware LP, Singapore VCC, and ADGM LP feeders. Evergreen (perpetual, no termination date). Maximum 1,024 LPs across all vehicles (The 1024 Club).</w:t>
            </w:r>
          </w:p>
        </w:tc>
      </w:tr>
      <w:tr>
        <w:tc>
          <w:tcPr>
            <w:tcW w:type="dxa" w:w="2200"/>
            <w:tcBorders>
              <w:top w:val="single" w:color="B0B0B0" w:sz="1"/>
              <w:left w:val="single" w:color="B0B0B0" w:sz="1"/>
              <w:bottom w:val="single" w:color="B0B0B0" w:sz="1"/>
              <w:right w:val="single" w:color="B0B0B0" w:sz="1"/>
            </w:tcBorders>
            <w:shd w:fill="F2F5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Asset Allocation</w:t>
            </w:r>
          </w:p>
        </w:tc>
        <w:tc>
          <w:tcPr>
            <w:tcW w:type="dxa" w:w="7160"/>
            <w:tcBorders>
              <w:top w:val="single" w:color="B0B0B0" w:sz="1"/>
              <w:left w:val="single" w:color="B0B0B0" w:sz="1"/>
              <w:bottom w:val="single" w:color="B0B0B0" w:sz="1"/>
              <w:right w:val="single" w:color="B0B0B0" w:sz="1"/>
            </w:tcBorders>
            <w:shd w:fill="F2F5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~78% Equity Sleeve (Alpha Bets 27) / ~22% T-Bill Reserve (short-term U.S. Treasuries serving as yield, collateral for puts, and liquidity buffer).</w:t>
            </w:r>
          </w:p>
        </w:tc>
      </w:tr>
      <w:tr>
        <w:tc>
          <w:tcPr>
            <w:tcW w:type="dxa" w:w="22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Leverage Limits</w:t>
            </w:r>
          </w:p>
        </w:tc>
        <w:tc>
          <w:tcPr>
            <w:tcW w:type="dxa" w:w="716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Iron Rule 4: Max 70% LTV on Equity Sleeve; Max 99% LTV on T-Bill Reserve; Max 60% aggregate fund-level leverage. Hard caps — no exceptions.</w:t>
            </w:r>
          </w:p>
        </w:tc>
      </w:tr>
      <w:tr>
        <w:tc>
          <w:tcPr>
            <w:tcW w:type="dxa" w:w="2200"/>
            <w:tcBorders>
              <w:top w:val="single" w:color="B0B0B0" w:sz="1"/>
              <w:left w:val="single" w:color="B0B0B0" w:sz="1"/>
              <w:bottom w:val="single" w:color="B0B0B0" w:sz="1"/>
              <w:right w:val="single" w:color="B0B0B0" w:sz="1"/>
            </w:tcBorders>
            <w:shd w:fill="F2F5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Share Classes</w:t>
            </w:r>
          </w:p>
        </w:tc>
        <w:tc>
          <w:tcPr>
            <w:tcW w:type="dxa" w:w="7160"/>
            <w:tcBorders>
              <w:top w:val="single" w:color="B0B0B0" w:sz="1"/>
              <w:left w:val="single" w:color="B0B0B0" w:sz="1"/>
              <w:bottom w:val="single" w:color="B0B0B0" w:sz="1"/>
              <w:right w:val="single" w:color="B0B0B0" w:sz="1"/>
            </w:tcBorders>
            <w:shd w:fill="F2F5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Class A ($1M min, 1.69%/1.19%/0.69% tiered mgmt fee); Class B ($10M min, 1.19%); Class C ($5M min, 1.49%); Class I ($50M min, 0.69%); Class S (staff, 0%); Class F (Founder, 0%/0%).</w:t>
            </w:r>
          </w:p>
        </w:tc>
      </w:tr>
      <w:tr>
        <w:tc>
          <w:tcPr>
            <w:tcW w:type="dxa" w:w="22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Performance Allocation</w:t>
            </w:r>
          </w:p>
        </w:tc>
        <w:tc>
          <w:tcPr>
            <w:tcW w:type="dxa" w:w="716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15% of net profits above Hurdle Rate (MSCI ACWI + 200 bps), subject to permanent High-Water Mark. Crystallizes annually. Class F exempt.</w:t>
            </w:r>
          </w:p>
        </w:tc>
      </w:tr>
      <w:tr>
        <w:tc>
          <w:tcPr>
            <w:tcW w:type="dxa" w:w="2200"/>
            <w:tcBorders>
              <w:top w:val="single" w:color="B0B0B0" w:sz="1"/>
              <w:left w:val="single" w:color="B0B0B0" w:sz="1"/>
              <w:bottom w:val="single" w:color="B0B0B0" w:sz="1"/>
              <w:right w:val="single" w:color="B0B0B0" w:sz="1"/>
            </w:tcBorders>
            <w:shd w:fill="F2F5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GP Co-Investment</w:t>
            </w:r>
          </w:p>
        </w:tc>
        <w:tc>
          <w:tcPr>
            <w:tcW w:type="dxa" w:w="7160"/>
            <w:tcBorders>
              <w:top w:val="single" w:color="B0B0B0" w:sz="1"/>
              <w:left w:val="single" w:color="B0B0B0" w:sz="1"/>
              <w:bottom w:val="single" w:color="B0B0B0" w:sz="1"/>
              <w:right w:val="single" w:color="B0B0B0" w:sz="1"/>
            </w:tcBorders>
            <w:shd w:fill="F2F5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$5,000,000 minimum. First-in / last-out. Class F (0% mgmt fee, 0% performance allocation).</w:t>
            </w:r>
          </w:p>
        </w:tc>
      </w:tr>
      <w:tr>
        <w:tc>
          <w:tcPr>
            <w:tcW w:type="dxa" w:w="22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Subscriptions</w:t>
            </w:r>
          </w:p>
        </w:tc>
        <w:tc>
          <w:tcPr>
            <w:tcW w:type="dxa" w:w="716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Quarterly (first Business Day of each calendar quarter), or at GP discretion.</w:t>
            </w:r>
          </w:p>
        </w:tc>
      </w:tr>
      <w:tr>
        <w:tc>
          <w:tcPr>
            <w:tcW w:type="dxa" w:w="2200"/>
            <w:tcBorders>
              <w:top w:val="single" w:color="B0B0B0" w:sz="1"/>
              <w:left w:val="single" w:color="B0B0B0" w:sz="1"/>
              <w:bottom w:val="single" w:color="B0B0B0" w:sz="1"/>
              <w:right w:val="single" w:color="B0B0B0" w:sz="1"/>
            </w:tcBorders>
            <w:shd w:fill="F2F5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Redemptions</w:t>
            </w:r>
          </w:p>
        </w:tc>
        <w:tc>
          <w:tcPr>
            <w:tcW w:type="dxa" w:w="7160"/>
            <w:tcBorders>
              <w:top w:val="single" w:color="B0B0B0" w:sz="1"/>
              <w:left w:val="single" w:color="B0B0B0" w:sz="1"/>
              <w:bottom w:val="single" w:color="B0B0B0" w:sz="1"/>
              <w:right w:val="single" w:color="B0B0B0" w:sz="1"/>
            </w:tcBorders>
            <w:shd w:fill="F2F5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Quarterly; 60-day advance written notice; 15% quarterly gate; 12-month soft lock-up with 2% early redemption fee. GP may suspend redemptions under specified circumstances.</w:t>
            </w:r>
          </w:p>
        </w:tc>
      </w:tr>
      <w:tr>
        <w:tc>
          <w:tcPr>
            <w:tcW w:type="dxa" w:w="22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Distributions</w:t>
            </w:r>
          </w:p>
        </w:tc>
        <w:tc>
          <w:tcPr>
            <w:tcW w:type="dxa" w:w="716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None. All income reinvested via DRIP-ON (Iron Rule 3). Tax distributions at GP discretion.</w:t>
            </w:r>
          </w:p>
        </w:tc>
      </w:tr>
      <w:tr>
        <w:tc>
          <w:tcPr>
            <w:tcW w:type="dxa" w:w="2200"/>
            <w:tcBorders>
              <w:top w:val="single" w:color="B0B0B0" w:sz="1"/>
              <w:left w:val="single" w:color="B0B0B0" w:sz="1"/>
              <w:bottom w:val="single" w:color="B0B0B0" w:sz="1"/>
              <w:right w:val="single" w:color="B0B0B0" w:sz="1"/>
            </w:tcBorders>
            <w:shd w:fill="F2F5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Constitutional Rules</w:t>
            </w:r>
          </w:p>
        </w:tc>
        <w:tc>
          <w:tcPr>
            <w:tcW w:type="dxa" w:w="7160"/>
            <w:tcBorders>
              <w:top w:val="single" w:color="B0B0B0" w:sz="1"/>
              <w:left w:val="single" w:color="B0B0B0" w:sz="1"/>
              <w:bottom w:val="single" w:color="B0B0B0" w:sz="1"/>
              <w:right w:val="single" w:color="B0B0B0" w:sz="1"/>
            </w:tcBorders>
            <w:shd w:fill="F2F5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Five Iron Rules: (1) Net Share Accumulation; (2) Mandatory T-Bill Reserve; (3) DRIP-ON Always On; (4) Leverage Hard Caps; (5) Concentrated Excellence (max 27 positions). Unanimous consent required to amend.</w:t>
            </w:r>
          </w:p>
        </w:tc>
      </w:tr>
      <w:tr>
        <w:tc>
          <w:tcPr>
            <w:tcW w:type="dxa" w:w="22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Offering Exemption</w:t>
            </w:r>
          </w:p>
        </w:tc>
        <w:tc>
          <w:tcPr>
            <w:tcW w:type="dxa" w:w="716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Regulation D, Rule 506(b). Section 3(c)(7) of the 1940 Act (Qualified Purchasers only).</w:t>
            </w:r>
          </w:p>
        </w:tc>
      </w:tr>
      <w:tr>
        <w:tc>
          <w:tcPr>
            <w:tcW w:type="dxa" w:w="2200"/>
            <w:tcBorders>
              <w:top w:val="single" w:color="B0B0B0" w:sz="1"/>
              <w:left w:val="single" w:color="B0B0B0" w:sz="1"/>
              <w:bottom w:val="single" w:color="B0B0B0" w:sz="1"/>
              <w:right w:val="single" w:color="B0B0B0" w:sz="1"/>
            </w:tcBorders>
            <w:shd w:fill="F2F5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Legal Counsel</w:t>
            </w:r>
          </w:p>
        </w:tc>
        <w:tc>
          <w:tcPr>
            <w:tcW w:type="dxa" w:w="7160"/>
            <w:tcBorders>
              <w:top w:val="single" w:color="B0B0B0" w:sz="1"/>
              <w:left w:val="single" w:color="B0B0B0" w:sz="1"/>
              <w:bottom w:val="single" w:color="B0B0B0" w:sz="1"/>
              <w:right w:val="single" w:color="B0B0B0" w:sz="1"/>
            </w:tcBorders>
            <w:shd w:fill="F2F5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McDermott Will &amp; Emery LLP — Stephanie R. Breslow, Partner.</w:t>
            </w:r>
          </w:p>
        </w:tc>
      </w:tr>
      <w:tr>
        <w:tc>
          <w:tcPr>
            <w:tcW w:type="dxa" w:w="22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Prime Brokers</w:t>
            </w:r>
          </w:p>
        </w:tc>
        <w:tc>
          <w:tcPr>
            <w:tcW w:type="dxa" w:w="716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Alpaca Securities (options); Interactive Brokers (equity); Charles Schwab/Thinkorswim (execution); JP Morgan Chase (fund banking). Goldman Sachs and Morgan Stanley designated at scale.</w:t>
            </w:r>
          </w:p>
        </w:tc>
      </w:tr>
      <w:tr>
        <w:tc>
          <w:tcPr>
            <w:tcW w:type="dxa" w:w="2200"/>
            <w:tcBorders>
              <w:top w:val="single" w:color="B0B0B0" w:sz="1"/>
              <w:left w:val="single" w:color="B0B0B0" w:sz="1"/>
              <w:bottom w:val="single" w:color="B0B0B0" w:sz="1"/>
              <w:right w:val="single" w:color="B0B0B0" w:sz="1"/>
            </w:tcBorders>
            <w:shd w:fill="F2F5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Administrator</w:t>
            </w:r>
          </w:p>
        </w:tc>
        <w:tc>
          <w:tcPr>
            <w:tcW w:type="dxa" w:w="7160"/>
            <w:tcBorders>
              <w:top w:val="single" w:color="B0B0B0" w:sz="1"/>
              <w:left w:val="single" w:color="B0B0B0" w:sz="1"/>
              <w:bottom w:val="single" w:color="B0B0B0" w:sz="1"/>
              <w:right w:val="single" w:color="B0B0B0" w:sz="1"/>
            </w:tcBorders>
            <w:shd w:fill="F2F5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To be appointed (Citco, SS&amp;C, or Apex recommended).</w:t>
            </w:r>
          </w:p>
        </w:tc>
      </w:tr>
      <w:tr>
        <w:tc>
          <w:tcPr>
            <w:tcW w:type="dxa" w:w="22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Auditor</w:t>
            </w:r>
          </w:p>
        </w:tc>
        <w:tc>
          <w:tcPr>
            <w:tcW w:type="dxa" w:w="716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To be appointed (Big Four or top-10 PCAOB-registered firm).</w:t>
            </w:r>
          </w:p>
        </w:tc>
      </w:tr>
      <w:tr>
        <w:tc>
          <w:tcPr>
            <w:tcW w:type="dxa" w:w="2200"/>
            <w:tcBorders>
              <w:top w:val="single" w:color="B0B0B0" w:sz="1"/>
              <w:left w:val="single" w:color="B0B0B0" w:sz="1"/>
              <w:bottom w:val="single" w:color="B0B0B0" w:sz="1"/>
              <w:right w:val="single" w:color="B0B0B0" w:sz="1"/>
            </w:tcBorders>
            <w:shd w:fill="F2F5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Tax Reporting</w:t>
            </w:r>
          </w:p>
        </w:tc>
        <w:tc>
          <w:tcPr>
            <w:tcW w:type="dxa" w:w="7160"/>
            <w:tcBorders>
              <w:top w:val="single" w:color="B0B0B0" w:sz="1"/>
              <w:left w:val="single" w:color="B0B0B0" w:sz="1"/>
              <w:bottom w:val="single" w:color="B0B0B0" w:sz="1"/>
              <w:right w:val="single" w:color="B0B0B0" w:sz="1"/>
            </w:tcBorders>
            <w:shd w:fill="F2F5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K-1 via Delaware Feeder (U.S. taxable); tax-neutral via Cayman/Singapore/ADGM feeders (non-U.S. and tax-exempt).</w:t>
            </w:r>
          </w:p>
        </w:tc>
      </w:tr>
      <w:tr>
        <w:tc>
          <w:tcPr>
            <w:tcW w:type="dxa" w:w="22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Governing Law</w:t>
            </w:r>
          </w:p>
        </w:tc>
        <w:tc>
          <w:tcPr>
            <w:tcW w:type="dxa" w:w="716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Cayman Islands (Master Fund); Delaware (Delaware Feeder). ICC Arbitration seated in ADGM.</w:t>
            </w:r>
          </w:p>
        </w:tc>
      </w:tr>
    </w:tbl>
    <w:p>
      <w:pPr>
        <w:spacing w:after="200" w:before="0"/>
        <w:jc w:val="both"/>
      </w:pPr>
      <w:r>
        <w:rPr>
          <w:rFonts w:ascii="Times New Roman" w:cs="Times New Roman" w:eastAsia="Times New Roman" w:hAnsi="Times New Roman"/>
          <w:sz w:val="24"/>
          <w:szCs w:val="24"/>
        </w:rPr>
        <w:t xml:space="preserve"/>
      </w:r>
    </w:p>
    <w:p>
      <w:r>
        <w:br w:type="page"/>
      </w:r>
    </w:p>
    <w:p>
      <w:pPr>
        <w:pStyle w:val="Heading1"/>
      </w:pPr>
      <w:r>
        <w:rPr>
          <w:b/>
          <w:bCs/>
        </w:rPr>
        <w:t xml:space="preserve">II. THE FUND</w:t>
      </w:r>
    </w:p>
    <w:p>
      <w:pPr>
        <w:pStyle w:val="Heading2"/>
      </w:pPr>
      <w:r>
        <w:rPr>
          <w:b/>
          <w:bCs/>
        </w:rPr>
        <w:t xml:space="preserve">2.1. Overview</w:t>
      </w:r>
    </w:p>
    <w:p>
      <w:pPr>
        <w:spacing w:after="200" w:before="0"/>
        <w:jc w:val="both"/>
      </w:pPr>
      <w:r>
        <w:rPr>
          <w:rFonts w:ascii="Times New Roman" w:cs="Times New Roman" w:eastAsia="Times New Roman" w:hAnsi="Times New Roman"/>
          <w:sz w:val="24"/>
          <w:szCs w:val="24"/>
        </w:rPr>
        <w:t xml:space="preserve">Hushh Alpha Aloha Fund A, LP (the "Fund" or the "Master Fund") is a Cayman Islands exempted limited partnership organized under the Exempted Limited Partnerships Act (As Revised) of the Cayman Islands. The Fund operates as the master fund in a master-feeder structure with three Feeder Funds organized to serve investors in different jurisdictions with optimal tax efficiency.</w:t>
      </w:r>
    </w:p>
    <w:p>
      <w:pPr>
        <w:spacing w:after="200" w:before="0"/>
        <w:jc w:val="both"/>
      </w:pPr>
      <w:r>
        <w:rPr>
          <w:rFonts w:ascii="Times New Roman" w:cs="Times New Roman" w:eastAsia="Times New Roman" w:hAnsi="Times New Roman"/>
          <w:sz w:val="24"/>
          <w:szCs w:val="24"/>
        </w:rPr>
        <w:t xml:space="preserve">The Fund is structured as an Evergreen vehicle — a perpetual, open-ended, permanent capital partnership with no fixed termination date, no scheduled wind-down, and no mandatory capital return timeline. This structure, modeled on the permanent capital philosophies of Berkshire Hathaway and the evergreen fund architecture pioneered by Sequoia Capital, provides the multi-decade compounding runway essential to the Fund's investment strategy.</w:t>
      </w:r>
    </w:p>
    <w:p>
      <w:pPr>
        <w:pStyle w:val="Heading2"/>
      </w:pPr>
      <w:r>
        <w:rPr>
          <w:b/>
          <w:bCs/>
        </w:rPr>
        <w:t xml:space="preserve">2.2. The General Partner</w:t>
      </w:r>
    </w:p>
    <w:p>
      <w:pPr>
        <w:spacing w:after="200" w:before="0"/>
        <w:jc w:val="both"/>
      </w:pPr>
      <w:r>
        <w:rPr>
          <w:rFonts w:ascii="Times New Roman" w:cs="Times New Roman" w:eastAsia="Times New Roman" w:hAnsi="Times New Roman"/>
          <w:sz w:val="24"/>
          <w:szCs w:val="24"/>
        </w:rPr>
        <w:t xml:space="preserve">The General Partner of the Fund is Hushh Technologies Middle East LLC, a limited liability company registered in the Abu Dhabi Global Market (ADGM), a financial free zone in Abu Dhabi, United Arab Emirates. The General Partner is wholly owned and controlled by Manish Sainani (the "Founder"), who serves as its sole managing member, Chief Executive Officer, and Chief Investment Officer.</w:t>
      </w:r>
    </w:p>
    <w:p>
      <w:pPr>
        <w:spacing w:after="200" w:before="0"/>
        <w:jc w:val="both"/>
      </w:pPr>
      <w:r>
        <w:rPr>
          <w:rFonts w:ascii="Times New Roman" w:cs="Times New Roman" w:eastAsia="Times New Roman" w:hAnsi="Times New Roman"/>
          <w:sz w:val="24"/>
          <w:szCs w:val="24"/>
        </w:rPr>
        <w:t xml:space="preserve">The General Partner has full, exclusive, and complete authority to manage and operate the Fund, subject only to the Five Iron Rules and the express limitations in the LPA. No Limited Partner participates in or has control over the Fund's business. The Founder maintains sole control over all investment decisions, operational decisions, and governance matters, and no amendment that would diminish the Founder's control or voting rights may be adopted without the Founder's written consent.</w:t>
      </w:r>
    </w:p>
    <w:p>
      <w:pPr>
        <w:pStyle w:val="Heading2"/>
      </w:pPr>
      <w:r>
        <w:rPr>
          <w:b/>
          <w:bCs/>
        </w:rPr>
        <w:t xml:space="preserve">2.3. Corporate Separation</w:t>
      </w:r>
    </w:p>
    <w:p>
      <w:pPr>
        <w:spacing w:after="200" w:before="0"/>
        <w:jc w:val="both"/>
      </w:pPr>
      <w:r>
        <w:rPr>
          <w:rFonts w:ascii="Times New Roman" w:cs="Times New Roman" w:eastAsia="Times New Roman" w:hAnsi="Times New Roman"/>
          <w:sz w:val="24"/>
          <w:szCs w:val="24"/>
        </w:rPr>
        <w:t xml:space="preserve">Prospective investors should understand the following corporate structure:</w:t>
      </w:r>
    </w:p>
    <w:p>
      <w:pPr>
        <w:spacing w:after="200" w:before="0"/>
        <w:ind w:left="720"/>
        <w:jc w:val="both"/>
      </w:pPr>
      <w:r>
        <w:rPr>
          <w:rFonts w:ascii="Times New Roman" w:cs="Times New Roman" w:eastAsia="Times New Roman" w:hAnsi="Times New Roman"/>
          <w:sz w:val="24"/>
          <w:szCs w:val="24"/>
        </w:rPr>
        <w:t xml:space="preserve">(a) Hushh Technologies Middle East LLC (ADGM) is the General Partner of the Fund. It is the entity that manages Fund assets and receives management fees and performance allocations.</w:t>
      </w:r>
    </w:p>
    <w:p>
      <w:pPr>
        <w:spacing w:after="200" w:before="0"/>
        <w:ind w:left="720"/>
        <w:jc w:val="both"/>
      </w:pPr>
      <w:r>
        <w:rPr>
          <w:rFonts w:ascii="Times New Roman" w:cs="Times New Roman" w:eastAsia="Times New Roman" w:hAnsi="Times New Roman"/>
          <w:sz w:val="24"/>
          <w:szCs w:val="24"/>
        </w:rPr>
        <w:t xml:space="preserve">(b) Hushh Technologies Corporation is a separate Delaware C Corporation founded by Manish Sainani. It is the parent technology company developing the Hushh personal data infrastructure platform. Hushh Technologies Corporation has no ownership interest in and no economic claim on the Fund. It is entirely separate from the GP entity.</w:t>
      </w:r>
    </w:p>
    <w:p>
      <w:pPr>
        <w:spacing w:after="200" w:before="0"/>
        <w:ind w:left="720"/>
        <w:jc w:val="both"/>
      </w:pPr>
      <w:r>
        <w:rPr>
          <w:rFonts w:ascii="Times New Roman" w:cs="Times New Roman" w:eastAsia="Times New Roman" w:hAnsi="Times New Roman"/>
          <w:sz w:val="24"/>
          <w:szCs w:val="24"/>
        </w:rPr>
        <w:t xml:space="preserve">(c) HushOne, Inc. is a completely separate entity with no relationship whatsoever to Hushh Technologies Corporation or the Fund. It originated as an internal stealth project at Google (Alphabet) and is now independently funded.</w:t>
      </w:r>
    </w:p>
    <w:p>
      <w:pPr>
        <w:pStyle w:val="Heading2"/>
      </w:pPr>
      <w:r>
        <w:rPr>
          <w:b/>
          <w:bCs/>
        </w:rPr>
        <w:t xml:space="preserve">2.4. Master-Feeder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1200"/>
        <w:gridCol w:w="2600"/>
        <w:gridCol w:w="2860"/>
      </w:tblGrid>
      <w:tr>
        <w:tc>
          <w:tcPr>
            <w:tcW w:type="dxa" w:w="1500"/>
            <w:tcBorders>
              <w:top w:val="single" w:color="B0B0B0" w:sz="1"/>
              <w:left w:val="single" w:color="B0B0B0" w:sz="1"/>
              <w:bottom w:val="single" w:color="B0B0B0" w:sz="1"/>
              <w:right w:val="single" w:color="B0B0B0" w:sz="1"/>
            </w:tcBorders>
            <w:shd w:fill="0D1B2A"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0"/>
                <w:szCs w:val="20"/>
              </w:rPr>
              <w:t xml:space="preserve">Feeder Fund</w:t>
            </w:r>
          </w:p>
        </w:tc>
        <w:tc>
          <w:tcPr>
            <w:tcW w:type="dxa" w:w="1200"/>
            <w:tcBorders>
              <w:top w:val="single" w:color="B0B0B0" w:sz="1"/>
              <w:left w:val="single" w:color="B0B0B0" w:sz="1"/>
              <w:bottom w:val="single" w:color="B0B0B0" w:sz="1"/>
              <w:right w:val="single" w:color="B0B0B0" w:sz="1"/>
            </w:tcBorders>
            <w:shd w:fill="0D1B2A"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0"/>
                <w:szCs w:val="20"/>
              </w:rPr>
              <w:t xml:space="preserve">Domicile</w:t>
            </w:r>
          </w:p>
        </w:tc>
        <w:tc>
          <w:tcPr>
            <w:tcW w:type="dxa" w:w="1200"/>
            <w:tcBorders>
              <w:top w:val="single" w:color="B0B0B0" w:sz="1"/>
              <w:left w:val="single" w:color="B0B0B0" w:sz="1"/>
              <w:bottom w:val="single" w:color="B0B0B0" w:sz="1"/>
              <w:right w:val="single" w:color="B0B0B0" w:sz="1"/>
            </w:tcBorders>
            <w:shd w:fill="0D1B2A"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0"/>
                <w:szCs w:val="20"/>
              </w:rPr>
              <w:t xml:space="preserve">Legal Form</w:t>
            </w:r>
          </w:p>
        </w:tc>
        <w:tc>
          <w:tcPr>
            <w:tcW w:type="dxa" w:w="2600"/>
            <w:tcBorders>
              <w:top w:val="single" w:color="B0B0B0" w:sz="1"/>
              <w:left w:val="single" w:color="B0B0B0" w:sz="1"/>
              <w:bottom w:val="single" w:color="B0B0B0" w:sz="1"/>
              <w:right w:val="single" w:color="B0B0B0" w:sz="1"/>
            </w:tcBorders>
            <w:shd w:fill="0D1B2A"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0"/>
                <w:szCs w:val="20"/>
              </w:rPr>
              <w:t xml:space="preserve">Target Investors</w:t>
            </w:r>
          </w:p>
        </w:tc>
        <w:tc>
          <w:tcPr>
            <w:tcW w:type="dxa" w:w="2860"/>
            <w:tcBorders>
              <w:top w:val="single" w:color="B0B0B0" w:sz="1"/>
              <w:left w:val="single" w:color="B0B0B0" w:sz="1"/>
              <w:bottom w:val="single" w:color="B0B0B0" w:sz="1"/>
              <w:right w:val="single" w:color="B0B0B0" w:sz="1"/>
            </w:tcBorders>
            <w:shd w:fill="0D1B2A"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0"/>
                <w:szCs w:val="20"/>
              </w:rPr>
              <w:t xml:space="preserve">Tax Treatment</w:t>
            </w:r>
          </w:p>
        </w:tc>
      </w:tr>
      <w:tr>
        <w:tc>
          <w:tcPr>
            <w:tcW w:type="dxa" w:w="1500"/>
            <w:tcBorders>
              <w:top w:val="single" w:color="B0B0B0" w:sz="1"/>
              <w:left w:val="single" w:color="B0B0B0" w:sz="1"/>
              <w:bottom w:val="single" w:color="B0B0B0" w:sz="1"/>
              <w:right w:val="single" w:color="B0B0B0" w:sz="1"/>
            </w:tcBorders>
            <w:shd w:fill="F2F5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Delaware Feeder</w:t>
            </w:r>
          </w:p>
        </w:tc>
        <w:tc>
          <w:tcPr>
            <w:tcW w:type="dxa" w:w="1200"/>
            <w:tcBorders>
              <w:top w:val="single" w:color="B0B0B0" w:sz="1"/>
              <w:left w:val="single" w:color="B0B0B0" w:sz="1"/>
              <w:bottom w:val="single" w:color="B0B0B0" w:sz="1"/>
              <w:right w:val="single" w:color="B0B0B0" w:sz="1"/>
            </w:tcBorders>
            <w:shd w:fill="F2F5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Delaware, USA</w:t>
            </w:r>
          </w:p>
        </w:tc>
        <w:tc>
          <w:tcPr>
            <w:tcW w:type="dxa" w:w="1200"/>
            <w:tcBorders>
              <w:top w:val="single" w:color="B0B0B0" w:sz="1"/>
              <w:left w:val="single" w:color="B0B0B0" w:sz="1"/>
              <w:bottom w:val="single" w:color="B0B0B0" w:sz="1"/>
              <w:right w:val="single" w:color="B0B0B0" w:sz="1"/>
            </w:tcBorders>
            <w:shd w:fill="F2F5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Limited Partnership</w:t>
            </w:r>
          </w:p>
        </w:tc>
        <w:tc>
          <w:tcPr>
            <w:tcW w:type="dxa" w:w="2600"/>
            <w:tcBorders>
              <w:top w:val="single" w:color="B0B0B0" w:sz="1"/>
              <w:left w:val="single" w:color="B0B0B0" w:sz="1"/>
              <w:bottom w:val="single" w:color="B0B0B0" w:sz="1"/>
              <w:right w:val="single" w:color="B0B0B0" w:sz="1"/>
            </w:tcBorders>
            <w:shd w:fill="F2F5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U.S. taxable investors; U.S. tax-exempt plans (IRAs, pensions, endowments)</w:t>
            </w:r>
          </w:p>
        </w:tc>
        <w:tc>
          <w:tcPr>
            <w:tcW w:type="dxa" w:w="2860"/>
            <w:tcBorders>
              <w:top w:val="single" w:color="B0B0B0" w:sz="1"/>
              <w:left w:val="single" w:color="B0B0B0" w:sz="1"/>
              <w:bottom w:val="single" w:color="B0B0B0" w:sz="1"/>
              <w:right w:val="single" w:color="B0B0B0" w:sz="1"/>
            </w:tcBorders>
            <w:shd w:fill="F2F5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Pass-through; K-1 reporting; BBA partnership audit rules</w:t>
            </w:r>
          </w:p>
        </w:tc>
      </w:tr>
      <w:tr>
        <w:tc>
          <w:tcPr>
            <w:tcW w:type="dxa" w:w="15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Singapore Feeder</w:t>
            </w:r>
          </w:p>
        </w:tc>
        <w:tc>
          <w:tcPr>
            <w:tcW w:type="dxa" w:w="12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Singapore</w:t>
            </w:r>
          </w:p>
        </w:tc>
        <w:tc>
          <w:tcPr>
            <w:tcW w:type="dxa" w:w="12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Variable Capital Company (VCC)</w:t>
            </w:r>
          </w:p>
        </w:tc>
        <w:tc>
          <w:tcPr>
            <w:tcW w:type="dxa" w:w="26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Asia-Pacific institutional investors; family offices; entities seeking S13R/S13X tax exemption</w:t>
            </w:r>
          </w:p>
        </w:tc>
        <w:tc>
          <w:tcPr>
            <w:tcW w:type="dxa" w:w="286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Tax exempt under MAS S13R/S13X; access to 90+ Singapore tax treaties</w:t>
            </w:r>
          </w:p>
        </w:tc>
      </w:tr>
      <w:tr>
        <w:tc>
          <w:tcPr>
            <w:tcW w:type="dxa" w:w="1500"/>
            <w:tcBorders>
              <w:top w:val="single" w:color="B0B0B0" w:sz="1"/>
              <w:left w:val="single" w:color="B0B0B0" w:sz="1"/>
              <w:bottom w:val="single" w:color="B0B0B0" w:sz="1"/>
              <w:right w:val="single" w:color="B0B0B0" w:sz="1"/>
            </w:tcBorders>
            <w:shd w:fill="F2F5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ADGM Feeder</w:t>
            </w:r>
          </w:p>
        </w:tc>
        <w:tc>
          <w:tcPr>
            <w:tcW w:type="dxa" w:w="1200"/>
            <w:tcBorders>
              <w:top w:val="single" w:color="B0B0B0" w:sz="1"/>
              <w:left w:val="single" w:color="B0B0B0" w:sz="1"/>
              <w:bottom w:val="single" w:color="B0B0B0" w:sz="1"/>
              <w:right w:val="single" w:color="B0B0B0" w:sz="1"/>
            </w:tcBorders>
            <w:shd w:fill="F2F5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Abu Dhabi, UAE</w:t>
            </w:r>
          </w:p>
        </w:tc>
        <w:tc>
          <w:tcPr>
            <w:tcW w:type="dxa" w:w="1200"/>
            <w:tcBorders>
              <w:top w:val="single" w:color="B0B0B0" w:sz="1"/>
              <w:left w:val="single" w:color="B0B0B0" w:sz="1"/>
              <w:bottom w:val="single" w:color="B0B0B0" w:sz="1"/>
              <w:right w:val="single" w:color="B0B0B0" w:sz="1"/>
            </w:tcBorders>
            <w:shd w:fill="F2F5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Limited Partnership</w:t>
            </w:r>
          </w:p>
        </w:tc>
        <w:tc>
          <w:tcPr>
            <w:tcW w:type="dxa" w:w="2600"/>
            <w:tcBorders>
              <w:top w:val="single" w:color="B0B0B0" w:sz="1"/>
              <w:left w:val="single" w:color="B0B0B0" w:sz="1"/>
              <w:bottom w:val="single" w:color="B0B0B0" w:sz="1"/>
              <w:right w:val="single" w:color="B0B0B0" w:sz="1"/>
            </w:tcBorders>
            <w:shd w:fill="F2F5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GCC sovereign wealth funds; Middle East family offices; global tax-exempt investors</w:t>
            </w:r>
          </w:p>
        </w:tc>
        <w:tc>
          <w:tcPr>
            <w:tcW w:type="dxa" w:w="2860"/>
            <w:tcBorders>
              <w:top w:val="single" w:color="B0B0B0" w:sz="1"/>
              <w:left w:val="single" w:color="B0B0B0" w:sz="1"/>
              <w:bottom w:val="single" w:color="B0B0B0" w:sz="1"/>
              <w:right w:val="single" w:color="B0B0B0" w:sz="1"/>
            </w:tcBorders>
            <w:shd w:fill="F2F5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0% income/capital gains/withholding tax; FSRA regulated; UAE treaty network</w:t>
            </w:r>
          </w:p>
        </w:tc>
      </w:tr>
    </w:tbl>
    <w:p>
      <w:pPr>
        <w:spacing w:after="200" w:before="0"/>
        <w:jc w:val="both"/>
      </w:pPr>
      <w:r>
        <w:rPr>
          <w:rFonts w:ascii="Times New Roman" w:cs="Times New Roman" w:eastAsia="Times New Roman" w:hAnsi="Times New Roman"/>
          <w:sz w:val="24"/>
          <w:szCs w:val="24"/>
        </w:rPr>
        <w:t xml:space="preserve"/>
      </w:r>
    </w:p>
    <w:p>
      <w:pPr>
        <w:spacing w:after="200" w:before="0"/>
        <w:jc w:val="both"/>
      </w:pPr>
      <w:r>
        <w:rPr>
          <w:rFonts w:ascii="Times New Roman" w:cs="Times New Roman" w:eastAsia="Times New Roman" w:hAnsi="Times New Roman"/>
          <w:sz w:val="24"/>
          <w:szCs w:val="24"/>
        </w:rPr>
        <w:t xml:space="preserve">Each Feeder Fund invests substantially all of its investable assets in the Master Fund. The investment program, risk management, leverage limits, and the Five Iron Rules are implemented at the Master Fund level. No additional management fees or performance allocations are charged at the feeder level. Each Feeder Fund bears only its own organizational and operating expenses (legal, audit, tax preparation, regulatory filings specific to that feeder).</w:t>
      </w:r>
    </w:p>
    <w:p>
      <w:pPr>
        <w:pStyle w:val="Heading2"/>
      </w:pPr>
      <w:r>
        <w:rPr>
          <w:b/>
          <w:bCs/>
        </w:rPr>
        <w:t xml:space="preserve">2.5. The 1024 Club</w:t>
      </w:r>
    </w:p>
    <w:p>
      <w:pPr>
        <w:spacing w:after="200" w:before="0"/>
        <w:jc w:val="both"/>
      </w:pPr>
      <w:r>
        <w:rPr>
          <w:rFonts w:ascii="Times New Roman" w:cs="Times New Roman" w:eastAsia="Times New Roman" w:hAnsi="Times New Roman"/>
          <w:sz w:val="24"/>
          <w:szCs w:val="24"/>
        </w:rPr>
        <w:t xml:space="preserve">The aggregate number of Limited Partners across the Master Fund and all Feeder Funds (counted on a look-through basis through each feeder to its underlying beneficial owners) shall not exceed one thousand and twenty-four (1,024) at any time. This structural limitation ensures the Fund maintains the character of an exclusive, high-conviction partnership while providing sufficient capacity for multi-billion-dollar institutional scale. At a target AUM of $10 billion, the average LP commitment would exceed $10 million.</w:t>
      </w:r>
    </w:p>
    <w:p>
      <w:pPr>
        <w:pStyle w:val="Heading2"/>
      </w:pPr>
      <w:r>
        <w:rPr>
          <w:b/>
          <w:bCs/>
        </w:rPr>
        <w:t xml:space="preserve">2.6. Regulatory Status</w:t>
      </w:r>
    </w:p>
    <w:p>
      <w:pPr>
        <w:spacing w:after="200" w:before="0"/>
        <w:jc w:val="both"/>
      </w:pPr>
      <w:r>
        <w:rPr>
          <w:rFonts w:ascii="Times New Roman" w:cs="Times New Roman" w:eastAsia="Times New Roman" w:hAnsi="Times New Roman"/>
          <w:sz w:val="24"/>
          <w:szCs w:val="24"/>
        </w:rPr>
        <w:t xml:space="preserve">The Master Fund is not registered and will not register as an investment company under the United States Investment Company Act of 1940 (the "1940 Act") in reliance upon the exemption from registration provided by Section 3(c)(7) thereof. Accordingly, Interests are offered and sold only to persons who are "Qualified Purchasers" as defined in Section 2(a)(51) of the 1940 Act.</w:t>
      </w:r>
    </w:p>
    <w:p>
      <w:pPr>
        <w:spacing w:after="200" w:before="0"/>
        <w:jc w:val="both"/>
      </w:pPr>
      <w:r>
        <w:rPr>
          <w:rFonts w:ascii="Times New Roman" w:cs="Times New Roman" w:eastAsia="Times New Roman" w:hAnsi="Times New Roman"/>
          <w:sz w:val="24"/>
          <w:szCs w:val="24"/>
        </w:rPr>
        <w:t xml:space="preserve">The Interests have not been and will not be registered under the United States Securities Act of 1933, as amended (the "Securities Act"), and are offered and sold in reliance upon the exemption from registration provided by Section 4(a)(2) of the Securities Act and Rule 506(b) of Regulation D (17 CFR 230.506(b)) promulgated thereunder. The Delaware Feeder will file Form D with the Securities and Exchange Commission within fifteen (15) calendar days following the first sale of Interests.</w:t>
      </w:r>
    </w:p>
    <w:p>
      <w:pPr>
        <w:spacing w:after="200" w:before="0"/>
        <w:jc w:val="both"/>
      </w:pPr>
      <w:r>
        <w:rPr>
          <w:rFonts w:ascii="Times New Roman" w:cs="Times New Roman" w:eastAsia="Times New Roman" w:hAnsi="Times New Roman"/>
          <w:sz w:val="24"/>
          <w:szCs w:val="24"/>
        </w:rPr>
        <w:t xml:space="preserve">The General Partner will initially file with the SEC as an Exempt Reporting Adviser pursuant to Section 203(m) of the Investment Advisers Act of 1940 and Rule 203(m)-1 thereunder (17 CFR 275.203(m)-1), transitioning to full Registered Investment Adviser status upon reaching $150 million in regulatory assets under management. The Cayman Master Fund will register with the Cayman Islands Monetary Authority (CIMA). The ADGM GP and Feeder will be licensed by the ADGM Financial Services Regulatory Authority (FSRA). The Singapore VCC will be regulated by the Monetary Authority of Singapore (MAS).</w:t>
      </w:r>
    </w:p>
    <w:p>
      <w:r>
        <w:br w:type="page"/>
      </w:r>
    </w:p>
    <w:p>
      <w:pPr>
        <w:pStyle w:val="Heading1"/>
      </w:pPr>
      <w:r>
        <w:rPr>
          <w:b/>
          <w:bCs/>
        </w:rPr>
        <w:t xml:space="preserve">III. INVESTMENT PROGRAM</w:t>
      </w:r>
    </w:p>
    <w:p>
      <w:pPr>
        <w:pStyle w:val="Heading2"/>
      </w:pPr>
      <w:r>
        <w:rPr>
          <w:b/>
          <w:bCs/>
        </w:rPr>
        <w:t xml:space="preserve">3.1. Investment Objective</w:t>
      </w:r>
    </w:p>
    <w:p>
      <w:pPr>
        <w:spacing w:after="200" w:before="0"/>
        <w:jc w:val="both"/>
      </w:pPr>
      <w:r>
        <w:rPr>
          <w:rFonts w:ascii="Times New Roman" w:cs="Times New Roman" w:eastAsia="Times New Roman" w:hAnsi="Times New Roman"/>
          <w:sz w:val="24"/>
          <w:szCs w:val="24"/>
        </w:rPr>
        <w:t xml:space="preserve">The Fund's primary investment objective is the systematic accumulation of shares in the world's twenty-seven (27) highest absolute free cash flow generating businesses, weighted by their contribution to global economic output, using options overlays to convert market fear and greed into additional ownership at the lowest possible cost basis, with the target of beating the MSCI All Country World Index (ACWI) by two hundred basis points (200 bps) net of all fees and expenses over a rolling five-year period.</w:t>
      </w:r>
    </w:p>
    <w:p>
      <w:pPr>
        <w:spacing w:after="200" w:before="0"/>
        <w:jc w:val="both"/>
      </w:pPr>
      <w:r>
        <w:rPr>
          <w:rFonts w:ascii="Times New Roman" w:cs="Times New Roman" w:eastAsia="Times New Roman" w:hAnsi="Times New Roman"/>
          <w:sz w:val="24"/>
          <w:szCs w:val="24"/>
        </w:rPr>
        <w:t xml:space="preserve">The Fund pursues this objective through the integrated operation of three core components:</w:t>
      </w:r>
    </w:p>
    <w:p>
      <w:pPr>
        <w:spacing w:after="200" w:before="0"/>
        <w:ind w:left="720"/>
        <w:jc w:val="both"/>
      </w:pPr>
      <w:r>
        <w:rPr>
          <w:rFonts w:ascii="Times New Roman" w:cs="Times New Roman" w:eastAsia="Times New Roman" w:hAnsi="Times New Roman"/>
          <w:sz w:val="24"/>
          <w:szCs w:val="24"/>
        </w:rPr>
        <w:t xml:space="preserve">(a) The Alpha Bets 27 Portfolio: a concentrated, FCF-weighted equity portfolio of up to 27 positions in the world's highest absolute free cash flow generating businesses;</w:t>
      </w:r>
    </w:p>
    <w:p>
      <w:pPr>
        <w:spacing w:after="200" w:before="0"/>
        <w:ind w:left="720"/>
        <w:jc w:val="both"/>
      </w:pPr>
      <w:r>
        <w:rPr>
          <w:rFonts w:ascii="Times New Roman" w:cs="Times New Roman" w:eastAsia="Times New Roman" w:hAnsi="Times New Roman"/>
          <w:sz w:val="24"/>
          <w:szCs w:val="24"/>
        </w:rPr>
        <w:t xml:space="preserve">(b) The DNSA Engine (Dynamic Net Share Accumulation Engine): a proprietary, AI-first systematic options overlay that executes covered call writing during periods of market greed and cash-secured put selling during periods of market fear; and</w:t>
      </w:r>
    </w:p>
    <w:p>
      <w:pPr>
        <w:spacing w:after="200" w:before="0"/>
        <w:ind w:left="720"/>
        <w:jc w:val="both"/>
      </w:pPr>
      <w:r>
        <w:rPr>
          <w:rFonts w:ascii="Times New Roman" w:cs="Times New Roman" w:eastAsia="Times New Roman" w:hAnsi="Times New Roman"/>
          <w:sz w:val="24"/>
          <w:szCs w:val="24"/>
        </w:rPr>
        <w:t xml:space="preserve">(c) The DRIP-ON Methodology (Dividend and Premium Reinvestment Program - Optimized for Net Share Accumulation): the systematic reinvestment of 100% of all option premium, dividend income, and interest income into additional shares of Alpha Bets 27 positions.</w:t>
      </w:r>
    </w:p>
    <w:p>
      <w:pPr>
        <w:pStyle w:val="Heading2"/>
      </w:pPr>
      <w:r>
        <w:rPr>
          <w:b/>
          <w:bCs/>
        </w:rPr>
        <w:t xml:space="preserve">3.2. The Alpha Bets 27 Portfolio</w:t>
      </w:r>
    </w:p>
    <w:p>
      <w:pPr>
        <w:pStyle w:val="Heading3"/>
      </w:pPr>
      <w:r>
        <w:rPr>
          <w:b/>
          <w:bCs/>
        </w:rPr>
        <w:t xml:space="preserve">3.2.1. Portfolio Construction</w:t>
      </w:r>
    </w:p>
    <w:p>
      <w:pPr>
        <w:spacing w:after="200" w:before="0"/>
        <w:jc w:val="both"/>
      </w:pPr>
      <w:r>
        <w:rPr>
          <w:rFonts w:ascii="Times New Roman" w:cs="Times New Roman" w:eastAsia="Times New Roman" w:hAnsi="Times New Roman"/>
          <w:sz w:val="24"/>
          <w:szCs w:val="24"/>
        </w:rPr>
        <w:t xml:space="preserve">The Alpha Bets 27 Portfolio consists of up to twenty-seven equity positions organized into four tiers based on the magnitude of trailing twelve-month absolute free cash flow ("TTM FCF") or, for Financial Sector Holdings, trailing twelve-month net income ("TTM NI"):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100"/>
        <w:gridCol w:w="1500"/>
        <w:gridCol w:w="6060"/>
      </w:tblGrid>
      <w:tr>
        <w:tc>
          <w:tcPr>
            <w:tcW w:type="dxa" w:w="700"/>
            <w:tcBorders>
              <w:top w:val="single" w:color="B0B0B0" w:sz="1"/>
              <w:left w:val="single" w:color="B0B0B0" w:sz="1"/>
              <w:bottom w:val="single" w:color="B0B0B0" w:sz="1"/>
              <w:right w:val="single" w:color="B0B0B0" w:sz="1"/>
            </w:tcBorders>
            <w:shd w:fill="0D1B2A"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0"/>
                <w:szCs w:val="20"/>
              </w:rPr>
              <w:t xml:space="preserve">Tier</w:t>
            </w:r>
          </w:p>
        </w:tc>
        <w:tc>
          <w:tcPr>
            <w:tcW w:type="dxa" w:w="1100"/>
            <w:tcBorders>
              <w:top w:val="single" w:color="B0B0B0" w:sz="1"/>
              <w:left w:val="single" w:color="B0B0B0" w:sz="1"/>
              <w:bottom w:val="single" w:color="B0B0B0" w:sz="1"/>
              <w:right w:val="single" w:color="B0B0B0" w:sz="1"/>
            </w:tcBorders>
            <w:shd w:fill="0D1B2A"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0"/>
                <w:szCs w:val="20"/>
              </w:rPr>
              <w:t xml:space="preserve">Designation</w:t>
            </w:r>
          </w:p>
        </w:tc>
        <w:tc>
          <w:tcPr>
            <w:tcW w:type="dxa" w:w="1500"/>
            <w:tcBorders>
              <w:top w:val="single" w:color="B0B0B0" w:sz="1"/>
              <w:left w:val="single" w:color="B0B0B0" w:sz="1"/>
              <w:bottom w:val="single" w:color="B0B0B0" w:sz="1"/>
              <w:right w:val="single" w:color="B0B0B0" w:sz="1"/>
            </w:tcBorders>
            <w:shd w:fill="0D1B2A"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0"/>
                <w:szCs w:val="20"/>
              </w:rPr>
              <w:t xml:space="preserve">FCF/NI Threshold</w:t>
            </w:r>
          </w:p>
        </w:tc>
        <w:tc>
          <w:tcPr>
            <w:tcW w:type="dxa" w:w="6060"/>
            <w:tcBorders>
              <w:top w:val="single" w:color="B0B0B0" w:sz="1"/>
              <w:left w:val="single" w:color="B0B0B0" w:sz="1"/>
              <w:bottom w:val="single" w:color="B0B0B0" w:sz="1"/>
              <w:right w:val="single" w:color="B0B0B0" w:sz="1"/>
            </w:tcBorders>
            <w:shd w:fill="0D1B2A"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0"/>
                <w:szCs w:val="20"/>
              </w:rPr>
              <w:t xml:space="preserve">Description</w:t>
            </w:r>
          </w:p>
        </w:tc>
      </w:tr>
      <w:tr>
        <w:tc>
          <w:tcPr>
            <w:tcW w:type="dxa" w:w="700"/>
            <w:tcBorders>
              <w:top w:val="single" w:color="B0B0B0" w:sz="1"/>
              <w:left w:val="single" w:color="B0B0B0" w:sz="1"/>
              <w:bottom w:val="single" w:color="B0B0B0" w:sz="1"/>
              <w:right w:val="single" w:color="B0B0B0" w:sz="1"/>
            </w:tcBorders>
            <w:shd w:fill="F2F5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1</w:t>
            </w:r>
          </w:p>
        </w:tc>
        <w:tc>
          <w:tcPr>
            <w:tcW w:type="dxa" w:w="1100"/>
            <w:tcBorders>
              <w:top w:val="single" w:color="B0B0B0" w:sz="1"/>
              <w:left w:val="single" w:color="B0B0B0" w:sz="1"/>
              <w:bottom w:val="single" w:color="B0B0B0" w:sz="1"/>
              <w:right w:val="single" w:color="B0B0B0" w:sz="1"/>
            </w:tcBorders>
            <w:shd w:fill="F2F5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Aces</w:t>
            </w:r>
          </w:p>
        </w:tc>
        <w:tc>
          <w:tcPr>
            <w:tcW w:type="dxa" w:w="1500"/>
            <w:tcBorders>
              <w:top w:val="single" w:color="B0B0B0" w:sz="1"/>
              <w:left w:val="single" w:color="B0B0B0" w:sz="1"/>
              <w:bottom w:val="single" w:color="B0B0B0" w:sz="1"/>
              <w:right w:val="single" w:color="B0B0B0" w:sz="1"/>
            </w:tcBorders>
            <w:shd w:fill="F2F5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&gt;$50B TTM</w:t>
            </w:r>
          </w:p>
        </w:tc>
        <w:tc>
          <w:tcPr>
            <w:tcW w:type="dxa" w:w="6060"/>
            <w:tcBorders>
              <w:top w:val="single" w:color="B0B0B0" w:sz="1"/>
              <w:left w:val="single" w:color="B0B0B0" w:sz="1"/>
              <w:bottom w:val="single" w:color="B0B0B0" w:sz="1"/>
              <w:right w:val="single" w:color="B0B0B0" w:sz="1"/>
            </w:tcBorders>
            <w:shd w:fill="F2F5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The absolute largest cash-generating businesses on Earth. Dominant global franchises with unassailable competitive moats.</w:t>
            </w:r>
          </w:p>
        </w:tc>
      </w:tr>
      <w:tr>
        <w:tc>
          <w:tcPr>
            <w:tcW w:type="dxa" w:w="7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2</w:t>
            </w:r>
          </w:p>
        </w:tc>
        <w:tc>
          <w:tcPr>
            <w:tcW w:type="dxa" w:w="11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Kings</w:t>
            </w:r>
          </w:p>
        </w:tc>
        <w:tc>
          <w:tcPr>
            <w:tcW w:type="dxa" w:w="15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$25B-$50B TTM</w:t>
            </w:r>
          </w:p>
        </w:tc>
        <w:tc>
          <w:tcPr>
            <w:tcW w:type="dxa" w:w="606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Major global cash generators with durable competitive advantages and sustained FCF/NI growth.</w:t>
            </w:r>
          </w:p>
        </w:tc>
      </w:tr>
      <w:tr>
        <w:tc>
          <w:tcPr>
            <w:tcW w:type="dxa" w:w="700"/>
            <w:tcBorders>
              <w:top w:val="single" w:color="B0B0B0" w:sz="1"/>
              <w:left w:val="single" w:color="B0B0B0" w:sz="1"/>
              <w:bottom w:val="single" w:color="B0B0B0" w:sz="1"/>
              <w:right w:val="single" w:color="B0B0B0" w:sz="1"/>
            </w:tcBorders>
            <w:shd w:fill="F2F5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3</w:t>
            </w:r>
          </w:p>
        </w:tc>
        <w:tc>
          <w:tcPr>
            <w:tcW w:type="dxa" w:w="1100"/>
            <w:tcBorders>
              <w:top w:val="single" w:color="B0B0B0" w:sz="1"/>
              <w:left w:val="single" w:color="B0B0B0" w:sz="1"/>
              <w:bottom w:val="single" w:color="B0B0B0" w:sz="1"/>
              <w:right w:val="single" w:color="B0B0B0" w:sz="1"/>
            </w:tcBorders>
            <w:shd w:fill="F2F5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Queens</w:t>
            </w:r>
          </w:p>
        </w:tc>
        <w:tc>
          <w:tcPr>
            <w:tcW w:type="dxa" w:w="1500"/>
            <w:tcBorders>
              <w:top w:val="single" w:color="B0B0B0" w:sz="1"/>
              <w:left w:val="single" w:color="B0B0B0" w:sz="1"/>
              <w:bottom w:val="single" w:color="B0B0B0" w:sz="1"/>
              <w:right w:val="single" w:color="B0B0B0" w:sz="1"/>
            </w:tcBorders>
            <w:shd w:fill="F2F5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$10B-$25B TTM</w:t>
            </w:r>
          </w:p>
        </w:tc>
        <w:tc>
          <w:tcPr>
            <w:tcW w:type="dxa" w:w="6060"/>
            <w:tcBorders>
              <w:top w:val="single" w:color="B0B0B0" w:sz="1"/>
              <w:left w:val="single" w:color="B0B0B0" w:sz="1"/>
              <w:bottom w:val="single" w:color="B0B0B0" w:sz="1"/>
              <w:right w:val="single" w:color="B0B0B0" w:sz="1"/>
            </w:tcBorders>
            <w:shd w:fill="F2F5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Established businesses with strong market positions and accelerating cash flow growth, often catalyzed by AI/data adoption.</w:t>
            </w:r>
          </w:p>
        </w:tc>
      </w:tr>
      <w:tr>
        <w:tc>
          <w:tcPr>
            <w:tcW w:type="dxa" w:w="7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4</w:t>
            </w:r>
          </w:p>
        </w:tc>
        <w:tc>
          <w:tcPr>
            <w:tcW w:type="dxa" w:w="11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Jacks</w:t>
            </w:r>
          </w:p>
        </w:tc>
        <w:tc>
          <w:tcPr>
            <w:tcW w:type="dxa" w:w="15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$5B-$10B TTM</w:t>
            </w:r>
          </w:p>
        </w:tc>
        <w:tc>
          <w:tcPr>
            <w:tcW w:type="dxa" w:w="606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High-growth businesses with emerging moats. The future Aces and Kings of the portfolio.</w:t>
            </w:r>
          </w:p>
        </w:tc>
      </w:tr>
    </w:tbl>
    <w:p>
      <w:pPr>
        <w:spacing w:after="200" w:before="0"/>
        <w:jc w:val="both"/>
      </w:pPr>
      <w:r>
        <w:rPr>
          <w:rFonts w:ascii="Times New Roman" w:cs="Times New Roman" w:eastAsia="Times New Roman" w:hAnsi="Times New Roman"/>
          <w:sz w:val="24"/>
          <w:szCs w:val="24"/>
        </w:rPr>
        <w:t xml:space="preserve"/>
      </w:r>
    </w:p>
    <w:p>
      <w:pPr>
        <w:pStyle w:val="Heading3"/>
      </w:pPr>
      <w:r>
        <w:rPr>
          <w:b/>
          <w:bCs/>
        </w:rPr>
        <w:t xml:space="preserve">3.2.2. FCF Contribution Weighting</w:t>
      </w:r>
    </w:p>
    <w:p>
      <w:pPr>
        <w:spacing w:after="200" w:before="0"/>
        <w:jc w:val="both"/>
      </w:pPr>
      <w:r>
        <w:rPr>
          <w:rFonts w:ascii="Times New Roman" w:cs="Times New Roman" w:eastAsia="Times New Roman" w:hAnsi="Times New Roman"/>
          <w:sz w:val="24"/>
          <w:szCs w:val="24"/>
        </w:rPr>
        <w:t xml:space="preserve">Each position within the Alpha Bets 27 Portfolio is sized according to its Free Cash Flow Contribution Weight — the ratio of that position's trailing twelve-month absolute FCF (or net income for Financial Sector Holdings) to the aggregate trailing twelve-month absolute FCF (or net income, as applicable) of all Alpha Bets 27 positions. FCF Contribution Weights are recalculated quarterly using the most recently available financial data, with a trailing three-year average applied to smooth cyclical volatility, particularly for financial sector holdings where net income may fluctuate 20-30% year over year based on credit cycles and reserve releases.</w:t>
      </w:r>
    </w:p>
    <w:p>
      <w:pPr>
        <w:spacing w:after="200" w:before="0"/>
        <w:jc w:val="both"/>
      </w:pPr>
      <w:r>
        <w:rPr>
          <w:rFonts w:ascii="Times New Roman" w:cs="Times New Roman" w:eastAsia="Times New Roman" w:hAnsi="Times New Roman"/>
          <w:sz w:val="24"/>
          <w:szCs w:val="24"/>
        </w:rPr>
        <w:t xml:space="preserve">This methodology produces a portfolio weighted toward where the world's profits are actually concentrating and accelerating — not toward where market capitalization or momentum has temporarily pushed prices. It ensures the Fund's largest positions are the businesses generating the most absolute cash, creating a natural gravitational pull toward the most durable and dominant enterprises in the global economy.</w:t>
      </w:r>
    </w:p>
    <w:p>
      <w:pPr>
        <w:pStyle w:val="Heading3"/>
      </w:pPr>
      <w:r>
        <w:rPr>
          <w:b/>
          <w:bCs/>
        </w:rPr>
        <w:t xml:space="preserve">3.2.3. Financial Sector Holdings</w:t>
      </w:r>
    </w:p>
    <w:p>
      <w:pPr>
        <w:spacing w:after="200" w:before="0"/>
        <w:jc w:val="both"/>
      </w:pPr>
      <w:r>
        <w:rPr>
          <w:rFonts w:ascii="Times New Roman" w:cs="Times New Roman" w:eastAsia="Times New Roman" w:hAnsi="Times New Roman"/>
          <w:sz w:val="24"/>
          <w:szCs w:val="24"/>
        </w:rPr>
        <w:t xml:space="preserve">For companies whose primary business is banking, insurance, financial services, or payment processing ("Financial Sector Holdings"), net income is used in lieu of free cash flow for all sizing, weighting, tier classification, and allocation calculations. Free cash flow is not a meaningful metric for financial intermediaries due to the nature of their balance sheet-intensive business models. The use of net income ensures that holdings such as Berkshire Hathaway, JPMorgan Chase, and Visa are appropriately weighted based on their actual profitability.</w:t>
      </w:r>
    </w:p>
    <w:p>
      <w:pPr>
        <w:pStyle w:val="Heading3"/>
      </w:pPr>
      <w:r>
        <w:rPr>
          <w:b/>
          <w:bCs/>
        </w:rPr>
        <w:t xml:space="preserve">3.2.4. Selection Criteria</w:t>
      </w:r>
    </w:p>
    <w:p>
      <w:pPr>
        <w:spacing w:after="200" w:before="0"/>
        <w:jc w:val="both"/>
      </w:pPr>
      <w:r>
        <w:rPr>
          <w:rFonts w:ascii="Times New Roman" w:cs="Times New Roman" w:eastAsia="Times New Roman" w:hAnsi="Times New Roman"/>
          <w:sz w:val="24"/>
          <w:szCs w:val="24"/>
        </w:rPr>
        <w:t xml:space="preserve">To qualify for inclusion in the Alpha Bets 27 Portfolio, a company must satisfy all of the following criteria:</w:t>
      </w:r>
    </w:p>
    <w:p>
      <w:pPr>
        <w:spacing w:after="200" w:before="0"/>
        <w:ind w:left="720"/>
        <w:jc w:val="both"/>
      </w:pPr>
      <w:r>
        <w:rPr>
          <w:rFonts w:ascii="Times New Roman" w:cs="Times New Roman" w:eastAsia="Times New Roman" w:hAnsi="Times New Roman"/>
          <w:sz w:val="24"/>
          <w:szCs w:val="24"/>
        </w:rPr>
        <w:t xml:space="preserve">(a) Absolute FCF/NI Magnitude: Minimum $5 billion in trailing twelve-month FCF (or net income for Financial Sector Holdings), placing the company in the top decile of global publicly listed companies by cash generation.</w:t>
      </w:r>
    </w:p>
    <w:p>
      <w:pPr>
        <w:spacing w:after="200" w:before="0"/>
        <w:ind w:left="720"/>
        <w:jc w:val="both"/>
      </w:pPr>
      <w:r>
        <w:rPr>
          <w:rFonts w:ascii="Times New Roman" w:cs="Times New Roman" w:eastAsia="Times New Roman" w:hAnsi="Times New Roman"/>
          <w:sz w:val="24"/>
          <w:szCs w:val="24"/>
        </w:rPr>
        <w:t xml:space="preserve">(b) Growth Trajectory: Demonstrated FCF/NI growth above 10% compound annual growth rate over the trailing five years, indicating structural rather than cyclical profitability expansion.</w:t>
      </w:r>
    </w:p>
    <w:p>
      <w:pPr>
        <w:spacing w:after="200" w:before="0"/>
        <w:ind w:left="720"/>
        <w:jc w:val="both"/>
      </w:pPr>
      <w:r>
        <w:rPr>
          <w:rFonts w:ascii="Times New Roman" w:cs="Times New Roman" w:eastAsia="Times New Roman" w:hAnsi="Times New Roman"/>
          <w:sz w:val="24"/>
          <w:szCs w:val="24"/>
        </w:rPr>
        <w:t xml:space="preserve">(c) GDP Pillar Alignment: Primary operations within a sector representing more than 5% of global GDP (approximately $5.25 trillion or more) with identifiable secular tailwinds, including but not limited to financial services and payments (20-22% of global GDP), technology and cloud infrastructure (~15%), healthcare and pharmaceuticals (10-12%), energy and energy transition (~10%), consumer platforms and retail (8-10%), and industrials, semiconductors, and logistics (8-10%).</w:t>
      </w:r>
    </w:p>
    <w:p>
      <w:pPr>
        <w:spacing w:after="200" w:before="0"/>
        <w:ind w:left="720"/>
        <w:jc w:val="both"/>
      </w:pPr>
      <w:r>
        <w:rPr>
          <w:rFonts w:ascii="Times New Roman" w:cs="Times New Roman" w:eastAsia="Times New Roman" w:hAnsi="Times New Roman"/>
          <w:sz w:val="24"/>
          <w:szCs w:val="24"/>
        </w:rPr>
        <w:t xml:space="preserve">(d) Competitive Moat Durability: Quantifiable competitive advantages including network effects, switching costs, economies of scale, regulatory barriers, intellectual property portfolios, or brand equity that protect cash generation against competitive erosion over multi-decade time horizons.</w:t>
      </w:r>
    </w:p>
    <w:p>
      <w:pPr>
        <w:spacing w:after="200" w:before="0"/>
        <w:ind w:left="720"/>
        <w:jc w:val="both"/>
      </w:pPr>
      <w:r>
        <w:rPr>
          <w:rFonts w:ascii="Times New Roman" w:cs="Times New Roman" w:eastAsia="Times New Roman" w:hAnsi="Times New Roman"/>
          <w:sz w:val="24"/>
          <w:szCs w:val="24"/>
        </w:rPr>
        <w:t xml:space="preserve">(e) Options Liquidity: Deep and liquid listed options chains on a major U.S. exchange with sufficient open interest and tight bid-ask spreads across relevant strike prices and expiration dates to enable the DNSA Engine to execute the Fund's covered call and cash-secured put strategies efficiently.</w:t>
      </w:r>
    </w:p>
    <w:p>
      <w:pPr>
        <w:pStyle w:val="Heading3"/>
      </w:pPr>
      <w:r>
        <w:rPr>
          <w:b/>
          <w:bCs/>
        </w:rPr>
        <w:t xml:space="preserve">3.2.5. Rebalancing</w:t>
      </w:r>
    </w:p>
    <w:p>
      <w:pPr>
        <w:spacing w:after="200" w:before="0"/>
        <w:jc w:val="both"/>
      </w:pPr>
      <w:r>
        <w:rPr>
          <w:rFonts w:ascii="Times New Roman" w:cs="Times New Roman" w:eastAsia="Times New Roman" w:hAnsi="Times New Roman"/>
          <w:sz w:val="24"/>
          <w:szCs w:val="24"/>
        </w:rPr>
        <w:t xml:space="preserve">The Alpha Bets 27 Portfolio is rebalanced quarterly. Critically, rebalancing is accomplished primarily through directed options activity rather than through outright equity sales:</w:t>
      </w:r>
    </w:p>
    <w:p>
      <w:pPr>
        <w:spacing w:after="200" w:before="0"/>
        <w:ind w:left="720"/>
        <w:jc w:val="both"/>
      </w:pPr>
      <w:r>
        <w:rPr>
          <w:rFonts w:ascii="Times New Roman" w:cs="Times New Roman" w:eastAsia="Times New Roman" w:hAnsi="Times New Roman"/>
          <w:sz w:val="24"/>
          <w:szCs w:val="24"/>
        </w:rPr>
        <w:t xml:space="preserve">(a) Overweight positions are reduced toward target weight by selling covered calls, which collect premium (reinvested via DRIP-ON) and may result in position reduction through assignment (with immediate repurchase per Iron Rule 1 if the assigned position drops below target weight);</w:t>
      </w:r>
    </w:p>
    <w:p>
      <w:pPr>
        <w:spacing w:after="200" w:before="0"/>
        <w:ind w:left="720"/>
        <w:jc w:val="both"/>
      </w:pPr>
      <w:r>
        <w:rPr>
          <w:rFonts w:ascii="Times New Roman" w:cs="Times New Roman" w:eastAsia="Times New Roman" w:hAnsi="Times New Roman"/>
          <w:sz w:val="24"/>
          <w:szCs w:val="24"/>
        </w:rPr>
        <w:t xml:space="preserve">(b) Underweight positions are increased toward target weight by selling cash-secured puts against the T-Bill Reserve collateral, which either collect premium (reinvested via DRIP-ON) if the puts expire unexercised, or result in share acquisition at distressed prices if the puts are assigned.</w:t>
      </w:r>
    </w:p>
    <w:p>
      <w:pPr>
        <w:spacing w:after="200" w:before="0"/>
        <w:jc w:val="both"/>
      </w:pPr>
      <w:r>
        <w:rPr>
          <w:rFonts w:ascii="Times New Roman" w:cs="Times New Roman" w:eastAsia="Times New Roman" w:hAnsi="Times New Roman"/>
          <w:sz w:val="24"/>
          <w:szCs w:val="24"/>
        </w:rPr>
        <w:t xml:space="preserve">This options-driven rebalancing mechanism minimizes tax drag, reduces transaction costs, generates income during the rebalancing process, and ensures that share counts move in only one direction: up. It is a fundamental differentiator of the Fund's approach versus traditional portfolio rebalancing that requires selling winners to buy laggards.</w:t>
      </w:r>
    </w:p>
    <w:p>
      <w:pPr>
        <w:pStyle w:val="Heading2"/>
      </w:pPr>
      <w:r>
        <w:rPr>
          <w:b/>
          <w:bCs/>
        </w:rPr>
        <w:t xml:space="preserve">3.3. The DNSA Engine</w:t>
      </w:r>
    </w:p>
    <w:p>
      <w:pPr>
        <w:pStyle w:val="Heading3"/>
      </w:pPr>
      <w:r>
        <w:rPr>
          <w:b/>
          <w:bCs/>
        </w:rPr>
        <w:t xml:space="preserve">3.3.1. Architecture</w:t>
      </w:r>
    </w:p>
    <w:p>
      <w:pPr>
        <w:spacing w:after="200" w:before="0"/>
        <w:jc w:val="both"/>
      </w:pPr>
      <w:r>
        <w:rPr>
          <w:rFonts w:ascii="Times New Roman" w:cs="Times New Roman" w:eastAsia="Times New Roman" w:hAnsi="Times New Roman"/>
          <w:sz w:val="24"/>
          <w:szCs w:val="24"/>
        </w:rPr>
        <w:t xml:space="preserve">The DNSA Engine is the Fund's proprietary, AI-first systematic options overlay system operating on a four-layer architecture:</w:t>
      </w:r>
    </w:p>
    <w:p>
      <w:pPr>
        <w:spacing w:after="200" w:before="0"/>
        <w:ind w:left="720"/>
        <w:jc w:val="both"/>
      </w:pPr>
      <w:r>
        <w:rPr>
          <w:rFonts w:ascii="Times New Roman" w:cs="Times New Roman" w:eastAsia="Times New Roman" w:hAnsi="Times New Roman"/>
          <w:sz w:val="24"/>
          <w:szCs w:val="24"/>
        </w:rPr>
        <w:t xml:space="preserve">Layer 1 — Data Ingestion: Real-time aggregation of price feeds, options chains, volatility surfaces, order flow data, fundamental financial data, and macroeconomic indicators from multiple institutional data providers.</w:t>
      </w:r>
    </w:p>
    <w:p>
      <w:pPr>
        <w:spacing w:after="200" w:before="0"/>
        <w:ind w:left="720"/>
        <w:jc w:val="both"/>
      </w:pPr>
      <w:r>
        <w:rPr>
          <w:rFonts w:ascii="Times New Roman" w:cs="Times New Roman" w:eastAsia="Times New Roman" w:hAnsi="Times New Roman"/>
          <w:sz w:val="24"/>
          <w:szCs w:val="24"/>
        </w:rPr>
        <w:t xml:space="preserve">Layer 2 — Signal Generation: Proprietary algorithms generate fear and greed scores for each Alpha Bets 27 position based on an ensemble of quantitative indicators including Relative Strength Index (RSI) at weekly timeframes, Implied Volatility Rank on a 52-week lookback, Put/Call Ratio extremes, VIX term structure (contango/backwardation), Bollinger Band position on monthly charts, and credit spread dynamics.</w:t>
      </w:r>
    </w:p>
    <w:p>
      <w:pPr>
        <w:spacing w:after="200" w:before="0"/>
        <w:ind w:left="720"/>
        <w:jc w:val="both"/>
      </w:pPr>
      <w:r>
        <w:rPr>
          <w:rFonts w:ascii="Times New Roman" w:cs="Times New Roman" w:eastAsia="Times New Roman" w:hAnsi="Times New Roman"/>
          <w:sz w:val="24"/>
          <w:szCs w:val="24"/>
        </w:rPr>
        <w:t xml:space="preserve">Layer 3 — Execution: Trade generation, order sizing, strike and expiry selection, routing to the appropriate execution broker (Alpaca Securities for options, Interactive Brokers or Charles Schwab for equity), assignment detection, and DRIP-ON reinvestment routing.</w:t>
      </w:r>
    </w:p>
    <w:p>
      <w:pPr>
        <w:spacing w:after="200" w:before="0"/>
        <w:ind w:left="720"/>
        <w:jc w:val="both"/>
      </w:pPr>
      <w:r>
        <w:rPr>
          <w:rFonts w:ascii="Times New Roman" w:cs="Times New Roman" w:eastAsia="Times New Roman" w:hAnsi="Times New Roman"/>
          <w:sz w:val="24"/>
          <w:szCs w:val="24"/>
        </w:rPr>
        <w:t xml:space="preserve">Layer 4 — Risk Management: Real-time monitoring of leverage utilization versus Iron Rule limits, put capacity utilization, assignment exposure, counterparty concentration, and portfolio-level Greeks (delta, gamma, theta, vega).</w:t>
      </w:r>
    </w:p>
    <w:p>
      <w:pPr>
        <w:pStyle w:val="Heading3"/>
      </w:pPr>
      <w:r>
        <w:rPr>
          <w:b/>
          <w:bCs/>
        </w:rPr>
        <w:t xml:space="preserve">3.3.2. Covered Call Strategy (Selling into Greed)</w:t>
      </w:r>
    </w:p>
    <w:p>
      <w:pPr>
        <w:spacing w:after="200" w:before="0"/>
        <w:jc w:val="both"/>
      </w:pPr>
      <w:r>
        <w:rPr>
          <w:rFonts w:ascii="Times New Roman" w:cs="Times New Roman" w:eastAsia="Times New Roman" w:hAnsi="Times New Roman"/>
          <w:sz w:val="24"/>
          <w:szCs w:val="24"/>
        </w:rPr>
        <w:t xml:space="preserve">The DNSA Engine sells covered calls against the Fund's equity holdings when the following conditions are met: (a) the position's implied volatility rank exceeds the 70th percentile on a 52-week lookback; (b) the underlying security's weekly RSI exceeds 65, indicating overbought conditions; and (c) the security's price is at or above the upper Bollinger Band on monthly charts.</w:t>
      </w:r>
    </w:p>
    <w:p>
      <w:pPr>
        <w:spacing w:after="200" w:before="0"/>
        <w:jc w:val="both"/>
      </w:pPr>
      <w:r>
        <w:rPr>
          <w:rFonts w:ascii="Times New Roman" w:cs="Times New Roman" w:eastAsia="Times New Roman" w:hAnsi="Times New Roman"/>
          <w:sz w:val="24"/>
          <w:szCs w:val="24"/>
        </w:rPr>
        <w:t xml:space="preserve">Covered calls are sold at strike prices selected to balance premium income against the probability of assignment, with the general preference for out-of-the-money strikes that maximize the likelihood of the call expiring worthless while generating meaningful premium. If calls are exercised and shares are assigned, the DNSA Engine initiates automatic repurchase of equivalent shares within the same trading session when practicable, and in all cases within three (3) Business Days, in compliance with Iron Rule 1.</w:t>
      </w:r>
    </w:p>
    <w:p>
      <w:pPr>
        <w:spacing w:after="200" w:before="0"/>
        <w:jc w:val="both"/>
      </w:pPr>
      <w:r>
        <w:rPr>
          <w:rFonts w:ascii="Times New Roman" w:cs="Times New Roman" w:eastAsia="Times New Roman" w:hAnsi="Times New Roman"/>
          <w:sz w:val="24"/>
          <w:szCs w:val="24"/>
        </w:rPr>
        <w:t xml:space="preserve">The threshold for call selling is moderate (70th percentile IV rank) because the Iron Rule 1 repurchase protocol protects the Fund from permanent share reduction. This allows the Fund to harvest premium from moderate greed events frequently, generating consistent DRIP-ON reinvestment fuel throughout the year.</w:t>
      </w:r>
    </w:p>
    <w:p>
      <w:pPr>
        <w:pStyle w:val="Heading3"/>
      </w:pPr>
      <w:r>
        <w:rPr>
          <w:b/>
          <w:bCs/>
        </w:rPr>
        <w:t xml:space="preserve">3.3.3. Cash-Secured Put Strategy (Deploying into Fear)</w:t>
      </w:r>
    </w:p>
    <w:p>
      <w:pPr>
        <w:spacing w:after="200" w:before="0"/>
        <w:jc w:val="both"/>
      </w:pPr>
      <w:r>
        <w:rPr>
          <w:rFonts w:ascii="Times New Roman" w:cs="Times New Roman" w:eastAsia="Times New Roman" w:hAnsi="Times New Roman"/>
          <w:sz w:val="24"/>
          <w:szCs w:val="24"/>
        </w:rPr>
        <w:t xml:space="preserve">The DNSA Engine sells cash-secured puts against the T-Bill Reserve collateral on Alpha Bets 27 positions that are underweight relative to their FCF Contribution Weight targets, when extreme fear conditions are present: (a) the CBOE Volatility Index (VIX) exceeds 30; (b) the position's weekly RSI is below 30; (c) the put/call ratio for the relevant underlying exceeds 1.2; and (d) preferably, investment-grade credit spreads are widening simultaneously.</w:t>
      </w:r>
    </w:p>
    <w:p>
      <w:pPr>
        <w:spacing w:after="200" w:before="0"/>
        <w:jc w:val="both"/>
      </w:pPr>
      <w:r>
        <w:rPr>
          <w:rFonts w:ascii="Times New Roman" w:cs="Times New Roman" w:eastAsia="Times New Roman" w:hAnsi="Times New Roman"/>
          <w:sz w:val="24"/>
          <w:szCs w:val="24"/>
        </w:rPr>
        <w:t xml:space="preserve">The threshold for put selling is deliberately high (requiring genuine extreme fear) because put assignment represents cash outflow from the T-Bill Reserve. The Fund deploys capital into fear only when prices represent significant discounts to intrinsic value. If puts are assigned, the Fund acquires additional shares at distressed prices while simultaneously closing the gap between actual and target FCF Contribution Weight for that position.</w:t>
      </w:r>
    </w:p>
    <w:p>
      <w:pPr>
        <w:spacing w:after="200" w:before="0"/>
        <w:jc w:val="both"/>
      </w:pPr>
      <w:r>
        <w:rPr>
          <w:rFonts w:ascii="Times New Roman" w:cs="Times New Roman" w:eastAsia="Times New Roman" w:hAnsi="Times New Roman"/>
          <w:sz w:val="24"/>
          <w:szCs w:val="24"/>
        </w:rPr>
        <w:t xml:space="preserve">The DNSA Engine maintains a Put Capacity Manager that tracks aggregate put assignment exposure in real-time as a percentage of T-Bill Reserve value. New put sales are hard-stopped when aggregate assignment exposure reaches 70% of T-Bill Reserve value, preserving 30% dry powder for the deepest fear events.</w:t>
      </w:r>
    </w:p>
    <w:p>
      <w:pPr>
        <w:pStyle w:val="Heading3"/>
      </w:pPr>
      <w:r>
        <w:rPr>
          <w:b/>
          <w:bCs/>
        </w:rPr>
        <w:t xml:space="preserve">3.3.4. The DRIP-ON Methodology</w:t>
      </w:r>
    </w:p>
    <w:p>
      <w:pPr>
        <w:spacing w:after="200" w:before="0"/>
        <w:jc w:val="both"/>
      </w:pPr>
      <w:r>
        <w:rPr>
          <w:rFonts w:ascii="Times New Roman" w:cs="Times New Roman" w:eastAsia="Times New Roman" w:hAnsi="Times New Roman"/>
          <w:sz w:val="24"/>
          <w:szCs w:val="24"/>
        </w:rPr>
        <w:t xml:space="preserve">DRIP-ON (Dividend and Premium Reinvestment Program - Optimized for Net Share Accumulation) is the Fund's second compounding engine. All income generated by the Fund — including covered call premium, cash-secured put premium, equity dividend income, and U.S. Treasury interest income — is automatically and systematically reinvested into additional shares of Alpha Bets 27 positions in accordance with the current FCF Contribution Weight targets.</w:t>
      </w:r>
    </w:p>
    <w:p>
      <w:pPr>
        <w:spacing w:after="200" w:before="0"/>
        <w:jc w:val="both"/>
      </w:pPr>
      <w:r>
        <w:rPr>
          <w:rFonts w:ascii="Times New Roman" w:cs="Times New Roman" w:eastAsia="Times New Roman" w:hAnsi="Times New Roman"/>
          <w:sz w:val="24"/>
          <w:szCs w:val="24"/>
        </w:rPr>
        <w:t xml:space="preserve">No income is distributed to Partners. No premium is extracted as yield. The DRIP-ON methodology operates continuously and is protected by Iron Rule 3, which requires unanimous Partner consent to modify.</w:t>
      </w:r>
    </w:p>
    <w:p>
      <w:pPr>
        <w:spacing w:after="200" w:before="0"/>
        <w:jc w:val="both"/>
      </w:pPr>
      <w:r>
        <w:rPr>
          <w:rFonts w:ascii="Times New Roman" w:cs="Times New Roman" w:eastAsia="Times New Roman" w:hAnsi="Times New Roman"/>
          <w:sz w:val="24"/>
          <w:szCs w:val="24"/>
        </w:rPr>
        <w:t xml:space="preserve">The intellectual insight underlying DRIP-ON is that covered call premium reinvestment into buying more shares of the same positions creates a second compounding engine that operates independently of, and in addition to, the underlying FCF growth of the portfolio companies. Over a ten-year horizon, a position that has been through fifteen to twenty overbought/oversold cycles with all premium reinvested into additional shares can accumulate 30-40% more shares than a buy-and-hold equivalent — funded entirely by the market's own emotional volatility cycles. This makes the Fund a share accumulation strategy, not an income strategy, and is the fundamental differentiator versus every other covered call fund in existence.</w:t>
      </w:r>
    </w:p>
    <w:p>
      <w:pPr>
        <w:pStyle w:val="Heading3"/>
      </w:pPr>
      <w:r>
        <w:rPr>
          <w:b/>
          <w:bCs/>
        </w:rPr>
        <w:t xml:space="preserve">3.3.5. Dual-Broker Execution Architecture</w:t>
      </w:r>
    </w:p>
    <w:p>
      <w:pPr>
        <w:spacing w:after="200" w:before="0"/>
        <w:jc w:val="both"/>
      </w:pPr>
      <w:r>
        <w:rPr>
          <w:rFonts w:ascii="Times New Roman" w:cs="Times New Roman" w:eastAsia="Times New Roman" w:hAnsi="Times New Roman"/>
          <w:sz w:val="24"/>
          <w:szCs w:val="24"/>
        </w:rPr>
        <w:t xml:space="preserve">The DNSA Engine operates through a dual-broker architecture designed for execution quality, redundancy, and counterparty diversification: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60"/>
      </w:tblGrid>
      <w:tr>
        <w:tc>
          <w:tcPr>
            <w:tcW w:type="dxa" w:w="2400"/>
            <w:tcBorders>
              <w:top w:val="single" w:color="B0B0B0" w:sz="1"/>
              <w:left w:val="single" w:color="B0B0B0" w:sz="1"/>
              <w:bottom w:val="single" w:color="B0B0B0" w:sz="1"/>
              <w:right w:val="single" w:color="B0B0B0" w:sz="1"/>
            </w:tcBorders>
            <w:shd w:fill="0D1B2A"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0"/>
                <w:szCs w:val="20"/>
              </w:rPr>
              <w:t xml:space="preserve">Broker</w:t>
            </w:r>
          </w:p>
        </w:tc>
        <w:tc>
          <w:tcPr>
            <w:tcW w:type="dxa" w:w="4200"/>
            <w:tcBorders>
              <w:top w:val="single" w:color="B0B0B0" w:sz="1"/>
              <w:left w:val="single" w:color="B0B0B0" w:sz="1"/>
              <w:bottom w:val="single" w:color="B0B0B0" w:sz="1"/>
              <w:right w:val="single" w:color="B0B0B0" w:sz="1"/>
            </w:tcBorders>
            <w:shd w:fill="0D1B2A"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0"/>
                <w:szCs w:val="20"/>
              </w:rPr>
              <w:t xml:space="preserve">Primary Function</w:t>
            </w:r>
          </w:p>
        </w:tc>
        <w:tc>
          <w:tcPr>
            <w:tcW w:type="dxa" w:w="2760"/>
            <w:tcBorders>
              <w:top w:val="single" w:color="B0B0B0" w:sz="1"/>
              <w:left w:val="single" w:color="B0B0B0" w:sz="1"/>
              <w:bottom w:val="single" w:color="B0B0B0" w:sz="1"/>
              <w:right w:val="single" w:color="B0B0B0" w:sz="1"/>
            </w:tcBorders>
            <w:shd w:fill="0D1B2A"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0"/>
                <w:szCs w:val="20"/>
              </w:rPr>
              <w:t xml:space="preserve">Regulatory Status</w:t>
            </w:r>
          </w:p>
        </w:tc>
      </w:tr>
      <w:tr>
        <w:tc>
          <w:tcPr>
            <w:tcW w:type="dxa" w:w="2400"/>
            <w:tcBorders>
              <w:top w:val="single" w:color="B0B0B0" w:sz="1"/>
              <w:left w:val="single" w:color="B0B0B0" w:sz="1"/>
              <w:bottom w:val="single" w:color="B0B0B0" w:sz="1"/>
              <w:right w:val="single" w:color="B0B0B0" w:sz="1"/>
            </w:tcBorders>
            <w:shd w:fill="F2F5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Alpaca Securities LLC</w:t>
            </w:r>
          </w:p>
        </w:tc>
        <w:tc>
          <w:tcPr>
            <w:tcW w:type="dxa" w:w="4200"/>
            <w:tcBorders>
              <w:top w:val="single" w:color="B0B0B0" w:sz="1"/>
              <w:left w:val="single" w:color="B0B0B0" w:sz="1"/>
              <w:bottom w:val="single" w:color="B0B0B0" w:sz="1"/>
              <w:right w:val="single" w:color="B0B0B0" w:sz="1"/>
            </w:tcBorders>
            <w:shd w:fill="F2F5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Options execution broker — primary venue for all DNSA Engine option trades</w:t>
            </w:r>
          </w:p>
        </w:tc>
        <w:tc>
          <w:tcPr>
            <w:tcW w:type="dxa" w:w="2760"/>
            <w:tcBorders>
              <w:top w:val="single" w:color="B0B0B0" w:sz="1"/>
              <w:left w:val="single" w:color="B0B0B0" w:sz="1"/>
              <w:bottom w:val="single" w:color="B0B0B0" w:sz="1"/>
              <w:right w:val="single" w:color="B0B0B0" w:sz="1"/>
            </w:tcBorders>
            <w:shd w:fill="F2F5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SEC/FINRA registered broker-dealer; SIPC member</w:t>
            </w:r>
          </w:p>
        </w:tc>
      </w:tr>
      <w:tr>
        <w:tc>
          <w:tcPr>
            <w:tcW w:type="dxa" w:w="24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Interactive Brokers LLC</w:t>
            </w:r>
          </w:p>
        </w:tc>
        <w:tc>
          <w:tcPr>
            <w:tcW w:type="dxa" w:w="42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Equity custody and execution; margin and collateral management; API trading platform</w:t>
            </w:r>
          </w:p>
        </w:tc>
        <w:tc>
          <w:tcPr>
            <w:tcW w:type="dxa" w:w="276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SEC/FINRA registered broker-dealer; SIPC member; qualified custodian</w:t>
            </w:r>
          </w:p>
        </w:tc>
      </w:tr>
      <w:tr>
        <w:tc>
          <w:tcPr>
            <w:tcW w:type="dxa" w:w="2400"/>
            <w:tcBorders>
              <w:top w:val="single" w:color="B0B0B0" w:sz="1"/>
              <w:left w:val="single" w:color="B0B0B0" w:sz="1"/>
              <w:bottom w:val="single" w:color="B0B0B0" w:sz="1"/>
              <w:right w:val="single" w:color="B0B0B0" w:sz="1"/>
            </w:tcBorders>
            <w:shd w:fill="F2F5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Charles Schwab &amp; Co. / Thinkorswim</w:t>
            </w:r>
          </w:p>
        </w:tc>
        <w:tc>
          <w:tcPr>
            <w:tcW w:type="dxa" w:w="4200"/>
            <w:tcBorders>
              <w:top w:val="single" w:color="B0B0B0" w:sz="1"/>
              <w:left w:val="single" w:color="B0B0B0" w:sz="1"/>
              <w:bottom w:val="single" w:color="B0B0B0" w:sz="1"/>
              <w:right w:val="single" w:color="B0B0B0" w:sz="1"/>
            </w:tcBorders>
            <w:shd w:fill="F2F5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Supplemental equity execution; human-in-the-loop trading interface for oversight</w:t>
            </w:r>
          </w:p>
        </w:tc>
        <w:tc>
          <w:tcPr>
            <w:tcW w:type="dxa" w:w="2760"/>
            <w:tcBorders>
              <w:top w:val="single" w:color="B0B0B0" w:sz="1"/>
              <w:left w:val="single" w:color="B0B0B0" w:sz="1"/>
              <w:bottom w:val="single" w:color="B0B0B0" w:sz="1"/>
              <w:right w:val="single" w:color="B0B0B0" w:sz="1"/>
            </w:tcBorders>
            <w:shd w:fill="F2F5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SEC/FINRA registered broker-dealer; SIPC member; qualified custodian</w:t>
            </w:r>
          </w:p>
        </w:tc>
      </w:tr>
      <w:tr>
        <w:tc>
          <w:tcPr>
            <w:tcW w:type="dxa" w:w="24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JP Morgan Chase</w:t>
            </w:r>
          </w:p>
        </w:tc>
        <w:tc>
          <w:tcPr>
            <w:tcW w:type="dxa" w:w="42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Fund banking; treasury management; T-Bill Reserve custody</w:t>
            </w:r>
          </w:p>
        </w:tc>
        <w:tc>
          <w:tcPr>
            <w:tcW w:type="dxa" w:w="276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OCC-regulated national bank; qualified custodian</w:t>
            </w:r>
          </w:p>
        </w:tc>
      </w:tr>
      <w:tr>
        <w:tc>
          <w:tcPr>
            <w:tcW w:type="dxa" w:w="2400"/>
            <w:tcBorders>
              <w:top w:val="single" w:color="B0B0B0" w:sz="1"/>
              <w:left w:val="single" w:color="B0B0B0" w:sz="1"/>
              <w:bottom w:val="single" w:color="B0B0B0" w:sz="1"/>
              <w:right w:val="single" w:color="B0B0B0" w:sz="1"/>
            </w:tcBorders>
            <w:shd w:fill="F2F5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Goldman Sachs &amp; Co. LLC</w:t>
            </w:r>
          </w:p>
        </w:tc>
        <w:tc>
          <w:tcPr>
            <w:tcW w:type="dxa" w:w="4200"/>
            <w:tcBorders>
              <w:top w:val="single" w:color="B0B0B0" w:sz="1"/>
              <w:left w:val="single" w:color="B0B0B0" w:sz="1"/>
              <w:bottom w:val="single" w:color="B0B0B0" w:sz="1"/>
              <w:right w:val="single" w:color="B0B0B0" w:sz="1"/>
            </w:tcBorders>
            <w:shd w:fill="F2F5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Designated future prime broker at scale; capital introduction; securities lending</w:t>
            </w:r>
          </w:p>
        </w:tc>
        <w:tc>
          <w:tcPr>
            <w:tcW w:type="dxa" w:w="2760"/>
            <w:tcBorders>
              <w:top w:val="single" w:color="B0B0B0" w:sz="1"/>
              <w:left w:val="single" w:color="B0B0B0" w:sz="1"/>
              <w:bottom w:val="single" w:color="B0B0B0" w:sz="1"/>
              <w:right w:val="single" w:color="B0B0B0" w:sz="1"/>
            </w:tcBorders>
            <w:shd w:fill="F2F5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SEC/FINRA registered broker-dealer; qualified custodian</w:t>
            </w:r>
          </w:p>
        </w:tc>
      </w:tr>
      <w:tr>
        <w:tc>
          <w:tcPr>
            <w:tcW w:type="dxa" w:w="24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Morgan Stanley &amp; Co. LLC</w:t>
            </w:r>
          </w:p>
        </w:tc>
        <w:tc>
          <w:tcPr>
            <w:tcW w:type="dxa" w:w="42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Designated future prime broker at scale; institutional distribution</w:t>
            </w:r>
          </w:p>
        </w:tc>
        <w:tc>
          <w:tcPr>
            <w:tcW w:type="dxa" w:w="276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SEC/FINRA registered broker-dealer; qualified custodian</w:t>
            </w:r>
          </w:p>
        </w:tc>
      </w:tr>
    </w:tbl>
    <w:p>
      <w:pPr>
        <w:spacing w:after="200" w:before="0"/>
        <w:jc w:val="both"/>
      </w:pPr>
      <w:r>
        <w:rPr>
          <w:rFonts w:ascii="Times New Roman" w:cs="Times New Roman" w:eastAsia="Times New Roman" w:hAnsi="Times New Roman"/>
          <w:sz w:val="24"/>
          <w:szCs w:val="24"/>
        </w:rPr>
        <w:t xml:space="preserve"/>
      </w:r>
    </w:p>
    <w:p>
      <w:pPr>
        <w:spacing w:after="200" w:before="0"/>
        <w:jc w:val="both"/>
      </w:pPr>
      <w:r>
        <w:rPr>
          <w:rFonts w:ascii="Times New Roman" w:cs="Times New Roman" w:eastAsia="Times New Roman" w:hAnsi="Times New Roman"/>
          <w:sz w:val="24"/>
          <w:szCs w:val="24"/>
        </w:rPr>
        <w:t xml:space="preserve">The human-in-the-loop execution model ensures that while the DNSA Engine generates trade signals and manages order flow algorithmically, all trading activity is subject to human oversight with documented override capabilities, audit trails, and parameter bounds within which the system may operate autonomously.</w:t>
      </w:r>
    </w:p>
    <w:p>
      <w:pPr>
        <w:pStyle w:val="Heading2"/>
      </w:pPr>
      <w:r>
        <w:rPr>
          <w:b/>
          <w:bCs/>
        </w:rPr>
        <w:t xml:space="preserve">3.4. Asset Allocation: The Dual-Sleeve Architecture</w:t>
      </w:r>
    </w:p>
    <w:p>
      <w:pPr>
        <w:pStyle w:val="Heading3"/>
      </w:pPr>
      <w:r>
        <w:rPr>
          <w:b/>
          <w:bCs/>
        </w:rPr>
        <w:t xml:space="preserve">3.4.1. Equity Sleeve (~78% of NAV)</w:t>
      </w:r>
    </w:p>
    <w:p>
      <w:pPr>
        <w:spacing w:after="200" w:before="0"/>
        <w:jc w:val="both"/>
      </w:pPr>
      <w:r>
        <w:rPr>
          <w:rFonts w:ascii="Times New Roman" w:cs="Times New Roman" w:eastAsia="Times New Roman" w:hAnsi="Times New Roman"/>
          <w:sz w:val="24"/>
          <w:szCs w:val="24"/>
        </w:rPr>
        <w:t xml:space="preserve">Approximately seventy-eight percent (78%) of the Fund's total assets are allocated to the Equity Sleeve, consisting of the Alpha Bets 27 Portfolio positions. The maximum leverage permitted against the Equity Sleeve is seventy percent (70%) Loan-to-Value (Iron Rule 4). This borrowing capacity (approximately 54.6% of total NAV) exists for: (a) immediate share repurchase following option assignment; (b) opportunistic accumulation during extreme fear events; (c) working capital and operational flexibility. It is not used for speculative leverage amplification.</w:t>
      </w:r>
    </w:p>
    <w:p>
      <w:pPr>
        <w:pStyle w:val="Heading3"/>
      </w:pPr>
      <w:r>
        <w:rPr>
          <w:b/>
          <w:bCs/>
        </w:rPr>
        <w:t xml:space="preserve">3.4.2. T-Bill Reserve (~22% of NAV)</w:t>
      </w:r>
    </w:p>
    <w:p>
      <w:pPr>
        <w:spacing w:after="200" w:before="0"/>
        <w:jc w:val="both"/>
      </w:pPr>
      <w:r>
        <w:rPr>
          <w:rFonts w:ascii="Times New Roman" w:cs="Times New Roman" w:eastAsia="Times New Roman" w:hAnsi="Times New Roman"/>
          <w:sz w:val="24"/>
          <w:szCs w:val="24"/>
        </w:rPr>
        <w:t xml:space="preserve">Approximately twenty-two percent (22%) of the Fund's total assets are allocated to the T-Bill Reserve, invested exclusively in United States Treasury obligations with maturities of twelve (12) months or less. The minimum T-Bill Reserve is twenty percent (20%) of total assets (Iron Rule 2). The maximum leverage against the T-Bill Reserve is ninety-nine percent (99%) Loan-to-Value (Iron Rule 4).</w:t>
      </w:r>
    </w:p>
    <w:p>
      <w:pPr>
        <w:spacing w:after="200" w:before="0"/>
        <w:jc w:val="both"/>
      </w:pPr>
      <w:r>
        <w:rPr>
          <w:rFonts w:ascii="Times New Roman" w:cs="Times New Roman" w:eastAsia="Times New Roman" w:hAnsi="Times New Roman"/>
          <w:sz w:val="24"/>
          <w:szCs w:val="24"/>
        </w:rPr>
        <w:t xml:space="preserve">The T-Bill Reserve simultaneously serves three functions: (a) yield generation from Treasury coupon interest; (b) collateral for the DNSA Engine's cash-secured put writing program; and (c) liquidity buffer for Limited Partner redemptions and operational expenses. This triple-function design extracts maximum capital efficiency from what most funds treat as dead cash.</w:t>
      </w:r>
    </w:p>
    <w:p>
      <w:pPr>
        <w:pStyle w:val="Heading3"/>
      </w:pPr>
      <w:r>
        <w:rPr>
          <w:b/>
          <w:bCs/>
        </w:rPr>
        <w:t xml:space="preserve">3.4.3. Aggregate Leverage</w:t>
      </w:r>
    </w:p>
    <w:p>
      <w:pPr>
        <w:spacing w:after="200" w:before="0"/>
        <w:jc w:val="both"/>
      </w:pPr>
      <w:r>
        <w:rPr>
          <w:rFonts w:ascii="Times New Roman" w:cs="Times New Roman" w:eastAsia="Times New Roman" w:hAnsi="Times New Roman"/>
          <w:sz w:val="24"/>
          <w:szCs w:val="24"/>
        </w:rPr>
        <w:t xml:space="preserve">Total fund-level leverage (total borrowings divided by total NAV) shall not exceed sixty percent (60%) at any time (Iron Rule 4). In practice, the Fund expects to operate at significantly lower leverage levels during normal market conditions, deploying toward the limits only during extreme market opportunities.</w:t>
      </w:r>
    </w:p>
    <w:p>
      <w:r>
        <w:br w:type="page"/>
      </w:r>
    </w:p>
    <w:p>
      <w:pPr>
        <w:pStyle w:val="Heading1"/>
      </w:pPr>
      <w:r>
        <w:rPr>
          <w:b/>
          <w:bCs/>
        </w:rPr>
        <w:t xml:space="preserve">IV. FEES AND EXPENSES</w:t>
      </w:r>
    </w:p>
    <w:p>
      <w:pPr>
        <w:pStyle w:val="Heading2"/>
      </w:pPr>
      <w:r>
        <w:rPr>
          <w:b/>
          <w:bCs/>
        </w:rPr>
        <w:t xml:space="preserve">4.1. Management Fee</w:t>
      </w:r>
    </w:p>
    <w:p>
      <w:pPr>
        <w:spacing w:after="200" w:before="0"/>
        <w:jc w:val="both"/>
      </w:pPr>
      <w:r>
        <w:rPr>
          <w:rFonts w:ascii="Times New Roman" w:cs="Times New Roman" w:eastAsia="Times New Roman" w:hAnsi="Times New Roman"/>
          <w:sz w:val="24"/>
          <w:szCs w:val="24"/>
        </w:rPr>
        <w:t xml:space="preserve">The General Partner is entitled to receive a Management Fee calculated and payable quarterly in advance based on the Adjusted NAV of each Limited Partner's Capital Account as of the immediately preceding Valuation Date. The Management Fee is charged at tiered annual rates that decline as assets grow, reflecting the General Partner's philosophy that its primary economic incentive should be performance — not asset gathering.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1500"/>
        <w:gridCol w:w="4860"/>
      </w:tblGrid>
      <w:tr>
        <w:tc>
          <w:tcPr>
            <w:tcW w:type="dxa" w:w="1000"/>
            <w:tcBorders>
              <w:top w:val="single" w:color="B0B0B0" w:sz="1"/>
              <w:left w:val="single" w:color="B0B0B0" w:sz="1"/>
              <w:bottom w:val="single" w:color="B0B0B0" w:sz="1"/>
              <w:right w:val="single" w:color="B0B0B0" w:sz="1"/>
            </w:tcBorders>
            <w:shd w:fill="0D1B2A"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0"/>
                <w:szCs w:val="20"/>
              </w:rPr>
              <w:t xml:space="preserve">Share Class</w:t>
            </w:r>
          </w:p>
        </w:tc>
        <w:tc>
          <w:tcPr>
            <w:tcW w:type="dxa" w:w="2000"/>
            <w:tcBorders>
              <w:top w:val="single" w:color="B0B0B0" w:sz="1"/>
              <w:left w:val="single" w:color="B0B0B0" w:sz="1"/>
              <w:bottom w:val="single" w:color="B0B0B0" w:sz="1"/>
              <w:right w:val="single" w:color="B0B0B0" w:sz="1"/>
            </w:tcBorders>
            <w:shd w:fill="0D1B2A"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0"/>
                <w:szCs w:val="20"/>
              </w:rPr>
              <w:t xml:space="preserve">Investor Eligibility</w:t>
            </w:r>
          </w:p>
        </w:tc>
        <w:tc>
          <w:tcPr>
            <w:tcW w:type="dxa" w:w="1500"/>
            <w:tcBorders>
              <w:top w:val="single" w:color="B0B0B0" w:sz="1"/>
              <w:left w:val="single" w:color="B0B0B0" w:sz="1"/>
              <w:bottom w:val="single" w:color="B0B0B0" w:sz="1"/>
              <w:right w:val="single" w:color="B0B0B0" w:sz="1"/>
            </w:tcBorders>
            <w:shd w:fill="0D1B2A"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0"/>
                <w:szCs w:val="20"/>
              </w:rPr>
              <w:t xml:space="preserve">Minimum Investment</w:t>
            </w:r>
          </w:p>
        </w:tc>
        <w:tc>
          <w:tcPr>
            <w:tcW w:type="dxa" w:w="4860"/>
            <w:tcBorders>
              <w:top w:val="single" w:color="B0B0B0" w:sz="1"/>
              <w:left w:val="single" w:color="B0B0B0" w:sz="1"/>
              <w:bottom w:val="single" w:color="B0B0B0" w:sz="1"/>
              <w:right w:val="single" w:color="B0B0B0" w:sz="1"/>
            </w:tcBorders>
            <w:shd w:fill="0D1B2A"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0"/>
                <w:szCs w:val="20"/>
              </w:rPr>
              <w:t xml:space="preserve">Management Fee (Annual)</w:t>
            </w:r>
          </w:p>
        </w:tc>
      </w:tr>
      <w:tr>
        <w:tc>
          <w:tcPr>
            <w:tcW w:type="dxa" w:w="1000"/>
            <w:tcBorders>
              <w:top w:val="single" w:color="B0B0B0" w:sz="1"/>
              <w:left w:val="single" w:color="B0B0B0" w:sz="1"/>
              <w:bottom w:val="single" w:color="B0B0B0" w:sz="1"/>
              <w:right w:val="single" w:color="B0B0B0" w:sz="1"/>
            </w:tcBorders>
            <w:shd w:fill="F2F5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Class A</w:t>
            </w:r>
          </w:p>
        </w:tc>
        <w:tc>
          <w:tcPr>
            <w:tcW w:type="dxa" w:w="2000"/>
            <w:tcBorders>
              <w:top w:val="single" w:color="B0B0B0" w:sz="1"/>
              <w:left w:val="single" w:color="B0B0B0" w:sz="1"/>
              <w:bottom w:val="single" w:color="B0B0B0" w:sz="1"/>
              <w:right w:val="single" w:color="B0B0B0" w:sz="1"/>
            </w:tcBorders>
            <w:shd w:fill="F2F5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Qualified Purchasers</w:t>
            </w:r>
          </w:p>
        </w:tc>
        <w:tc>
          <w:tcPr>
            <w:tcW w:type="dxa" w:w="1500"/>
            <w:tcBorders>
              <w:top w:val="single" w:color="B0B0B0" w:sz="1"/>
              <w:left w:val="single" w:color="B0B0B0" w:sz="1"/>
              <w:bottom w:val="single" w:color="B0B0B0" w:sz="1"/>
              <w:right w:val="single" w:color="B0B0B0" w:sz="1"/>
            </w:tcBorders>
            <w:shd w:fill="F2F5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$1,000,000</w:t>
            </w:r>
          </w:p>
        </w:tc>
        <w:tc>
          <w:tcPr>
            <w:tcW w:type="dxa" w:w="4860"/>
            <w:tcBorders>
              <w:top w:val="single" w:color="B0B0B0" w:sz="1"/>
              <w:left w:val="single" w:color="B0B0B0" w:sz="1"/>
              <w:bottom w:val="single" w:color="B0B0B0" w:sz="1"/>
              <w:right w:val="single" w:color="B0B0B0" w:sz="1"/>
            </w:tcBorders>
            <w:shd w:fill="F2F5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1.69% on first $100M; 1.19% on $100M-$500M; 0.69% above $500M (per LP account)</w:t>
            </w:r>
          </w:p>
        </w:tc>
      </w:tr>
      <w:tr>
        <w:tc>
          <w:tcPr>
            <w:tcW w:type="dxa" w:w="10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Class B</w:t>
            </w:r>
          </w:p>
        </w:tc>
        <w:tc>
          <w:tcPr>
            <w:tcW w:type="dxa" w:w="20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Institutional Investors</w:t>
            </w:r>
          </w:p>
        </w:tc>
        <w:tc>
          <w:tcPr>
            <w:tcW w:type="dxa" w:w="15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$10,000,000</w:t>
            </w:r>
          </w:p>
        </w:tc>
        <w:tc>
          <w:tcPr>
            <w:tcW w:type="dxa" w:w="486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1.19% flat on all assets</w:t>
            </w:r>
          </w:p>
        </w:tc>
      </w:tr>
      <w:tr>
        <w:tc>
          <w:tcPr>
            <w:tcW w:type="dxa" w:w="1000"/>
            <w:tcBorders>
              <w:top w:val="single" w:color="B0B0B0" w:sz="1"/>
              <w:left w:val="single" w:color="B0B0B0" w:sz="1"/>
              <w:bottom w:val="single" w:color="B0B0B0" w:sz="1"/>
              <w:right w:val="single" w:color="B0B0B0" w:sz="1"/>
            </w:tcBorders>
            <w:shd w:fill="F2F5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Class C</w:t>
            </w:r>
          </w:p>
        </w:tc>
        <w:tc>
          <w:tcPr>
            <w:tcW w:type="dxa" w:w="2000"/>
            <w:tcBorders>
              <w:top w:val="single" w:color="B0B0B0" w:sz="1"/>
              <w:left w:val="single" w:color="B0B0B0" w:sz="1"/>
              <w:bottom w:val="single" w:color="B0B0B0" w:sz="1"/>
              <w:right w:val="single" w:color="B0B0B0" w:sz="1"/>
            </w:tcBorders>
            <w:shd w:fill="F2F5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Strategic Partners / RIAs</w:t>
            </w:r>
          </w:p>
        </w:tc>
        <w:tc>
          <w:tcPr>
            <w:tcW w:type="dxa" w:w="1500"/>
            <w:tcBorders>
              <w:top w:val="single" w:color="B0B0B0" w:sz="1"/>
              <w:left w:val="single" w:color="B0B0B0" w:sz="1"/>
              <w:bottom w:val="single" w:color="B0B0B0" w:sz="1"/>
              <w:right w:val="single" w:color="B0B0B0" w:sz="1"/>
            </w:tcBorders>
            <w:shd w:fill="F2F5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$5,000,000</w:t>
            </w:r>
          </w:p>
        </w:tc>
        <w:tc>
          <w:tcPr>
            <w:tcW w:type="dxa" w:w="4860"/>
            <w:tcBorders>
              <w:top w:val="single" w:color="B0B0B0" w:sz="1"/>
              <w:left w:val="single" w:color="B0B0B0" w:sz="1"/>
              <w:bottom w:val="single" w:color="B0B0B0" w:sz="1"/>
              <w:right w:val="single" w:color="B0B0B0" w:sz="1"/>
            </w:tcBorders>
            <w:shd w:fill="F2F5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1.49% flat on all assets</w:t>
            </w:r>
          </w:p>
        </w:tc>
      </w:tr>
      <w:tr>
        <w:tc>
          <w:tcPr>
            <w:tcW w:type="dxa" w:w="10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Class I</w:t>
            </w:r>
          </w:p>
        </w:tc>
        <w:tc>
          <w:tcPr>
            <w:tcW w:type="dxa" w:w="20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Sovereign Wealth / Pensions</w:t>
            </w:r>
          </w:p>
        </w:tc>
        <w:tc>
          <w:tcPr>
            <w:tcW w:type="dxa" w:w="15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$50,000,000</w:t>
            </w:r>
          </w:p>
        </w:tc>
        <w:tc>
          <w:tcPr>
            <w:tcW w:type="dxa" w:w="486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0.69% flat on all assets</w:t>
            </w:r>
          </w:p>
        </w:tc>
      </w:tr>
      <w:tr>
        <w:tc>
          <w:tcPr>
            <w:tcW w:type="dxa" w:w="1000"/>
            <w:tcBorders>
              <w:top w:val="single" w:color="B0B0B0" w:sz="1"/>
              <w:left w:val="single" w:color="B0B0B0" w:sz="1"/>
              <w:bottom w:val="single" w:color="B0B0B0" w:sz="1"/>
              <w:right w:val="single" w:color="B0B0B0" w:sz="1"/>
            </w:tcBorders>
            <w:shd w:fill="F2F5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Class S</w:t>
            </w:r>
          </w:p>
        </w:tc>
        <w:tc>
          <w:tcPr>
            <w:tcW w:type="dxa" w:w="2000"/>
            <w:tcBorders>
              <w:top w:val="single" w:color="B0B0B0" w:sz="1"/>
              <w:left w:val="single" w:color="B0B0B0" w:sz="1"/>
              <w:bottom w:val="single" w:color="B0B0B0" w:sz="1"/>
              <w:right w:val="single" w:color="B0B0B0" w:sz="1"/>
            </w:tcBorders>
            <w:shd w:fill="F2F5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Staff / GP Affiliates</w:t>
            </w:r>
          </w:p>
        </w:tc>
        <w:tc>
          <w:tcPr>
            <w:tcW w:type="dxa" w:w="1500"/>
            <w:tcBorders>
              <w:top w:val="single" w:color="B0B0B0" w:sz="1"/>
              <w:left w:val="single" w:color="B0B0B0" w:sz="1"/>
              <w:bottom w:val="single" w:color="B0B0B0" w:sz="1"/>
              <w:right w:val="single" w:color="B0B0B0" w:sz="1"/>
            </w:tcBorders>
            <w:shd w:fill="F2F5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None</w:t>
            </w:r>
          </w:p>
        </w:tc>
        <w:tc>
          <w:tcPr>
            <w:tcW w:type="dxa" w:w="4860"/>
            <w:tcBorders>
              <w:top w:val="single" w:color="B0B0B0" w:sz="1"/>
              <w:left w:val="single" w:color="B0B0B0" w:sz="1"/>
              <w:bottom w:val="single" w:color="B0B0B0" w:sz="1"/>
              <w:right w:val="single" w:color="B0B0B0" w:sz="1"/>
            </w:tcBorders>
            <w:shd w:fill="F2F5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0.00%</w:t>
            </w:r>
          </w:p>
        </w:tc>
      </w:tr>
      <w:tr>
        <w:tc>
          <w:tcPr>
            <w:tcW w:type="dxa" w:w="10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Class F</w:t>
            </w:r>
          </w:p>
        </w:tc>
        <w:tc>
          <w:tcPr>
            <w:tcW w:type="dxa" w:w="20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Founder / GP</w:t>
            </w:r>
          </w:p>
        </w:tc>
        <w:tc>
          <w:tcPr>
            <w:tcW w:type="dxa" w:w="15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None</w:t>
            </w:r>
          </w:p>
        </w:tc>
        <w:tc>
          <w:tcPr>
            <w:tcW w:type="dxa" w:w="486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0.00%</w:t>
            </w:r>
          </w:p>
        </w:tc>
      </w:tr>
    </w:tbl>
    <w:p>
      <w:pPr>
        <w:spacing w:after="200" w:before="0"/>
        <w:jc w:val="both"/>
      </w:pPr>
      <w:r>
        <w:rPr>
          <w:rFonts w:ascii="Times New Roman" w:cs="Times New Roman" w:eastAsia="Times New Roman" w:hAnsi="Times New Roman"/>
          <w:sz w:val="24"/>
          <w:szCs w:val="24"/>
        </w:rPr>
        <w:t xml:space="preserve"/>
      </w:r>
    </w:p>
    <w:p>
      <w:pPr>
        <w:spacing w:after="200" w:before="0"/>
        <w:jc w:val="both"/>
      </w:pPr>
      <w:r>
        <w:rPr>
          <w:rFonts w:ascii="Times New Roman" w:cs="Times New Roman" w:eastAsia="Times New Roman" w:hAnsi="Times New Roman"/>
          <w:sz w:val="24"/>
          <w:szCs w:val="24"/>
        </w:rPr>
        <w:t xml:space="preserve">For any partial calendar quarter (including the quarter in which a Limited Partner is admitted), the Management Fee is prorated based on the actual number of days in such partial quarter divided by the total days in the full quarter. At a projected AUM of $1 billion with a representative class mix, the blended effective management fee is estimated at approximately 1.0% per annum.</w:t>
      </w:r>
    </w:p>
    <w:p>
      <w:pPr>
        <w:pStyle w:val="Heading2"/>
      </w:pPr>
      <w:r>
        <w:rPr>
          <w:b/>
          <w:bCs/>
        </w:rPr>
        <w:t xml:space="preserve">4.2. Performance Allocation</w:t>
      </w:r>
    </w:p>
    <w:p>
      <w:pPr>
        <w:spacing w:after="200" w:before="0"/>
        <w:jc w:val="both"/>
      </w:pPr>
      <w:r>
        <w:rPr>
          <w:rFonts w:ascii="Times New Roman" w:cs="Times New Roman" w:eastAsia="Times New Roman" w:hAnsi="Times New Roman"/>
          <w:sz w:val="24"/>
          <w:szCs w:val="24"/>
        </w:rPr>
        <w:t xml:space="preserve">As of the end of each fiscal year (the "Performance Period"), the General Partner is allocated fifteen percent (15%) of the net appreciation in each Limited Partner's Capital Account in excess of the Hurdle Rate, subject to the High-Water Mark.</w:t>
      </w:r>
    </w:p>
    <w:p>
      <w:pPr>
        <w:spacing w:after="200" w:before="0"/>
        <w:jc w:val="both"/>
      </w:pPr>
      <w:r>
        <w:rPr>
          <w:rFonts w:ascii="Times New Roman" w:cs="Times New Roman" w:eastAsia="Times New Roman" w:hAnsi="Times New Roman"/>
          <w:b/>
          <w:bCs/>
          <w:sz w:val="24"/>
          <w:szCs w:val="24"/>
        </w:rPr>
        <w:t xml:space="preserve">Hurdle Rate:</w:t>
      </w:r>
    </w:p>
    <w:p>
      <w:pPr>
        <w:spacing w:after="200" w:before="0"/>
        <w:jc w:val="both"/>
      </w:pPr>
      <w:r>
        <w:rPr>
          <w:rFonts w:ascii="Times New Roman" w:cs="Times New Roman" w:eastAsia="Times New Roman" w:hAnsi="Times New Roman"/>
          <w:sz w:val="24"/>
          <w:szCs w:val="24"/>
        </w:rPr>
        <w:t xml:space="preserve">The Hurdle Rate is the total return of the MSCI All Country World Index (ACWI) plus two hundred basis points (+200 bps), calculated on a cumulative, compounding basis from the later of: (i) the date of the Limited Partner's admission to the Fund; or (ii) the date on which the most recent High-Water Mark was established. The Hurdle Rate represents a demanding performance threshold: the General Partner earns no performance allocation unless it delivers returns exceeding the global equity market plus a meaningful premium.</w:t>
      </w:r>
    </w:p>
    <w:p>
      <w:pPr>
        <w:spacing w:after="200" w:before="0"/>
        <w:jc w:val="both"/>
      </w:pPr>
      <w:r>
        <w:rPr>
          <w:rFonts w:ascii="Times New Roman" w:cs="Times New Roman" w:eastAsia="Times New Roman" w:hAnsi="Times New Roman"/>
          <w:b/>
          <w:bCs/>
          <w:sz w:val="24"/>
          <w:szCs w:val="24"/>
        </w:rPr>
        <w:t xml:space="preserve">High-Water Mark:</w:t>
      </w:r>
    </w:p>
    <w:p>
      <w:pPr>
        <w:spacing w:after="200" w:before="0"/>
        <w:jc w:val="both"/>
      </w:pPr>
      <w:r>
        <w:rPr>
          <w:rFonts w:ascii="Times New Roman" w:cs="Times New Roman" w:eastAsia="Times New Roman" w:hAnsi="Times New Roman"/>
          <w:sz w:val="24"/>
          <w:szCs w:val="24"/>
        </w:rPr>
        <w:t xml:space="preserve">A permanent High-Water Mark is maintained for each Limited Partner's Capital Account. No Performance Allocation is made with respect to any Limited Partner's account unless and until the Adjusted NAV per Interest attributable to that account exceeds the highest Adjusted NAV per Interest achieved as of the end of any prior Performance Period since such Limited Partner's admission. The High-Water Mark is permanent and never resets. This ensures the General Partner cannot earn performance fees on recovery of previously lost capital.</w:t>
      </w:r>
    </w:p>
    <w:p>
      <w:pPr>
        <w:spacing w:after="200" w:before="0"/>
        <w:jc w:val="both"/>
      </w:pPr>
      <w:r>
        <w:rPr>
          <w:rFonts w:ascii="Times New Roman" w:cs="Times New Roman" w:eastAsia="Times New Roman" w:hAnsi="Times New Roman"/>
          <w:b/>
          <w:bCs/>
          <w:sz w:val="24"/>
          <w:szCs w:val="24"/>
        </w:rPr>
        <w:t xml:space="preserve">Crystallization:</w:t>
      </w:r>
    </w:p>
    <w:p>
      <w:pPr>
        <w:spacing w:after="200" w:before="0"/>
        <w:jc w:val="both"/>
      </w:pPr>
      <w:r>
        <w:rPr>
          <w:rFonts w:ascii="Times New Roman" w:cs="Times New Roman" w:eastAsia="Times New Roman" w:hAnsi="Times New Roman"/>
          <w:sz w:val="24"/>
          <w:szCs w:val="24"/>
        </w:rPr>
        <w:t xml:space="preserve">The Performance Allocation crystallizes (becomes irrevocable and is allocated to the General Partner's Capital Account) as of the last day of each fiscal year. Once crystallized, a Performance Allocation is not subject to clawback. However, because the High-Water Mark is permanent and cumulative, the General Partner bears the economic consequence of any subsequent underperformance through the requirement to recover all prior losses before any future Performance Allocation can be earned.</w:t>
      </w:r>
    </w:p>
    <w:p>
      <w:pPr>
        <w:spacing w:after="200" w:before="0"/>
        <w:jc w:val="both"/>
      </w:pPr>
      <w:r>
        <w:rPr>
          <w:rFonts w:ascii="Times New Roman" w:cs="Times New Roman" w:eastAsia="Times New Roman" w:hAnsi="Times New Roman"/>
          <w:b/>
          <w:bCs/>
          <w:sz w:val="24"/>
          <w:szCs w:val="24"/>
        </w:rPr>
        <w:t xml:space="preserve">Class F Exemption:</w:t>
      </w:r>
    </w:p>
    <w:p>
      <w:pPr>
        <w:spacing w:after="200" w:before="0"/>
        <w:jc w:val="both"/>
      </w:pPr>
      <w:r>
        <w:rPr>
          <w:rFonts w:ascii="Times New Roman" w:cs="Times New Roman" w:eastAsia="Times New Roman" w:hAnsi="Times New Roman"/>
          <w:sz w:val="24"/>
          <w:szCs w:val="24"/>
        </w:rPr>
        <w:t xml:space="preserve">Class F Interests held by the Founder and the General Partner are exempt from all Management Fees and all Performance Allocations, ensuring that the GP's co-investment capital bears the same market risk as LP capital at the lowest possible cost, with no economic extraction.</w:t>
      </w:r>
    </w:p>
    <w:p>
      <w:pPr>
        <w:pStyle w:val="Heading2"/>
      </w:pPr>
      <w:r>
        <w:rPr>
          <w:b/>
          <w:bCs/>
        </w:rPr>
        <w:t xml:space="preserve">4.3. GP Co-Investment</w:t>
      </w:r>
    </w:p>
    <w:p>
      <w:pPr>
        <w:spacing w:after="200" w:before="0"/>
        <w:jc w:val="both"/>
      </w:pPr>
      <w:r>
        <w:rPr>
          <w:rFonts w:ascii="Times New Roman" w:cs="Times New Roman" w:eastAsia="Times New Roman" w:hAnsi="Times New Roman"/>
          <w:sz w:val="24"/>
          <w:szCs w:val="24"/>
        </w:rPr>
        <w:t xml:space="preserve">The General Partner commits a minimum of Five Million Dollars ($5,000,000) to the Fund as Class F Interests (the "GP Co-Investment"). The GP Co-Investment is: (a) first-in: contributed before any LP capital, demonstrating conviction and alignment; (b) last-out: returned only after all LP capital has been returned upon dissolution; (c) zero fee: bearing no management fee and no performance allocation; and (d) unrestricted: the Founder may redeem Class F Interests at any time without lock-up, gate, or penalty — though the Founder has no present intention to do so, as the GP Co-Investment is intended to be permanent.</w:t>
      </w:r>
    </w:p>
    <w:p>
      <w:pPr>
        <w:pStyle w:val="Heading2"/>
      </w:pPr>
      <w:r>
        <w:rPr>
          <w:b/>
          <w:bCs/>
        </w:rPr>
        <w:t xml:space="preserve">4.4. Fund Expenses</w:t>
      </w:r>
    </w:p>
    <w:p>
      <w:pPr>
        <w:spacing w:after="200" w:before="0"/>
        <w:jc w:val="both"/>
      </w:pPr>
      <w:r>
        <w:rPr>
          <w:rFonts w:ascii="Times New Roman" w:cs="Times New Roman" w:eastAsia="Times New Roman" w:hAnsi="Times New Roman"/>
          <w:sz w:val="24"/>
          <w:szCs w:val="24"/>
        </w:rPr>
        <w:t xml:space="preserve">The Fund bears all costs and expenses of its operations, including without limitation:</w:t>
      </w:r>
    </w:p>
    <w:p>
      <w:pPr>
        <w:spacing w:after="200" w:before="0"/>
        <w:ind w:left="720"/>
        <w:jc w:val="both"/>
      </w:pPr>
      <w:r>
        <w:rPr>
          <w:rFonts w:ascii="Times New Roman" w:cs="Times New Roman" w:eastAsia="Times New Roman" w:hAnsi="Times New Roman"/>
          <w:sz w:val="24"/>
          <w:szCs w:val="24"/>
        </w:rPr>
        <w:t xml:space="preserve">(a) Brokerage commissions, clearing fees, exchange fees, and other transaction costs;</w:t>
      </w:r>
    </w:p>
    <w:p>
      <w:pPr>
        <w:spacing w:after="200" w:before="0"/>
        <w:ind w:left="720"/>
        <w:jc w:val="both"/>
      </w:pPr>
      <w:r>
        <w:rPr>
          <w:rFonts w:ascii="Times New Roman" w:cs="Times New Roman" w:eastAsia="Times New Roman" w:hAnsi="Times New Roman"/>
          <w:sz w:val="24"/>
          <w:szCs w:val="24"/>
        </w:rPr>
        <w:t xml:space="preserve">(b) Prime brokerage fees, margin interest, and securities lending costs;</w:t>
      </w:r>
    </w:p>
    <w:p>
      <w:pPr>
        <w:spacing w:after="200" w:before="0"/>
        <w:ind w:left="720"/>
        <w:jc w:val="both"/>
      </w:pPr>
      <w:r>
        <w:rPr>
          <w:rFonts w:ascii="Times New Roman" w:cs="Times New Roman" w:eastAsia="Times New Roman" w:hAnsi="Times New Roman"/>
          <w:sz w:val="24"/>
          <w:szCs w:val="24"/>
        </w:rPr>
        <w:t xml:space="preserve">(c) Legal fees and expenses, including the fees of McDermott Will &amp; Emery LLP;</w:t>
      </w:r>
    </w:p>
    <w:p>
      <w:pPr>
        <w:spacing w:after="200" w:before="0"/>
        <w:ind w:left="720"/>
        <w:jc w:val="both"/>
      </w:pPr>
      <w:r>
        <w:rPr>
          <w:rFonts w:ascii="Times New Roman" w:cs="Times New Roman" w:eastAsia="Times New Roman" w:hAnsi="Times New Roman"/>
          <w:sz w:val="24"/>
          <w:szCs w:val="24"/>
        </w:rPr>
        <w:t xml:space="preserve">(d) Audit and tax preparation fees;</w:t>
      </w:r>
    </w:p>
    <w:p>
      <w:pPr>
        <w:spacing w:after="200" w:before="0"/>
        <w:ind w:left="720"/>
        <w:jc w:val="both"/>
      </w:pPr>
      <w:r>
        <w:rPr>
          <w:rFonts w:ascii="Times New Roman" w:cs="Times New Roman" w:eastAsia="Times New Roman" w:hAnsi="Times New Roman"/>
          <w:sz w:val="24"/>
          <w:szCs w:val="24"/>
        </w:rPr>
        <w:t xml:space="preserve">(e) Fund administration and accounting fees;</w:t>
      </w:r>
    </w:p>
    <w:p>
      <w:pPr>
        <w:spacing w:after="200" w:before="0"/>
        <w:ind w:left="720"/>
        <w:jc w:val="both"/>
      </w:pPr>
      <w:r>
        <w:rPr>
          <w:rFonts w:ascii="Times New Roman" w:cs="Times New Roman" w:eastAsia="Times New Roman" w:hAnsi="Times New Roman"/>
          <w:sz w:val="24"/>
          <w:szCs w:val="24"/>
        </w:rPr>
        <w:t xml:space="preserve">(f) Regulatory filing fees (SEC, CIMA, FSRA, MAS);</w:t>
      </w:r>
    </w:p>
    <w:p>
      <w:pPr>
        <w:spacing w:after="200" w:before="0"/>
        <w:ind w:left="720"/>
        <w:jc w:val="both"/>
      </w:pPr>
      <w:r>
        <w:rPr>
          <w:rFonts w:ascii="Times New Roman" w:cs="Times New Roman" w:eastAsia="Times New Roman" w:hAnsi="Times New Roman"/>
          <w:sz w:val="24"/>
          <w:szCs w:val="24"/>
        </w:rPr>
        <w:t xml:space="preserve">(g) Directors' and officers' and errors and omissions insurance premiums;</w:t>
      </w:r>
    </w:p>
    <w:p>
      <w:pPr>
        <w:spacing w:after="200" w:before="0"/>
        <w:ind w:left="720"/>
        <w:jc w:val="both"/>
      </w:pPr>
      <w:r>
        <w:rPr>
          <w:rFonts w:ascii="Times New Roman" w:cs="Times New Roman" w:eastAsia="Times New Roman" w:hAnsi="Times New Roman"/>
          <w:sz w:val="24"/>
          <w:szCs w:val="24"/>
        </w:rPr>
        <w:t xml:space="preserve">(h) Technology infrastructure and data service costs related to the DNSA Engine;</w:t>
      </w:r>
    </w:p>
    <w:p>
      <w:pPr>
        <w:spacing w:after="200" w:before="0"/>
        <w:ind w:left="720"/>
        <w:jc w:val="both"/>
      </w:pPr>
      <w:r>
        <w:rPr>
          <w:rFonts w:ascii="Times New Roman" w:cs="Times New Roman" w:eastAsia="Times New Roman" w:hAnsi="Times New Roman"/>
          <w:sz w:val="24"/>
          <w:szCs w:val="24"/>
        </w:rPr>
        <w:t xml:space="preserve">(i) Investor relations and reporting costs;</w:t>
      </w:r>
    </w:p>
    <w:p>
      <w:pPr>
        <w:spacing w:after="200" w:before="0"/>
        <w:ind w:left="720"/>
        <w:jc w:val="both"/>
      </w:pPr>
      <w:r>
        <w:rPr>
          <w:rFonts w:ascii="Times New Roman" w:cs="Times New Roman" w:eastAsia="Times New Roman" w:hAnsi="Times New Roman"/>
          <w:sz w:val="24"/>
          <w:szCs w:val="24"/>
        </w:rPr>
        <w:t xml:space="preserve">(j) Any taxes, duties, or governmental charges imposed on the Fund or its assets; and</w:t>
      </w:r>
    </w:p>
    <w:p>
      <w:pPr>
        <w:spacing w:after="200" w:before="0"/>
        <w:ind w:left="720"/>
        <w:jc w:val="both"/>
      </w:pPr>
      <w:r>
        <w:rPr>
          <w:rFonts w:ascii="Times New Roman" w:cs="Times New Roman" w:eastAsia="Times New Roman" w:hAnsi="Times New Roman"/>
          <w:sz w:val="24"/>
          <w:szCs w:val="24"/>
        </w:rPr>
        <w:t xml:space="preserve">(k) Organizational expenses of the Fund and each Feeder Fund.</w:t>
      </w:r>
    </w:p>
    <w:p>
      <w:pPr>
        <w:pStyle w:val="Heading2"/>
      </w:pPr>
      <w:r>
        <w:rPr>
          <w:b/>
          <w:bCs/>
        </w:rPr>
        <w:t xml:space="preserve">4.5. Fee Transparency</w:t>
      </w:r>
    </w:p>
    <w:p>
      <w:pPr>
        <w:spacing w:after="200" w:before="0"/>
        <w:jc w:val="both"/>
      </w:pPr>
      <w:r>
        <w:rPr>
          <w:rFonts w:ascii="Times New Roman" w:cs="Times New Roman" w:eastAsia="Times New Roman" w:hAnsi="Times New Roman"/>
          <w:sz w:val="24"/>
          <w:szCs w:val="24"/>
        </w:rPr>
        <w:t xml:space="preserve">The General Partner provides each Limited Partner with a quarterly fee statement disclosing: (a) the Management Fee rate and amount charged for the quarter; (b) the cumulative High-Water Mark; (c) the cumulative Hurdle Rate threshold; (d) any Performance Allocation calculated or crystallized; and (e) all Fund-level expenses allocated to such Limited Partner's Capital Account. This level of fee transparency exceeds standard industry practice and is designed to build institutional-grade trust with LPs.</w:t>
      </w:r>
    </w:p>
    <w:p>
      <w:r>
        <w:br w:type="page"/>
      </w:r>
    </w:p>
    <w:p>
      <w:pPr>
        <w:pStyle w:val="Heading1"/>
      </w:pPr>
      <w:r>
        <w:rPr>
          <w:b/>
          <w:bCs/>
        </w:rPr>
        <w:t xml:space="preserve">V. RISK FACTORS</w:t>
      </w:r>
    </w:p>
    <w:p>
      <w:pPr>
        <w:spacing w:after="200" w:before="0"/>
        <w:jc w:val="both"/>
      </w:pPr>
      <w:r>
        <w:rPr>
          <w:rFonts w:ascii="Times New Roman" w:cs="Times New Roman" w:eastAsia="Times New Roman" w:hAnsi="Times New Roman"/>
          <w:b/>
          <w:bCs/>
          <w:sz w:val="22"/>
          <w:szCs w:val="22"/>
        </w:rPr>
        <w:t xml:space="preserve">AN INVESTMENT IN THE FUND INVOLVES A HIGH DEGREE OF RISK AND IS SUITABLE ONLY FOR SOPHISTICATED INVESTORS WHO CAN BEAR THE RISK OF A SUBSTANTIAL LOSS OF THEIR ENTIRE INVESTMENT. THERE CAN BE NO ASSURANCE THAT THE FUND WILL ACHIEVE ITS INVESTMENT OBJECTIVE OR THAT LIMITED PARTNERS WILL RECEIVE ANY RETURN ON THEIR INVESTMENT. PROSPECTIVE INVESTORS SHOULD CAREFULLY CONSIDER THE FOLLOWING RISK FACTORS, IN ADDITION TO ALL OTHER INFORMATION IN THIS MEMORANDUM AND THE LPA, BEFORE MAKING AN INVESTMENT DECISION.</w:t>
      </w:r>
    </w:p>
    <w:p>
      <w:pPr>
        <w:pStyle w:val="Heading2"/>
      </w:pPr>
      <w:r>
        <w:rPr>
          <w:b/>
          <w:bCs/>
        </w:rPr>
        <w:t xml:space="preserve">5.1. No Operating History</w:t>
      </w:r>
    </w:p>
    <w:p>
      <w:pPr>
        <w:spacing w:after="200" w:before="0"/>
        <w:jc w:val="both"/>
      </w:pPr>
      <w:r>
        <w:rPr>
          <w:rFonts w:ascii="Times New Roman" w:cs="Times New Roman" w:eastAsia="Times New Roman" w:hAnsi="Times New Roman"/>
          <w:sz w:val="24"/>
          <w:szCs w:val="24"/>
        </w:rPr>
        <w:t xml:space="preserve">The Fund is newly formed and has no operating history or track record. The Fund's investment strategy, while grounded in well-established financial principles, has not been implemented in a live fund format. Past performance of the Founder in prior professional capacities is not indicative of the Fund's future results. Projected, hypothetical, backtested, or simulated performance results have inherent limitations, do not represent actual trading, and may not account for all material economic and market factors.</w:t>
      </w:r>
    </w:p>
    <w:p>
      <w:pPr>
        <w:pStyle w:val="Heading2"/>
      </w:pPr>
      <w:r>
        <w:rPr>
          <w:b/>
          <w:bCs/>
        </w:rPr>
        <w:t xml:space="preserve">5.2. Concentration Risk</w:t>
      </w:r>
    </w:p>
    <w:p>
      <w:pPr>
        <w:spacing w:after="200" w:before="0"/>
        <w:jc w:val="both"/>
      </w:pPr>
      <w:r>
        <w:rPr>
          <w:rFonts w:ascii="Times New Roman" w:cs="Times New Roman" w:eastAsia="Times New Roman" w:hAnsi="Times New Roman"/>
          <w:sz w:val="24"/>
          <w:szCs w:val="24"/>
        </w:rPr>
        <w:t xml:space="preserve">The Fund maintains a concentrated portfolio of no more than twenty-seven (27) equity positions (Iron Rule 5). Concentration magnifies both gains and losses. A material adverse development affecting one or more Aces — which may individually represent 15-25% or more of the Equity Sleeve — could have a disproportionate negative impact on the Fund's NAV. The Fund's concentration is intentional and reflects the General Partner's conviction-based approach, but it results in materially higher position-specific risk than a diversified portfolio.</w:t>
      </w:r>
    </w:p>
    <w:p>
      <w:pPr>
        <w:pStyle w:val="Heading2"/>
      </w:pPr>
      <w:r>
        <w:rPr>
          <w:b/>
          <w:bCs/>
        </w:rPr>
        <w:t xml:space="preserve">5.3. Options Risks</w:t>
      </w:r>
    </w:p>
    <w:p>
      <w:pPr>
        <w:spacing w:after="200" w:before="0"/>
        <w:jc w:val="both"/>
      </w:pPr>
      <w:r>
        <w:rPr>
          <w:rFonts w:ascii="Times New Roman" w:cs="Times New Roman" w:eastAsia="Times New Roman" w:hAnsi="Times New Roman"/>
          <w:b/>
          <w:bCs/>
          <w:sz w:val="24"/>
          <w:szCs w:val="24"/>
        </w:rPr>
        <w:t xml:space="preserve">5.3.1. Covered Call Risk:</w:t>
      </w:r>
    </w:p>
    <w:p>
      <w:pPr>
        <w:spacing w:after="200" w:before="0"/>
        <w:jc w:val="both"/>
      </w:pPr>
      <w:r>
        <w:rPr>
          <w:rFonts w:ascii="Times New Roman" w:cs="Times New Roman" w:eastAsia="Times New Roman" w:hAnsi="Times New Roman"/>
          <w:sz w:val="24"/>
          <w:szCs w:val="24"/>
        </w:rPr>
        <w:t xml:space="preserve">Selling covered calls limits the Fund's participation in upside price movements above the strike price. In strongly and rapidly rising markets, the Fund may underperform a fully invested, unhedged equity portfolio. If covered calls are assigned, the Fund's obligation to repurchase shares (Iron Rule 1) may result in repurchase at higher prices than the strike at which shares were called away, creating a net loss on the round trip.</w:t>
      </w:r>
    </w:p>
    <w:p>
      <w:pPr>
        <w:spacing w:after="200" w:before="0"/>
        <w:jc w:val="both"/>
      </w:pPr>
      <w:r>
        <w:rPr>
          <w:rFonts w:ascii="Times New Roman" w:cs="Times New Roman" w:eastAsia="Times New Roman" w:hAnsi="Times New Roman"/>
          <w:b/>
          <w:bCs/>
          <w:sz w:val="24"/>
          <w:szCs w:val="24"/>
        </w:rPr>
        <w:t xml:space="preserve">5.3.2. Cash-Secured Put Risk:</w:t>
      </w:r>
    </w:p>
    <w:p>
      <w:pPr>
        <w:spacing w:after="200" w:before="0"/>
        <w:jc w:val="both"/>
      </w:pPr>
      <w:r>
        <w:rPr>
          <w:rFonts w:ascii="Times New Roman" w:cs="Times New Roman" w:eastAsia="Times New Roman" w:hAnsi="Times New Roman"/>
          <w:sz w:val="24"/>
          <w:szCs w:val="24"/>
        </w:rPr>
        <w:t xml:space="preserve">Selling cash-secured puts exposes the Fund to the obligation to purchase shares at the strike price, which may be significantly above the market price at the time of assignment. In a severe and sustained market decline, the Fund may be assigned shares at prices that result in immediate mark-to-market losses, while the T-Bill collateral securing such puts is consumed.</w:t>
      </w:r>
    </w:p>
    <w:p>
      <w:pPr>
        <w:spacing w:after="200" w:before="0"/>
        <w:jc w:val="both"/>
      </w:pPr>
      <w:r>
        <w:rPr>
          <w:rFonts w:ascii="Times New Roman" w:cs="Times New Roman" w:eastAsia="Times New Roman" w:hAnsi="Times New Roman"/>
          <w:b/>
          <w:bCs/>
          <w:sz w:val="24"/>
          <w:szCs w:val="24"/>
        </w:rPr>
        <w:t xml:space="preserve">5.3.3. Assignment Risk:</w:t>
      </w:r>
    </w:p>
    <w:p>
      <w:pPr>
        <w:spacing w:after="200" w:before="0"/>
        <w:jc w:val="both"/>
      </w:pPr>
      <w:r>
        <w:rPr>
          <w:rFonts w:ascii="Times New Roman" w:cs="Times New Roman" w:eastAsia="Times New Roman" w:hAnsi="Times New Roman"/>
          <w:sz w:val="24"/>
          <w:szCs w:val="24"/>
        </w:rPr>
        <w:t xml:space="preserve">Options may be exercised at any time prior to expiration (American-style options). Simultaneous assignment of multiple options positions during periods of market stress could consume T-Bill collateral faster than anticipated and require the Fund to utilize Equity Sleeve leverage capacity to fund repurchases, potentially approaching leverage limits.</w:t>
      </w:r>
    </w:p>
    <w:p>
      <w:pPr>
        <w:spacing w:after="200" w:before="0"/>
        <w:jc w:val="both"/>
      </w:pPr>
      <w:r>
        <w:rPr>
          <w:rFonts w:ascii="Times New Roman" w:cs="Times New Roman" w:eastAsia="Times New Roman" w:hAnsi="Times New Roman"/>
          <w:b/>
          <w:bCs/>
          <w:sz w:val="24"/>
          <w:szCs w:val="24"/>
        </w:rPr>
        <w:t xml:space="preserve">5.3.4. Volatility Risk:</w:t>
      </w:r>
    </w:p>
    <w:p>
      <w:pPr>
        <w:spacing w:after="200" w:before="0"/>
        <w:jc w:val="both"/>
      </w:pPr>
      <w:r>
        <w:rPr>
          <w:rFonts w:ascii="Times New Roman" w:cs="Times New Roman" w:eastAsia="Times New Roman" w:hAnsi="Times New Roman"/>
          <w:sz w:val="24"/>
          <w:szCs w:val="24"/>
        </w:rPr>
        <w:t xml:space="preserve">The Fund's options strategies are sensitive to changes in implied volatility. A sustained decline in implied volatility would reduce the premium available from covered call writing and put selling, potentially diminishing the DRIP-ON reinvestment fuel and slowing the rate of share accumulation.</w:t>
      </w:r>
    </w:p>
    <w:p>
      <w:pPr>
        <w:spacing w:after="200" w:before="0"/>
        <w:jc w:val="both"/>
      </w:pPr>
      <w:r>
        <w:rPr>
          <w:rFonts w:ascii="Times New Roman" w:cs="Times New Roman" w:eastAsia="Times New Roman" w:hAnsi="Times New Roman"/>
          <w:b/>
          <w:bCs/>
          <w:sz w:val="24"/>
          <w:szCs w:val="24"/>
        </w:rPr>
        <w:t xml:space="preserve">5.3.5. Liquidity and Execution Risk in Options:</w:t>
      </w:r>
    </w:p>
    <w:p>
      <w:pPr>
        <w:spacing w:after="200" w:before="0"/>
        <w:jc w:val="both"/>
      </w:pPr>
      <w:r>
        <w:rPr>
          <w:rFonts w:ascii="Times New Roman" w:cs="Times New Roman" w:eastAsia="Times New Roman" w:hAnsi="Times New Roman"/>
          <w:sz w:val="24"/>
          <w:szCs w:val="24"/>
        </w:rPr>
        <w:t xml:space="preserve">While the Fund targets positions with deep options chains, market stress may reduce options liquidity, widen bid-ask spreads, and impair the Fund's ability to execute or roll options positions at favorable prices.</w:t>
      </w:r>
    </w:p>
    <w:p>
      <w:pPr>
        <w:pStyle w:val="Heading2"/>
      </w:pPr>
      <w:r>
        <w:rPr>
          <w:b/>
          <w:bCs/>
        </w:rPr>
        <w:t xml:space="preserve">5.4. Leverage Risk</w:t>
      </w:r>
    </w:p>
    <w:p>
      <w:pPr>
        <w:spacing w:after="200" w:before="0"/>
        <w:jc w:val="both"/>
      </w:pPr>
      <w:r>
        <w:rPr>
          <w:rFonts w:ascii="Times New Roman" w:cs="Times New Roman" w:eastAsia="Times New Roman" w:hAnsi="Times New Roman"/>
          <w:sz w:val="24"/>
          <w:szCs w:val="24"/>
        </w:rPr>
        <w:t xml:space="preserve">The Fund employs leverage against both the Equity Sleeve (up to 70% LTV) and the T-Bill Reserve (up to 99% LTV), with maximum aggregate fund-level leverage of 60%. Leverage amplifies both gains and losses. In a severe market downturn: (a) the value of the Equity Sleeve may decline while borrowed amounts remain fixed, causing effective LTV to rise toward or beyond the 70% cap; (b) margin calls from Prime Brokers may require immediate collateral pledging or position liquidation; and (c) the Fund may be forced to sell equity positions to meet margin obligations, potentially conflicting with Iron Rule 1 (Net Share Accumulation). While the Iron Rule leverage caps provide structural protection, they do not eliminate the possibility of material losses in extreme scenarios.</w:t>
      </w:r>
    </w:p>
    <w:p>
      <w:pPr>
        <w:pStyle w:val="Heading2"/>
      </w:pPr>
      <w:r>
        <w:rPr>
          <w:b/>
          <w:bCs/>
        </w:rPr>
        <w:t xml:space="preserve">5.5. Liquidity and Redemption Risk</w:t>
      </w:r>
    </w:p>
    <w:p>
      <w:pPr>
        <w:spacing w:after="200" w:before="0"/>
        <w:jc w:val="both"/>
      </w:pPr>
      <w:r>
        <w:rPr>
          <w:rFonts w:ascii="Times New Roman" w:cs="Times New Roman" w:eastAsia="Times New Roman" w:hAnsi="Times New Roman"/>
          <w:sz w:val="24"/>
          <w:szCs w:val="24"/>
        </w:rPr>
        <w:t xml:space="preserve">Limited Partners may only redeem quarterly with sixty (60) days' advance written notice. Redemptions are subject to a fifteen percent (15%) quarterly gate and may be suspended entirely during periods of market disruption. Limited Partners who redeem within twelve months of admission are subject to a 2% early redemption fee. There is no secondary market for the Interests, and transfer is restricted. Accordingly, an investment in the Fund should be considered illiquid and is suitable only for investors who do not require liquidity over the near to medium term.</w:t>
      </w:r>
    </w:p>
    <w:p>
      <w:pPr>
        <w:pStyle w:val="Heading2"/>
      </w:pPr>
      <w:r>
        <w:rPr>
          <w:b/>
          <w:bCs/>
        </w:rPr>
        <w:t xml:space="preserve">5.6. Key-Person Risk</w:t>
      </w:r>
    </w:p>
    <w:p>
      <w:pPr>
        <w:spacing w:after="200" w:before="0"/>
        <w:jc w:val="both"/>
      </w:pPr>
      <w:r>
        <w:rPr>
          <w:rFonts w:ascii="Times New Roman" w:cs="Times New Roman" w:eastAsia="Times New Roman" w:hAnsi="Times New Roman"/>
          <w:sz w:val="24"/>
          <w:szCs w:val="24"/>
        </w:rPr>
        <w:t xml:space="preserve">The Fund is substantially dependent on Manish Sainani, the Founder, who serves as the sole managing member of the General Partner and has ultimate authority over all investment and operational decisions. The departure, death, permanent disability, or incapacitation of the Founder could materially and adversely affect the Fund's operations, investment performance, and ability to attract and retain capital. While the LPA provides for succession planning, there can be no assurance that a successor would implement the Fund's strategy with comparable skill, judgment, and conviction. Prospective investors should evaluate the key-person risk carefully.</w:t>
      </w:r>
    </w:p>
    <w:p>
      <w:pPr>
        <w:pStyle w:val="Heading2"/>
      </w:pPr>
      <w:r>
        <w:rPr>
          <w:b/>
          <w:bCs/>
        </w:rPr>
        <w:t xml:space="preserve">5.7. AI and Technology System Risk</w:t>
      </w:r>
    </w:p>
    <w:p>
      <w:pPr>
        <w:spacing w:after="200" w:before="0"/>
        <w:jc w:val="both"/>
      </w:pPr>
      <w:r>
        <w:rPr>
          <w:rFonts w:ascii="Times New Roman" w:cs="Times New Roman" w:eastAsia="Times New Roman" w:hAnsi="Times New Roman"/>
          <w:sz w:val="24"/>
          <w:szCs w:val="24"/>
        </w:rPr>
        <w:t xml:space="preserve">The DNSA Engine is a proprietary, AI-first systematic trading system relying on complex algorithms, real-time data feeds, and automated execution infrastructure. Risks include: (a) software defects, bugs, or errors in the DNSA Engine's code that generate erroneous trade signals or execution failures; (b) data feed errors, delays, or interruptions from third-party providers; (c) algorithmic errors or model failures, including the possibility that the DNSA Engine's signals perform poorly in novel market conditions not represented in historical training data; (d) cybersecurity risks, including unauthorized access, data breaches, and ransomware attacks targeting the Fund's technology infrastructure; (e) infrastructure failures including server outages, network disruptions, and cloud service provider failures; and (f) the general risk that AI systems may exhibit unexpected, unintended, or poorly understood behaviors. The General Partner maintains human-in-the-loop oversight, documented parameter bounds, and override capabilities, but these controls may be insufficient to prevent losses arising from technology system failures.</w:t>
      </w:r>
    </w:p>
    <w:p>
      <w:pPr>
        <w:pStyle w:val="Heading2"/>
      </w:pPr>
      <w:r>
        <w:rPr>
          <w:b/>
          <w:bCs/>
        </w:rPr>
        <w:t xml:space="preserve">5.8. Counterparty Risk</w:t>
      </w:r>
    </w:p>
    <w:p>
      <w:pPr>
        <w:spacing w:after="200" w:before="0"/>
        <w:jc w:val="both"/>
      </w:pPr>
      <w:r>
        <w:rPr>
          <w:rFonts w:ascii="Times New Roman" w:cs="Times New Roman" w:eastAsia="Times New Roman" w:hAnsi="Times New Roman"/>
          <w:sz w:val="24"/>
          <w:szCs w:val="24"/>
        </w:rPr>
        <w:t xml:space="preserve">The Fund maintains accounts, positions, and collateral across multiple Prime Brokers and execution brokers. The failure, insolvency, or financial distress of any broker could impair the Fund's ability to access its assets, execute trades, or settle obligations. While the Fund's multi-broker architecture and the SIPC protection afforded to broker-dealer accounts provide diversification and limited protection, the Fund's assets held at any single broker remain subject to that broker's creditworthiness and solvency risk.</w:t>
      </w:r>
    </w:p>
    <w:p>
      <w:pPr>
        <w:pStyle w:val="Heading2"/>
      </w:pPr>
      <w:r>
        <w:rPr>
          <w:b/>
          <w:bCs/>
        </w:rPr>
        <w:t xml:space="preserve">5.9. Market Risk</w:t>
      </w:r>
    </w:p>
    <w:p>
      <w:pPr>
        <w:spacing w:after="200" w:before="0"/>
        <w:jc w:val="both"/>
      </w:pPr>
      <w:r>
        <w:rPr>
          <w:rFonts w:ascii="Times New Roman" w:cs="Times New Roman" w:eastAsia="Times New Roman" w:hAnsi="Times New Roman"/>
          <w:sz w:val="24"/>
          <w:szCs w:val="24"/>
        </w:rPr>
        <w:t xml:space="preserve">The Fund's equity positions are subject to all risks inherent in global equity markets, including: economic recessions, financial crises, sovereign debt events, geopolitical conflicts, pandemics, interest rate changes, inflation and deflation, currency fluctuations, regulatory changes, and general market volatility. The Fund's concentrated exposure to the world's largest cash-generating businesses provides fundamental support but does not eliminate exposure to broad market declines. In severe bear markets, the Fund's NAV may decline substantially.</w:t>
      </w:r>
    </w:p>
    <w:p>
      <w:pPr>
        <w:pStyle w:val="Heading2"/>
      </w:pPr>
      <w:r>
        <w:rPr>
          <w:b/>
          <w:bCs/>
        </w:rPr>
        <w:t xml:space="preserve">5.10. Regulatory and Legal Risk</w:t>
      </w:r>
    </w:p>
    <w:p>
      <w:pPr>
        <w:spacing w:after="200" w:before="0"/>
        <w:jc w:val="both"/>
      </w:pPr>
      <w:r>
        <w:rPr>
          <w:rFonts w:ascii="Times New Roman" w:cs="Times New Roman" w:eastAsia="Times New Roman" w:hAnsi="Times New Roman"/>
          <w:sz w:val="24"/>
          <w:szCs w:val="24"/>
        </w:rPr>
        <w:t xml:space="preserve">The Fund operates across multiple regulatory jurisdictions (Cayman Islands, United States, Singapore, ADGM/UAE) and is subject to the securities laws, tax laws, anti-money laundering regulations, and financial services regulations of each. Changes in any applicable law, regulation, or regulatory interpretation could: (a) increase the Fund's compliance costs; (b) restrict the Fund's investment activities or use of leverage; (c) alter the tax treatment of the Fund, its income, or its investors; (d) require the Fund to register under additional regulatory regimes; or (e) impose new disclosure, reporting, or operational requirements.</w:t>
      </w:r>
    </w:p>
    <w:p>
      <w:pPr>
        <w:pStyle w:val="Heading2"/>
      </w:pPr>
      <w:r>
        <w:rPr>
          <w:b/>
          <w:bCs/>
        </w:rPr>
        <w:t xml:space="preserve">5.11. Tax Risk</w:t>
      </w:r>
    </w:p>
    <w:p>
      <w:pPr>
        <w:spacing w:after="200" w:before="0"/>
        <w:jc w:val="both"/>
      </w:pPr>
      <w:r>
        <w:rPr>
          <w:rFonts w:ascii="Times New Roman" w:cs="Times New Roman" w:eastAsia="Times New Roman" w:hAnsi="Times New Roman"/>
          <w:sz w:val="24"/>
          <w:szCs w:val="24"/>
        </w:rPr>
        <w:t xml:space="preserve">The tax treatment of the Fund's investments, income allocations, and partnership structure is complex and subject to change. Risks include: (a) changes in U.S. federal income tax rates or laws affecting partnership taxation; (b) changes in the tax treatment of option premium income, which may be characterized as short-term capital gain or ordinary income; (c) changes in the tax laws of the Cayman Islands, Singapore, or the UAE that currently provide 0% tax treatment; (d) potential UBTI issues for U.S. tax-exempt investors arising from the Fund's use of leverage; (e) FATCA and CRS compliance risks; and (f) BBA partnership audit risks. Prospective investors should consult their own tax advisors regarding the specific tax consequences of an investment in the Fund.</w:t>
      </w:r>
    </w:p>
    <w:p>
      <w:pPr>
        <w:pStyle w:val="Heading2"/>
      </w:pPr>
      <w:r>
        <w:rPr>
          <w:b/>
          <w:bCs/>
        </w:rPr>
        <w:t xml:space="preserve">5.12. ERISA Risk</w:t>
      </w:r>
    </w:p>
    <w:p>
      <w:pPr>
        <w:spacing w:after="200" w:before="0"/>
        <w:jc w:val="both"/>
      </w:pPr>
      <w:r>
        <w:rPr>
          <w:rFonts w:ascii="Times New Roman" w:cs="Times New Roman" w:eastAsia="Times New Roman" w:hAnsi="Times New Roman"/>
          <w:sz w:val="24"/>
          <w:szCs w:val="24"/>
        </w:rPr>
        <w:t xml:space="preserve">If "benefit plan investors" (as defined under the U.S. Department of Labor's plan asset regulations) were to hold 25% or more of any class of the Delaware Feeder's interests, the underlying assets of the Delaware Feeder (and the Master Fund) could be deemed "plan assets" under ERISA, subjecting the General Partner to ERISA fiduciary standards and prohibited transaction rules. The General Partner monitors benefit plan investor participation and may compulsorily redeem benefit plan investors if necessary to avoid plan asset status.</w:t>
      </w:r>
    </w:p>
    <w:p>
      <w:pPr>
        <w:pStyle w:val="Heading2"/>
      </w:pPr>
      <w:r>
        <w:rPr>
          <w:b/>
          <w:bCs/>
        </w:rPr>
        <w:t xml:space="preserve">5.13. Conflicts of Interest</w:t>
      </w:r>
    </w:p>
    <w:p>
      <w:pPr>
        <w:spacing w:after="200" w:before="0"/>
        <w:jc w:val="both"/>
      </w:pPr>
      <w:r>
        <w:rPr>
          <w:rFonts w:ascii="Times New Roman" w:cs="Times New Roman" w:eastAsia="Times New Roman" w:hAnsi="Times New Roman"/>
          <w:sz w:val="24"/>
          <w:szCs w:val="24"/>
        </w:rPr>
        <w:t xml:space="preserve">The General Partner and the Founder face potential conflicts of interest including: (a) the General Partner's economic interest in growing AUM (which increases Management Fees) versus maintaining portfolio discipline; (b) the Performance Allocation incentive, which may encourage risk-taking; (c) the Founder's involvement with Hushh Technologies Corporation, a separate technology company; (d) the General Partner's authority to admit new investors and establish new share classes; (e) the General Partner's discretion in valuing positions and determining NAV; (f) potential preferential treatment of certain investors through side letters; and (g) the General Partner's role as Partnership Representative for tax purposes. The Fund's MFN provision, Advisory Committee, independent audit, quarterly fee transparency, and the Five Iron Rules are designed to mitigate these conflicts.</w:t>
      </w:r>
    </w:p>
    <w:p>
      <w:pPr>
        <w:pStyle w:val="Heading2"/>
      </w:pPr>
      <w:r>
        <w:rPr>
          <w:b/>
          <w:bCs/>
        </w:rPr>
        <w:t xml:space="preserve">5.14. Evergreen / No-Termination Risk</w:t>
      </w:r>
    </w:p>
    <w:p>
      <w:pPr>
        <w:spacing w:after="200" w:before="0"/>
        <w:jc w:val="both"/>
      </w:pPr>
      <w:r>
        <w:rPr>
          <w:rFonts w:ascii="Times New Roman" w:cs="Times New Roman" w:eastAsia="Times New Roman" w:hAnsi="Times New Roman"/>
          <w:sz w:val="24"/>
          <w:szCs w:val="24"/>
        </w:rPr>
        <w:t xml:space="preserve">The Fund has no fixed termination date and is designed to operate in perpetuity. There is no scheduled liquidity event. Limited Partners who wish to exit must use the quarterly redemption process, which is subject to gate provisions, suspension, and potential delays. The Fund's NAV per Interest may differ materially from the value that would be realized in an orderly liquidation.</w:t>
      </w:r>
    </w:p>
    <w:p>
      <w:pPr>
        <w:pStyle w:val="Heading2"/>
      </w:pPr>
      <w:r>
        <w:rPr>
          <w:b/>
          <w:bCs/>
        </w:rPr>
        <w:t xml:space="preserve">5.15. Pandemic, Force Majeure, and Systemic Risk</w:t>
      </w:r>
    </w:p>
    <w:p>
      <w:pPr>
        <w:spacing w:after="200" w:before="0"/>
        <w:jc w:val="both"/>
      </w:pPr>
      <w:r>
        <w:rPr>
          <w:rFonts w:ascii="Times New Roman" w:cs="Times New Roman" w:eastAsia="Times New Roman" w:hAnsi="Times New Roman"/>
          <w:sz w:val="24"/>
          <w:szCs w:val="24"/>
        </w:rPr>
        <w:t xml:space="preserve">The Fund's operations and investments may be materially affected by pandemics, natural disasters, wars, terrorist acts, cyberattacks on critical infrastructure, failures of major financial institutions, or other events beyond the control of the General Partner. Such events may impair market functioning, trigger extreme volatility, disrupt the Fund's technology systems, or cause the failure of one or more counterparties.</w:t>
      </w:r>
    </w:p>
    <w:p>
      <w:r>
        <w:br w:type="page"/>
      </w:r>
    </w:p>
    <w:p>
      <w:pPr>
        <w:pStyle w:val="Heading1"/>
      </w:pPr>
      <w:r>
        <w:rPr>
          <w:b/>
          <w:bCs/>
        </w:rPr>
        <w:t xml:space="preserve">VI. SUBSCRIPTIONS AND ADMISSIONS</w:t>
      </w:r>
    </w:p>
    <w:p>
      <w:pPr>
        <w:pStyle w:val="Heading2"/>
      </w:pPr>
      <w:r>
        <w:rPr>
          <w:b/>
          <w:bCs/>
        </w:rPr>
        <w:t xml:space="preserve">6.1. Eligible Investors</w:t>
      </w:r>
    </w:p>
    <w:p>
      <w:pPr>
        <w:spacing w:after="200" w:before="0"/>
        <w:jc w:val="both"/>
      </w:pPr>
      <w:r>
        <w:rPr>
          <w:rFonts w:ascii="Times New Roman" w:cs="Times New Roman" w:eastAsia="Times New Roman" w:hAnsi="Times New Roman"/>
          <w:sz w:val="24"/>
          <w:szCs w:val="24"/>
        </w:rPr>
        <w:t xml:space="preserve">Interests are offered exclusively to investors who: (a) are "Qualified Purchasers" as defined in Section 2(a)(51) of the 1940 Act (for Class A through Class I Interests); or (b) are "Accredited Investors" as defined in Regulation D (for Class S and Class F Interests only). Non-U.S. persons investing through the Singapore VCC or ADGM Feeder must satisfy equivalent suitability requirements under the applicable regulations of MAS or FSRA.</w:t>
      </w:r>
    </w:p>
    <w:p>
      <w:pPr>
        <w:pStyle w:val="Heading2"/>
      </w:pPr>
      <w:r>
        <w:rPr>
          <w:b/>
          <w:bCs/>
        </w:rPr>
        <w:t xml:space="preserve">6.2. Minimum Investments</w:t>
      </w:r>
    </w:p>
    <w:p>
      <w:pPr>
        <w:spacing w:after="200" w:before="0"/>
        <w:jc w:val="both"/>
      </w:pPr>
      <w:r>
        <w:rPr>
          <w:rFonts w:ascii="Times New Roman" w:cs="Times New Roman" w:eastAsia="Times New Roman" w:hAnsi="Times New Roman"/>
          <w:sz w:val="24"/>
          <w:szCs w:val="24"/>
        </w:rPr>
        <w:t xml:space="preserve">Class A: $1,000,000; Class B: $10,000,000; Class C: $5,000,000; Class I: $50,000,000; Class S: None (limited to staff and GP affiliates); Class F: None (limited to Founder and GP). The General Partner may waive or reduce the minimum investment requirement for any prospective investor in its sole discretion.</w:t>
      </w:r>
    </w:p>
    <w:p>
      <w:pPr>
        <w:pStyle w:val="Heading2"/>
      </w:pPr>
      <w:r>
        <w:rPr>
          <w:b/>
          <w:bCs/>
        </w:rPr>
        <w:t xml:space="preserve">6.3. Subscription Process</w:t>
      </w:r>
    </w:p>
    <w:p>
      <w:pPr>
        <w:spacing w:after="200" w:before="0"/>
        <w:ind w:left="720"/>
        <w:jc w:val="both"/>
      </w:pPr>
      <w:r>
        <w:rPr>
          <w:rFonts w:ascii="Times New Roman" w:cs="Times New Roman" w:eastAsia="Times New Roman" w:hAnsi="Times New Roman"/>
          <w:sz w:val="24"/>
          <w:szCs w:val="24"/>
        </w:rPr>
        <w:t xml:space="preserve">(a) Receipt and review of this Memorandum and the applicable LPA.</w:t>
      </w:r>
    </w:p>
    <w:p>
      <w:pPr>
        <w:spacing w:after="200" w:before="0"/>
        <w:ind w:left="720"/>
        <w:jc w:val="both"/>
      </w:pPr>
      <w:r>
        <w:rPr>
          <w:rFonts w:ascii="Times New Roman" w:cs="Times New Roman" w:eastAsia="Times New Roman" w:hAnsi="Times New Roman"/>
          <w:sz w:val="24"/>
          <w:szCs w:val="24"/>
        </w:rPr>
        <w:t xml:space="preserve">(b) Completion and execution of a Subscription Agreement in the form provided by the General Partner.</w:t>
      </w:r>
    </w:p>
    <w:p>
      <w:pPr>
        <w:spacing w:after="200" w:before="0"/>
        <w:ind w:left="720"/>
        <w:jc w:val="both"/>
      </w:pPr>
      <w:r>
        <w:rPr>
          <w:rFonts w:ascii="Times New Roman" w:cs="Times New Roman" w:eastAsia="Times New Roman" w:hAnsi="Times New Roman"/>
          <w:sz w:val="24"/>
          <w:szCs w:val="24"/>
        </w:rPr>
        <w:t xml:space="preserve">(c) Execution of a counterpart signature page to the applicable LPA.</w:t>
      </w:r>
    </w:p>
    <w:p>
      <w:pPr>
        <w:spacing w:after="200" w:before="0"/>
        <w:ind w:left="720"/>
        <w:jc w:val="both"/>
      </w:pPr>
      <w:r>
        <w:rPr>
          <w:rFonts w:ascii="Times New Roman" w:cs="Times New Roman" w:eastAsia="Times New Roman" w:hAnsi="Times New Roman"/>
          <w:sz w:val="24"/>
          <w:szCs w:val="24"/>
        </w:rPr>
        <w:t xml:space="preserve">(d) Completion of all AML/KYC documentation, including: government-issued identification; beneficial ownership certification; source of funds declaration; IRS Form W-9 (U.S. persons) or applicable Form W-8 (non-U.S. persons); and such other documentation as the General Partner may require.</w:t>
      </w:r>
    </w:p>
    <w:p>
      <w:pPr>
        <w:spacing w:after="200" w:before="0"/>
        <w:ind w:left="720"/>
        <w:jc w:val="both"/>
      </w:pPr>
      <w:r>
        <w:rPr>
          <w:rFonts w:ascii="Times New Roman" w:cs="Times New Roman" w:eastAsia="Times New Roman" w:hAnsi="Times New Roman"/>
          <w:sz w:val="24"/>
          <w:szCs w:val="24"/>
        </w:rPr>
        <w:t xml:space="preserve">(e) Wire transfer of the capital contribution to the designated account of the applicable Feeder Fund.</w:t>
      </w:r>
    </w:p>
    <w:p>
      <w:pPr>
        <w:spacing w:after="200" w:before="0"/>
        <w:ind w:left="720"/>
        <w:jc w:val="both"/>
      </w:pPr>
      <w:r>
        <w:rPr>
          <w:rFonts w:ascii="Times New Roman" w:cs="Times New Roman" w:eastAsia="Times New Roman" w:hAnsi="Times New Roman"/>
          <w:sz w:val="24"/>
          <w:szCs w:val="24"/>
        </w:rPr>
        <w:t xml:space="preserve">(f) Acceptance by the General Partner, which may accept or reject any subscription in whole or in part in its sole discretion without providing reasons.</w:t>
      </w:r>
    </w:p>
    <w:p>
      <w:pPr>
        <w:pStyle w:val="Heading2"/>
      </w:pPr>
      <w:r>
        <w:rPr>
          <w:b/>
          <w:bCs/>
        </w:rPr>
        <w:t xml:space="preserve">6.4. Admission Dates</w:t>
      </w:r>
    </w:p>
    <w:p>
      <w:pPr>
        <w:spacing w:after="200" w:before="0"/>
        <w:jc w:val="both"/>
      </w:pPr>
      <w:r>
        <w:rPr>
          <w:rFonts w:ascii="Times New Roman" w:cs="Times New Roman" w:eastAsia="Times New Roman" w:hAnsi="Times New Roman"/>
          <w:sz w:val="24"/>
          <w:szCs w:val="24"/>
        </w:rPr>
        <w:t xml:space="preserve">New Limited Partners are admitted as of the first Business Day of each calendar quarter, or at such other times as the General Partner may determine. The General Partner intends to process subscriptions within five (5) Business Days of receipt of complete documentation and cleared funds.</w:t>
      </w:r>
    </w:p>
    <w:p>
      <w:r>
        <w:br w:type="page"/>
      </w:r>
    </w:p>
    <w:p>
      <w:pPr>
        <w:pStyle w:val="Heading1"/>
      </w:pPr>
      <w:r>
        <w:rPr>
          <w:b/>
          <w:bCs/>
        </w:rPr>
        <w:t xml:space="preserve">VII. REDEMPTIONS AND TRANSFERS</w:t>
      </w:r>
    </w:p>
    <w:p>
      <w:pPr>
        <w:pStyle w:val="Heading2"/>
      </w:pPr>
      <w:r>
        <w:rPr>
          <w:b/>
          <w:bCs/>
        </w:rPr>
        <w:t xml:space="preserve">7.1. Redemption Terms</w:t>
      </w:r>
    </w:p>
    <w:p>
      <w:pPr>
        <w:spacing w:after="200" w:before="0"/>
        <w:jc w:val="both"/>
      </w:pPr>
      <w:r>
        <w:rPr>
          <w:rFonts w:ascii="Times New Roman" w:cs="Times New Roman" w:eastAsia="Times New Roman" w:hAnsi="Times New Roman"/>
          <w:sz w:val="24"/>
          <w:szCs w:val="24"/>
        </w:rPr>
        <w:t xml:space="preserve">Limited Partners may redeem all or a portion of their Interests as of the last Business Day of each calendar quarter, subject to: (a) written Redemption Notice delivered not less than sixty (60) calendar days prior to the Redemption Date; (b) the 15% quarterly gate (applied pro rata if aggregate redemption requests exceed 15% of NAV); (c) the General Partner's right to suspend redemptions during periods of market disruption or force majeure; and (d) the 12-month soft lock-up with 2% early redemption fee for redemptions within the first year of admission (payable to the Fund, not the GP).</w:t>
      </w:r>
    </w:p>
    <w:p>
      <w:pPr>
        <w:pStyle w:val="Heading2"/>
      </w:pPr>
      <w:r>
        <w:rPr>
          <w:b/>
          <w:bCs/>
        </w:rPr>
        <w:t xml:space="preserve">7.2. Redemption Payment</w:t>
      </w:r>
    </w:p>
    <w:p>
      <w:pPr>
        <w:spacing w:after="200" w:before="0"/>
        <w:jc w:val="both"/>
      </w:pPr>
      <w:r>
        <w:rPr>
          <w:rFonts w:ascii="Times New Roman" w:cs="Times New Roman" w:eastAsia="Times New Roman" w:hAnsi="Times New Roman"/>
          <w:sz w:val="24"/>
          <w:szCs w:val="24"/>
        </w:rPr>
        <w:t xml:space="preserve">90% of estimated redemption proceeds are paid within forty-five (45) calendar days following the Redemption Date. The remaining 10% holdback is released within thirty (30) days following delivery of the Fund's audited annual financial statements for the fiscal year in which the redemption occurs. Redemption proceeds are calculated at the Adjusted NAV per Interest as of the Redemption Date.</w:t>
      </w:r>
    </w:p>
    <w:p>
      <w:pPr>
        <w:pStyle w:val="Heading2"/>
      </w:pPr>
      <w:r>
        <w:rPr>
          <w:b/>
          <w:bCs/>
        </w:rPr>
        <w:t xml:space="preserve">7.3. In-Kind Redemptions</w:t>
      </w:r>
    </w:p>
    <w:p>
      <w:pPr>
        <w:spacing w:after="200" w:before="0"/>
        <w:jc w:val="both"/>
      </w:pPr>
      <w:r>
        <w:rPr>
          <w:rFonts w:ascii="Times New Roman" w:cs="Times New Roman" w:eastAsia="Times New Roman" w:hAnsi="Times New Roman"/>
          <w:sz w:val="24"/>
          <w:szCs w:val="24"/>
        </w:rPr>
        <w:t xml:space="preserve">The General Partner reserves the right, in its sole discretion, to satisfy all or a portion of a redemption request through an in-kind distribution of Fund assets, valued at fair market value as of the Redemption Date. The General Partner expects to use in-kind redemptions only in extraordinary circumstances where cash redemptions would be adverse to the interests of remaining Partners.</w:t>
      </w:r>
    </w:p>
    <w:p>
      <w:pPr>
        <w:pStyle w:val="Heading2"/>
      </w:pPr>
      <w:r>
        <w:rPr>
          <w:b/>
          <w:bCs/>
        </w:rPr>
        <w:t xml:space="preserve">7.4. Compulsory Redemption</w:t>
      </w:r>
    </w:p>
    <w:p>
      <w:pPr>
        <w:spacing w:after="200" w:before="0"/>
        <w:jc w:val="both"/>
      </w:pPr>
      <w:r>
        <w:rPr>
          <w:rFonts w:ascii="Times New Roman" w:cs="Times New Roman" w:eastAsia="Times New Roman" w:hAnsi="Times New Roman"/>
          <w:sz w:val="24"/>
          <w:szCs w:val="24"/>
        </w:rPr>
        <w:t xml:space="preserve">The General Partner may compulsorily redeem any Limited Partner's Interest if: (a) such LP has breached any representation, warranty, or obligation in the LPA or Subscription Agreement; (b) continued participation would cause the Fund to violate applicable law; (c) such LP fails to provide required AML/KYC, FATCA, or CRS documentation; or (d) continued participation would be adverse to the Fund or other Partners.</w:t>
      </w:r>
    </w:p>
    <w:p>
      <w:pPr>
        <w:pStyle w:val="Heading2"/>
      </w:pPr>
      <w:r>
        <w:rPr>
          <w:b/>
          <w:bCs/>
        </w:rPr>
        <w:t xml:space="preserve">7.5. Transfer Restrictions</w:t>
      </w:r>
    </w:p>
    <w:p>
      <w:pPr>
        <w:spacing w:after="200" w:before="0"/>
        <w:jc w:val="both"/>
      </w:pPr>
      <w:r>
        <w:rPr>
          <w:rFonts w:ascii="Times New Roman" w:cs="Times New Roman" w:eastAsia="Times New Roman" w:hAnsi="Times New Roman"/>
          <w:sz w:val="24"/>
          <w:szCs w:val="24"/>
        </w:rPr>
        <w:t xml:space="preserve">Interests may not be sold, assigned, transferred, pledged, or otherwise disposed of without the prior written consent of the General Partner, which may be withheld in the General Partner's sole discretion. Any purported transfer in violation of these restrictions is void. Approved transferees must satisfy all admission requirements.</w:t>
      </w:r>
    </w:p>
    <w:p>
      <w:r>
        <w:br w:type="page"/>
      </w:r>
    </w:p>
    <w:p>
      <w:pPr>
        <w:pStyle w:val="Heading1"/>
      </w:pPr>
      <w:r>
        <w:rPr>
          <w:b/>
          <w:bCs/>
        </w:rPr>
        <w:t xml:space="preserve">VIII. TAX CONSIDERATIONS</w:t>
      </w:r>
    </w:p>
    <w:p>
      <w:pPr>
        <w:spacing w:after="200" w:before="0"/>
        <w:jc w:val="both"/>
      </w:pPr>
      <w:r>
        <w:rPr>
          <w:rFonts w:ascii="Times New Roman" w:cs="Times New Roman" w:eastAsia="Times New Roman" w:hAnsi="Times New Roman"/>
          <w:b/>
          <w:bCs/>
          <w:sz w:val="22"/>
          <w:szCs w:val="22"/>
        </w:rPr>
        <w:t xml:space="preserve">THE FOLLOWING TAX DISCUSSION IS GENERAL IN NATURE AND IS NOT INTENDED TO BE A COMPREHENSIVE DESCRIPTION OF ALL TAX CONSEQUENCES OF AN INVESTMENT IN THE FUND. PROSPECTIVE INVESTORS SHOULD CONSULT THEIR OWN TAX ADVISORS REGARDING THE SPECIFIC FEDERAL, STATE, LOCAL, AND FOREIGN TAX CONSEQUENCES OF AN INVESTMENT.</w:t>
      </w:r>
    </w:p>
    <w:p>
      <w:pPr>
        <w:pStyle w:val="Heading2"/>
      </w:pPr>
      <w:r>
        <w:rPr>
          <w:b/>
          <w:bCs/>
        </w:rPr>
        <w:t xml:space="preserve">8.1. U.S. Federal Income Tax — Delaware Feeder</w:t>
      </w:r>
    </w:p>
    <w:p>
      <w:pPr>
        <w:spacing w:after="200" w:before="0"/>
        <w:jc w:val="both"/>
      </w:pPr>
      <w:r>
        <w:rPr>
          <w:rFonts w:ascii="Times New Roman" w:cs="Times New Roman" w:eastAsia="Times New Roman" w:hAnsi="Times New Roman"/>
          <w:sz w:val="24"/>
          <w:szCs w:val="24"/>
        </w:rPr>
        <w:t xml:space="preserve">The Delaware Feeder is treated as a partnership for U.S. federal income tax purposes and is not itself subject to federal income tax. Each Limited Partner's distributive share of income, gain, loss, deduction, and credit flows through to such Limited Partner and is reportable on such Partner's own tax return. The Delaware Feeder will furnish IRS Schedule K-1 to each U.S. Limited Partner within ninety (90) days following each fiscal year-end.</w:t>
      </w:r>
    </w:p>
    <w:p>
      <w:pPr>
        <w:spacing w:after="200" w:before="0"/>
        <w:jc w:val="both"/>
      </w:pPr>
      <w:r>
        <w:rPr>
          <w:rFonts w:ascii="Times New Roman" w:cs="Times New Roman" w:eastAsia="Times New Roman" w:hAnsi="Times New Roman"/>
          <w:sz w:val="24"/>
          <w:szCs w:val="24"/>
        </w:rPr>
        <w:t xml:space="preserve">The character of income from the Fund's investment activities is expected to include: (a) short-term capital gains from option premium and short-term equity trades; (b) long-term capital gains from equity positions held more than one year; (c) qualified dividend income from domestic equity holdings; (d) interest income from U.S. Treasury obligations; and (e) unrealized gain or loss from the Fund's mark-to-market valuations. The tax treatment of option premium income is complex and may vary depending on the specific options strategies employed and applicable tax elections.</w:t>
      </w:r>
    </w:p>
    <w:p>
      <w:pPr>
        <w:pStyle w:val="Heading2"/>
      </w:pPr>
      <w:r>
        <w:rPr>
          <w:b/>
          <w:bCs/>
        </w:rPr>
        <w:t xml:space="preserve">8.2. BBA Partnership Audit Rules</w:t>
      </w:r>
    </w:p>
    <w:p>
      <w:pPr>
        <w:spacing w:after="200" w:before="0"/>
        <w:jc w:val="both"/>
      </w:pPr>
      <w:r>
        <w:rPr>
          <w:rFonts w:ascii="Times New Roman" w:cs="Times New Roman" w:eastAsia="Times New Roman" w:hAnsi="Times New Roman"/>
          <w:sz w:val="24"/>
          <w:szCs w:val="24"/>
        </w:rPr>
        <w:t xml:space="preserve">The Fund is subject to the centralized partnership audit regime enacted by the Bipartisan Budget Act of 2015 (the "BBA"). The General Partner serves as the "Partnership Representative" with sole authority over all partnership-level tax proceedings. The General Partner intends to elect the "push-out" mechanism under Section 6226 of the Code if any imputed underpayment is assessed, thereby passing any tax adjustments through to the reviewed-year partners rather than paying at the partnership level.</w:t>
      </w:r>
    </w:p>
    <w:p>
      <w:pPr>
        <w:pStyle w:val="Heading2"/>
      </w:pPr>
      <w:r>
        <w:rPr>
          <w:b/>
          <w:bCs/>
        </w:rPr>
        <w:t xml:space="preserve">8.3. Non-U.S. Investors — Cayman Master Fund and Non-U.S. Feeders</w:t>
      </w:r>
    </w:p>
    <w:p>
      <w:pPr>
        <w:spacing w:after="200" w:before="0"/>
        <w:jc w:val="both"/>
      </w:pPr>
      <w:r>
        <w:rPr>
          <w:rFonts w:ascii="Times New Roman" w:cs="Times New Roman" w:eastAsia="Times New Roman" w:hAnsi="Times New Roman"/>
          <w:sz w:val="24"/>
          <w:szCs w:val="24"/>
        </w:rPr>
        <w:t xml:space="preserve">The Cayman Islands imposes no income tax, capital gains tax, withholding tax, or stamp duty on the Master Fund. Non-U.S. investors investing through the Singapore VCC or ADGM Feeder can potentially avoid U.S. tax on non-effectively connected income, subject to applicable treaty provisions. Dividend income from U.S. equities held by the Master Fund is generally subject to U.S. withholding tax at the rate of 30% (or a reduced rate under an applicable tax treaty). Interest income from U.S. Treasury obligations may be exempt from U.S. withholding tax under the portfolio interest exemption.</w:t>
      </w:r>
    </w:p>
    <w:p>
      <w:pPr>
        <w:pStyle w:val="Heading2"/>
      </w:pPr>
      <w:r>
        <w:rPr>
          <w:b/>
          <w:bCs/>
        </w:rPr>
        <w:t xml:space="preserve">8.4. FATCA and CRS</w:t>
      </w:r>
    </w:p>
    <w:p>
      <w:pPr>
        <w:spacing w:after="200" w:before="0"/>
        <w:jc w:val="both"/>
      </w:pPr>
      <w:r>
        <w:rPr>
          <w:rFonts w:ascii="Times New Roman" w:cs="Times New Roman" w:eastAsia="Times New Roman" w:hAnsi="Times New Roman"/>
          <w:sz w:val="24"/>
          <w:szCs w:val="24"/>
        </w:rPr>
        <w:t xml:space="preserve">The Fund and each Feeder Fund will comply with the Foreign Account Tax Compliance Act (FATCA) and the Common Reporting Standard (CRS). Each investor must provide the documentation required for FATCA and CRS compliance. Failure to provide such documentation may result in withholding, compulsory redemption, or other adverse consequences.</w:t>
      </w:r>
    </w:p>
    <w:p>
      <w:pPr>
        <w:pStyle w:val="Heading2"/>
      </w:pPr>
      <w:r>
        <w:rPr>
          <w:b/>
          <w:bCs/>
        </w:rPr>
        <w:t xml:space="preserve">8.5. UBTI Considerations</w:t>
      </w:r>
    </w:p>
    <w:p>
      <w:pPr>
        <w:spacing w:after="200" w:before="0"/>
        <w:jc w:val="both"/>
      </w:pPr>
      <w:r>
        <w:rPr>
          <w:rFonts w:ascii="Times New Roman" w:cs="Times New Roman" w:eastAsia="Times New Roman" w:hAnsi="Times New Roman"/>
          <w:sz w:val="24"/>
          <w:szCs w:val="24"/>
        </w:rPr>
        <w:t xml:space="preserve">U.S. tax-exempt investors (including IRAs, qualified plans, and endowments) should be aware that the Fund's use of leverage may generate unrelated business taxable income ("UBTI") allocable to such investors. Tax-exempt investors should consult their tax advisors regarding the potential UBTI implications of an investment in the Fund.</w:t>
      </w:r>
    </w:p>
    <w:p>
      <w:r>
        <w:br w:type="page"/>
      </w:r>
    </w:p>
    <w:p>
      <w:pPr>
        <w:pStyle w:val="Heading1"/>
      </w:pPr>
      <w:r>
        <w:rPr>
          <w:b/>
          <w:bCs/>
        </w:rPr>
        <w:t xml:space="preserve">IX. REPORTING AND INVESTOR RIGHTS</w:t>
      </w:r>
    </w:p>
    <w:p>
      <w:pPr>
        <w:pStyle w:val="Heading2"/>
      </w:pPr>
      <w:r>
        <w:rPr>
          <w:b/>
          <w:bCs/>
        </w:rPr>
        <w:t xml:space="preserve">9.1. Quarterly Reports</w:t>
      </w:r>
    </w:p>
    <w:p>
      <w:pPr>
        <w:spacing w:after="200" w:before="0"/>
        <w:jc w:val="both"/>
      </w:pPr>
      <w:r>
        <w:rPr>
          <w:rFonts w:ascii="Times New Roman" w:cs="Times New Roman" w:eastAsia="Times New Roman" w:hAnsi="Times New Roman"/>
          <w:sz w:val="24"/>
          <w:szCs w:val="24"/>
        </w:rPr>
        <w:t xml:space="preserve">Within forty-five (45) days following each quarter-end, the General Partner provides each Limited Partner with a quarterly report containing: (a) Fund NAV and performance attribution; (b) Alpha Bets 27 Portfolio composition with each position's FCF Contribution Weight, target weight, actual weight, and options activity; (c) DNSA Engine activity summary (calls written, puts sold, premiums collected, assignments, DRIP-ON reinvestment amounts); (d) T-Bill Reserve status including yield and put capacity utilization; (e) leverage utilization versus Iron Rule limits; (f) Management Fee and Performance Allocation calculations; (g) Fund expenses allocated to each LP; and (h) Five Iron Rules compliance certification.</w:t>
      </w:r>
    </w:p>
    <w:p>
      <w:pPr>
        <w:pStyle w:val="Heading2"/>
      </w:pPr>
      <w:r>
        <w:rPr>
          <w:b/>
          <w:bCs/>
        </w:rPr>
        <w:t xml:space="preserve">9.2. Annual Audited Financial Statements</w:t>
      </w:r>
    </w:p>
    <w:p>
      <w:pPr>
        <w:spacing w:after="200" w:before="0"/>
        <w:jc w:val="both"/>
      </w:pPr>
      <w:r>
        <w:rPr>
          <w:rFonts w:ascii="Times New Roman" w:cs="Times New Roman" w:eastAsia="Times New Roman" w:hAnsi="Times New Roman"/>
          <w:sz w:val="24"/>
          <w:szCs w:val="24"/>
        </w:rPr>
        <w:t xml:space="preserve">The Fund's annual financial statements are audited by an independent PCAOB-registered auditor and delivered to all Limited Partners within one hundred twenty (120) days following fiscal year-end. The audit satisfies the Custody Rule audit exception (17 CFR 275.206(4)-2).</w:t>
      </w:r>
    </w:p>
    <w:p>
      <w:pPr>
        <w:pStyle w:val="Heading2"/>
      </w:pPr>
      <w:r>
        <w:rPr>
          <w:b/>
          <w:bCs/>
        </w:rPr>
        <w:t xml:space="preserve">9.3. Tax Reporting</w:t>
      </w:r>
    </w:p>
    <w:p>
      <w:pPr>
        <w:spacing w:after="200" w:before="0"/>
        <w:jc w:val="both"/>
      </w:pPr>
      <w:r>
        <w:rPr>
          <w:rFonts w:ascii="Times New Roman" w:cs="Times New Roman" w:eastAsia="Times New Roman" w:hAnsi="Times New Roman"/>
          <w:sz w:val="24"/>
          <w:szCs w:val="24"/>
        </w:rPr>
        <w:t xml:space="preserve">IRS Schedule K-1 (or equivalent) is provided to each Limited Partner within ninety (90) days following fiscal year-end. Non-U.S. feeders provide applicable tax reporting under the laws of their respective jurisdictions.</w:t>
      </w:r>
    </w:p>
    <w:p>
      <w:pPr>
        <w:pStyle w:val="Heading2"/>
      </w:pPr>
      <w:r>
        <w:rPr>
          <w:b/>
          <w:bCs/>
        </w:rPr>
        <w:t xml:space="preserve">9.4. Advisory Committee</w:t>
      </w:r>
    </w:p>
    <w:p>
      <w:pPr>
        <w:spacing w:after="200" w:before="0"/>
        <w:jc w:val="both"/>
      </w:pPr>
      <w:r>
        <w:rPr>
          <w:rFonts w:ascii="Times New Roman" w:cs="Times New Roman" w:eastAsia="Times New Roman" w:hAnsi="Times New Roman"/>
          <w:sz w:val="24"/>
          <w:szCs w:val="24"/>
        </w:rPr>
        <w:t xml:space="preserve">The General Partner establishes a Limited Partner Advisory Committee of three to seven members, serving in an advisory capacity. Class I investors committing $50 million or more are entitled to appoint one representative. The Advisory Committee is consulted on conflicts of interest, valuation methodology changes, and any proposed amendments to the Five Iron Rules.</w:t>
      </w:r>
    </w:p>
    <w:p>
      <w:pPr>
        <w:pStyle w:val="Heading2"/>
      </w:pPr>
      <w:r>
        <w:rPr>
          <w:b/>
          <w:bCs/>
        </w:rPr>
        <w:t xml:space="preserve">9.5. Annual Meeting</w:t>
      </w:r>
    </w:p>
    <w:p>
      <w:pPr>
        <w:spacing w:after="200" w:before="0"/>
        <w:jc w:val="both"/>
      </w:pPr>
      <w:r>
        <w:rPr>
          <w:rFonts w:ascii="Times New Roman" w:cs="Times New Roman" w:eastAsia="Times New Roman" w:hAnsi="Times New Roman"/>
          <w:sz w:val="24"/>
          <w:szCs w:val="24"/>
        </w:rPr>
        <w:t xml:space="preserve">The General Partner holds an annual meeting (which may be virtual) to present annual results, investment outlook, and any material changes to strategy or operations.</w:t>
      </w:r>
    </w:p>
    <w:p>
      <w:pPr>
        <w:pStyle w:val="Heading2"/>
      </w:pPr>
      <w:r>
        <w:rPr>
          <w:b/>
          <w:bCs/>
        </w:rPr>
        <w:t xml:space="preserve">9.6. Books and Records</w:t>
      </w:r>
    </w:p>
    <w:p>
      <w:pPr>
        <w:spacing w:after="200" w:before="0"/>
        <w:jc w:val="both"/>
      </w:pPr>
      <w:r>
        <w:rPr>
          <w:rFonts w:ascii="Times New Roman" w:cs="Times New Roman" w:eastAsia="Times New Roman" w:hAnsi="Times New Roman"/>
          <w:sz w:val="24"/>
          <w:szCs w:val="24"/>
        </w:rPr>
        <w:t xml:space="preserve">Limited Partners may inspect the Fund's books and records during normal business hours upon reasonable advance notice.</w:t>
      </w:r>
    </w:p>
    <w:p>
      <w:r>
        <w:br w:type="page"/>
      </w:r>
    </w:p>
    <w:p>
      <w:pPr>
        <w:pStyle w:val="Heading1"/>
      </w:pPr>
      <w:r>
        <w:rPr>
          <w:b/>
          <w:bCs/>
        </w:rPr>
        <w:t xml:space="preserve">X. THE FIVE IRON RULES — CONSTITUTIONAL PROVISIONS</w:t>
      </w:r>
    </w:p>
    <w:p>
      <w:pPr>
        <w:spacing w:after="200" w:before="0"/>
        <w:jc w:val="both"/>
      </w:pPr>
      <w:r>
        <w:rPr>
          <w:rFonts w:ascii="Times New Roman" w:cs="Times New Roman" w:eastAsia="Times New Roman" w:hAnsi="Times New Roman"/>
          <w:b/>
          <w:bCs/>
          <w:sz w:val="24"/>
          <w:szCs w:val="24"/>
        </w:rPr>
        <w:t xml:space="preserve">The following Five Iron Rules are constitutional provisions of the Fund that may not be amended, modified, suspended, or waived without the prior unanimous written consent of all Partners (General Partner and every Limited Partner).</w:t>
      </w:r>
    </w:p>
    <w:p>
      <w:pPr>
        <w:spacing w:before="100"/>
      </w:pPr>
    </w:p>
    <w:p>
      <w:pPr>
        <w:spacing w:after="200" w:before="0"/>
        <w:jc w:val="both"/>
      </w:pPr>
      <w:r>
        <w:rPr>
          <w:rFonts w:ascii="Times New Roman" w:cs="Times New Roman" w:eastAsia="Times New Roman" w:hAnsi="Times New Roman"/>
          <w:b/>
          <w:bCs/>
          <w:sz w:val="24"/>
          <w:szCs w:val="24"/>
        </w:rPr>
        <w:t xml:space="preserve">IRON RULE 1 — NET SHARE ACCUMULATION</w:t>
      </w:r>
    </w:p>
    <w:p>
      <w:pPr>
        <w:spacing w:after="200" w:before="0"/>
        <w:jc w:val="both"/>
      </w:pPr>
      <w:r>
        <w:rPr>
          <w:rFonts w:ascii="Times New Roman" w:cs="Times New Roman" w:eastAsia="Times New Roman" w:hAnsi="Times New Roman"/>
          <w:sz w:val="24"/>
          <w:szCs w:val="24"/>
        </w:rPr>
        <w:t xml:space="preserve">The Fund shall never voluntarily reduce the aggregate number of shares held in any Alpha Bets 27 position. Exceptions: compulsory corporate actions; binding legal/regulatory obligations; redemption funding when the T-Bill Reserve is insufficient (minimum extent necessary only). Option assignment requires share repurchase within three (3) Business Days.</w:t>
      </w:r>
    </w:p>
    <w:p>
      <w:pPr>
        <w:spacing w:before="100"/>
      </w:pPr>
    </w:p>
    <w:p>
      <w:pPr>
        <w:spacing w:after="200" w:before="0"/>
        <w:jc w:val="both"/>
      </w:pPr>
      <w:r>
        <w:rPr>
          <w:rFonts w:ascii="Times New Roman" w:cs="Times New Roman" w:eastAsia="Times New Roman" w:hAnsi="Times New Roman"/>
          <w:b/>
          <w:bCs/>
          <w:sz w:val="24"/>
          <w:szCs w:val="24"/>
        </w:rPr>
        <w:t xml:space="preserve">IRON RULE 2 — MANDATORY T-BILL RESERVE</w:t>
      </w:r>
    </w:p>
    <w:p>
      <w:pPr>
        <w:spacing w:after="200" w:before="0"/>
        <w:jc w:val="both"/>
      </w:pPr>
      <w:r>
        <w:rPr>
          <w:rFonts w:ascii="Times New Roman" w:cs="Times New Roman" w:eastAsia="Times New Roman" w:hAnsi="Times New Roman"/>
          <w:sz w:val="24"/>
          <w:szCs w:val="24"/>
        </w:rPr>
        <w:t xml:space="preserve">The Fund shall maintain a T-Bill Reserve of not less than 20% of total assets at all times. Temporary deviations must be corrected within thirty (30) calendar days.</w:t>
      </w:r>
    </w:p>
    <w:p>
      <w:pPr>
        <w:spacing w:before="100"/>
      </w:pPr>
    </w:p>
    <w:p>
      <w:pPr>
        <w:spacing w:after="200" w:before="0"/>
        <w:jc w:val="both"/>
      </w:pPr>
      <w:r>
        <w:rPr>
          <w:rFonts w:ascii="Times New Roman" w:cs="Times New Roman" w:eastAsia="Times New Roman" w:hAnsi="Times New Roman"/>
          <w:b/>
          <w:bCs/>
          <w:sz w:val="24"/>
          <w:szCs w:val="24"/>
        </w:rPr>
        <w:t xml:space="preserve">IRON RULE 3 — DRIP-ON ALWAYS ON</w:t>
      </w:r>
    </w:p>
    <w:p>
      <w:pPr>
        <w:spacing w:after="200" w:before="0"/>
        <w:jc w:val="both"/>
      </w:pPr>
      <w:r>
        <w:rPr>
          <w:rFonts w:ascii="Times New Roman" w:cs="Times New Roman" w:eastAsia="Times New Roman" w:hAnsi="Times New Roman"/>
          <w:sz w:val="24"/>
          <w:szCs w:val="24"/>
        </w:rPr>
        <w:t xml:space="preserve">All option premium, dividend income, interest income, and other cash income shall be reinvested via DRIP-ON. No income distributions to Partners.</w:t>
      </w:r>
    </w:p>
    <w:p>
      <w:pPr>
        <w:spacing w:before="100"/>
      </w:pPr>
    </w:p>
    <w:p>
      <w:pPr>
        <w:spacing w:after="200" w:before="0"/>
        <w:jc w:val="both"/>
      </w:pPr>
      <w:r>
        <w:rPr>
          <w:rFonts w:ascii="Times New Roman" w:cs="Times New Roman" w:eastAsia="Times New Roman" w:hAnsi="Times New Roman"/>
          <w:b/>
          <w:bCs/>
          <w:sz w:val="24"/>
          <w:szCs w:val="24"/>
        </w:rPr>
        <w:t xml:space="preserve">IRON RULE 4 — LEVERAGE HARD CAPS</w:t>
      </w:r>
    </w:p>
    <w:p>
      <w:pPr>
        <w:spacing w:after="200" w:before="0"/>
        <w:jc w:val="both"/>
      </w:pPr>
      <w:r>
        <w:rPr>
          <w:rFonts w:ascii="Times New Roman" w:cs="Times New Roman" w:eastAsia="Times New Roman" w:hAnsi="Times New Roman"/>
          <w:sz w:val="24"/>
          <w:szCs w:val="24"/>
        </w:rPr>
        <w:t xml:space="preserve">Maximum 70% LTV on Equity Sleeve. Maximum 99% LTV on T-Bill Reserve. Maximum 60% aggregate fund-level leverage. No exceptions. Breaches due to market movements must be corrected within five (5) Business Days.</w:t>
      </w:r>
    </w:p>
    <w:p>
      <w:pPr>
        <w:spacing w:before="100"/>
      </w:pPr>
    </w:p>
    <w:p>
      <w:pPr>
        <w:spacing w:after="200" w:before="0"/>
        <w:jc w:val="both"/>
      </w:pPr>
      <w:r>
        <w:rPr>
          <w:rFonts w:ascii="Times New Roman" w:cs="Times New Roman" w:eastAsia="Times New Roman" w:hAnsi="Times New Roman"/>
          <w:b/>
          <w:bCs/>
          <w:sz w:val="24"/>
          <w:szCs w:val="24"/>
        </w:rPr>
        <w:t xml:space="preserve">IRON RULE 5 — CONCENTRATED EXCELLENCE</w:t>
      </w:r>
    </w:p>
    <w:p>
      <w:pPr>
        <w:spacing w:after="200" w:before="0"/>
        <w:jc w:val="both"/>
      </w:pPr>
      <w:r>
        <w:rPr>
          <w:rFonts w:ascii="Times New Roman" w:cs="Times New Roman" w:eastAsia="Times New Roman" w:hAnsi="Times New Roman"/>
          <w:sz w:val="24"/>
          <w:szCs w:val="24"/>
        </w:rPr>
        <w:t xml:space="preserve">Maximum twenty-seven (27) equity positions. Each position must meet the minimum FCF/NI threshold for its tier. Positions falling below threshold enter a twelve-month watch list.</w:t>
      </w:r>
    </w:p>
    <w:p>
      <w:pPr>
        <w:spacing w:before="200"/>
      </w:pPr>
    </w:p>
    <w:p>
      <w:pPr>
        <w:spacing w:after="200" w:before="0"/>
        <w:jc w:val="both"/>
      </w:pPr>
      <w:r>
        <w:rPr>
          <w:rFonts w:ascii="Times New Roman" w:cs="Times New Roman" w:eastAsia="Times New Roman" w:hAnsi="Times New Roman"/>
          <w:i/>
          <w:iCs/>
          <w:sz w:val="24"/>
          <w:szCs w:val="24"/>
        </w:rPr>
        <w:t xml:space="preserve">The Five Iron Rules represent the Founder's deepest convictions about investment discipline. They exist to protect Limited Partners from the temptation — which afflicts all fund managers — to deviate from a proven strategy during periods of market stress or euphoria. They cannot be changed by the General Partner unilaterally. They require the consent of every single Partner. They are permanent.</w:t>
      </w:r>
    </w:p>
    <w:p>
      <w:r>
        <w:br w:type="page"/>
      </w:r>
    </w:p>
    <w:p>
      <w:pPr>
        <w:pStyle w:val="Heading1"/>
      </w:pPr>
      <w:r>
        <w:rPr>
          <w:b/>
          <w:bCs/>
        </w:rPr>
        <w:t xml:space="preserve">XI. LEGAL MATTERS</w:t>
      </w:r>
    </w:p>
    <w:p>
      <w:pPr>
        <w:pStyle w:val="Heading2"/>
      </w:pPr>
      <w:r>
        <w:rPr>
          <w:b/>
          <w:bCs/>
        </w:rPr>
        <w:t xml:space="preserve">11.1. Legal Counsel</w:t>
      </w:r>
    </w:p>
    <w:p>
      <w:pPr>
        <w:spacing w:after="200" w:before="0"/>
        <w:jc w:val="both"/>
      </w:pPr>
      <w:r>
        <w:rPr>
          <w:rFonts w:ascii="Times New Roman" w:cs="Times New Roman" w:eastAsia="Times New Roman" w:hAnsi="Times New Roman"/>
          <w:sz w:val="24"/>
          <w:szCs w:val="24"/>
        </w:rPr>
        <w:t xml:space="preserve">The Fund is represented by McDermott Will &amp; Emery LLP, with Stephanie R. Breslow as lead partner. McDermott serves as counsel to the Fund and the General Partner, not to any Limited Partner. Prospective investors should retain their own legal counsel to review this Memorandum and the LPA.</w:t>
      </w:r>
    </w:p>
    <w:p>
      <w:pPr>
        <w:pStyle w:val="Heading2"/>
      </w:pPr>
      <w:r>
        <w:rPr>
          <w:b/>
          <w:bCs/>
        </w:rPr>
        <w:t xml:space="preserve">11.2. Indemnification and Exculpation</w:t>
      </w:r>
    </w:p>
    <w:p>
      <w:pPr>
        <w:spacing w:after="200" w:before="0"/>
        <w:jc w:val="both"/>
      </w:pPr>
      <w:r>
        <w:rPr>
          <w:rFonts w:ascii="Times New Roman" w:cs="Times New Roman" w:eastAsia="Times New Roman" w:hAnsi="Times New Roman"/>
          <w:sz w:val="24"/>
          <w:szCs w:val="24"/>
        </w:rPr>
        <w:t xml:space="preserve">The General Partner, the Founder, and their affiliates are indemnified by the Fund against claims arising from the Fund's business, except for fraud, willful misconduct, gross negligence, or material breach of the LPA. The General Partner is not liable for losses arising from good-faith actions reasonably believed to be in the Fund's best interests.</w:t>
      </w:r>
    </w:p>
    <w:p>
      <w:pPr>
        <w:pStyle w:val="Heading2"/>
      </w:pPr>
      <w:r>
        <w:rPr>
          <w:b/>
          <w:bCs/>
        </w:rPr>
        <w:t xml:space="preserve">11.3. Governing Law and Dispute Resolution</w:t>
      </w:r>
    </w:p>
    <w:p>
      <w:pPr>
        <w:spacing w:after="200" w:before="0"/>
        <w:jc w:val="both"/>
      </w:pPr>
      <w:r>
        <w:rPr>
          <w:rFonts w:ascii="Times New Roman" w:cs="Times New Roman" w:eastAsia="Times New Roman" w:hAnsi="Times New Roman"/>
          <w:sz w:val="24"/>
          <w:szCs w:val="24"/>
        </w:rPr>
        <w:t xml:space="preserve">The Master Fund LPA is governed by the laws of the Cayman Islands. The Delaware Feeder LPA is governed by the Delaware Revised Uniform Limited Partnership Act. All disputes are resolved by ICC arbitration seated in the Abu Dhabi Global Market, with three arbitrators and proceedings in English.</w:t>
      </w:r>
    </w:p>
    <w:p>
      <w:pPr>
        <w:pStyle w:val="Heading2"/>
      </w:pPr>
      <w:r>
        <w:rPr>
          <w:b/>
          <w:bCs/>
        </w:rPr>
        <w:t xml:space="preserve">11.4. Anti-Money Laundering</w:t>
      </w:r>
    </w:p>
    <w:p>
      <w:pPr>
        <w:spacing w:after="200" w:before="0"/>
        <w:jc w:val="both"/>
      </w:pPr>
      <w:r>
        <w:rPr>
          <w:rFonts w:ascii="Times New Roman" w:cs="Times New Roman" w:eastAsia="Times New Roman" w:hAnsi="Times New Roman"/>
          <w:sz w:val="24"/>
          <w:szCs w:val="24"/>
        </w:rPr>
        <w:t xml:space="preserve">The General Partner maintains a comprehensive AML/KYC program compliant with the laws of the Cayman Islands, the United States (Bank Secrecy Act, USA PATRIOT Act), the UAE, and Singapore. Each Limited Partner's AML/KYC compliance is a continuing obligation.</w:t>
      </w:r>
    </w:p>
    <w:p>
      <w:pPr>
        <w:pStyle w:val="Heading2"/>
      </w:pPr>
      <w:r>
        <w:rPr>
          <w:b/>
          <w:bCs/>
        </w:rPr>
        <w:t xml:space="preserve">11.5. ERISA</w:t>
      </w:r>
    </w:p>
    <w:p>
      <w:pPr>
        <w:spacing w:after="200" w:before="0"/>
        <w:jc w:val="both"/>
      </w:pPr>
      <w:r>
        <w:rPr>
          <w:rFonts w:ascii="Times New Roman" w:cs="Times New Roman" w:eastAsia="Times New Roman" w:hAnsi="Times New Roman"/>
          <w:sz w:val="24"/>
          <w:szCs w:val="24"/>
        </w:rPr>
        <w:t xml:space="preserve">The General Partner monitors benefit plan investor participation to prevent the Fund's assets from being deemed "plan assets" under ERISA by ensuring that benefit plan investors hold less than 25% of each class of equity interests (excluding GP interests).</w:t>
      </w:r>
    </w:p>
    <w:p>
      <w:pPr>
        <w:pStyle w:val="Heading2"/>
      </w:pPr>
      <w:r>
        <w:rPr>
          <w:b/>
          <w:bCs/>
        </w:rPr>
        <w:t xml:space="preserve">11.6. Side Letters and MFN</w:t>
      </w:r>
    </w:p>
    <w:p>
      <w:pPr>
        <w:spacing w:after="200" w:before="0"/>
        <w:jc w:val="both"/>
      </w:pPr>
      <w:r>
        <w:rPr>
          <w:rFonts w:ascii="Times New Roman" w:cs="Times New Roman" w:eastAsia="Times New Roman" w:hAnsi="Times New Roman"/>
          <w:sz w:val="24"/>
          <w:szCs w:val="24"/>
        </w:rPr>
        <w:t xml:space="preserve">The General Partner may enter into side letters with individual Limited Partners. Any more favorable term granted to any LP is subject to the Most Favored Nation provision: all LPs in the same or higher priority class must be offered the same terms within thirty (30) days.</w:t>
      </w:r>
    </w:p>
    <w:p>
      <w:r>
        <w:br w:type="page"/>
      </w:r>
    </w:p>
    <w:p>
      <w:pPr>
        <w:pStyle w:val="Heading1"/>
      </w:pPr>
      <w:r>
        <w:rPr>
          <w:b/>
          <w:bCs/>
        </w:rPr>
        <w:t xml:space="preserve">XII. ADDITIONAL DISCLOSURES AND DISCLAIMERS</w:t>
      </w:r>
    </w:p>
    <w:p>
      <w:pPr>
        <w:spacing w:after="200" w:before="0"/>
        <w:jc w:val="both"/>
      </w:pPr>
      <w:r>
        <w:rPr>
          <w:rFonts w:ascii="Times New Roman" w:cs="Times New Roman" w:eastAsia="Times New Roman" w:hAnsi="Times New Roman"/>
          <w:b/>
          <w:bCs/>
          <w:sz w:val="24"/>
          <w:szCs w:val="24"/>
        </w:rPr>
        <w:t xml:space="preserve">Forward-Looking Statements</w:t>
      </w:r>
    </w:p>
    <w:p>
      <w:pPr>
        <w:spacing w:after="200" w:before="0"/>
        <w:jc w:val="both"/>
      </w:pPr>
      <w:r>
        <w:rPr>
          <w:rFonts w:ascii="Times New Roman" w:cs="Times New Roman" w:eastAsia="Times New Roman" w:hAnsi="Times New Roman"/>
          <w:sz w:val="24"/>
          <w:szCs w:val="24"/>
        </w:rPr>
        <w:t xml:space="preserve">This Memorandum contains forward-looking statements regarding the Fund's investment strategy, expected performance, and business plans. These statements involve known and unknown risks, uncertainties, and assumptions. Actual results may differ materially. The Fund undertakes no obligation to update any forward-looking statement.</w:t>
      </w:r>
    </w:p>
    <w:p>
      <w:pPr>
        <w:spacing w:after="200" w:before="0"/>
        <w:jc w:val="both"/>
      </w:pPr>
      <w:r>
        <w:rPr>
          <w:rFonts w:ascii="Times New Roman" w:cs="Times New Roman" w:eastAsia="Times New Roman" w:hAnsi="Times New Roman"/>
          <w:b/>
          <w:bCs/>
          <w:sz w:val="24"/>
          <w:szCs w:val="24"/>
        </w:rPr>
        <w:t xml:space="preserve">No Guarantee of Results</w:t>
      </w:r>
    </w:p>
    <w:p>
      <w:pPr>
        <w:spacing w:after="200" w:before="0"/>
        <w:jc w:val="both"/>
      </w:pPr>
      <w:r>
        <w:rPr>
          <w:rFonts w:ascii="Times New Roman" w:cs="Times New Roman" w:eastAsia="Times New Roman" w:hAnsi="Times New Roman"/>
          <w:sz w:val="24"/>
          <w:szCs w:val="24"/>
        </w:rPr>
        <w:t xml:space="preserve">There can be no assurance that the Fund will achieve its investment objective, that Limited Partners will receive any return on their investment, or that Limited Partners will not lose some or all of their invested capital. Past performance of the Founder or the General Partner is not indicative of future results.</w:t>
      </w:r>
    </w:p>
    <w:p>
      <w:pPr>
        <w:spacing w:after="200" w:before="0"/>
        <w:jc w:val="both"/>
      </w:pPr>
      <w:r>
        <w:rPr>
          <w:rFonts w:ascii="Times New Roman" w:cs="Times New Roman" w:eastAsia="Times New Roman" w:hAnsi="Times New Roman"/>
          <w:b/>
          <w:bCs/>
          <w:sz w:val="24"/>
          <w:szCs w:val="24"/>
        </w:rPr>
        <w:t xml:space="preserve">Reliance on Information</w:t>
      </w:r>
    </w:p>
    <w:p>
      <w:pPr>
        <w:spacing w:after="200" w:before="0"/>
        <w:jc w:val="both"/>
      </w:pPr>
      <w:r>
        <w:rPr>
          <w:rFonts w:ascii="Times New Roman" w:cs="Times New Roman" w:eastAsia="Times New Roman" w:hAnsi="Times New Roman"/>
          <w:sz w:val="24"/>
          <w:szCs w:val="24"/>
        </w:rPr>
        <w:t xml:space="preserve">In making an investment decision, prospective investors must rely on their own examination of the Fund and the terms of the offering, including the merits and risks involved. Prospective investors should not construe the contents of this Memorandum as legal, tax, investment, or financial advice.</w:t>
      </w:r>
    </w:p>
    <w:p>
      <w:pPr>
        <w:spacing w:after="200" w:before="0"/>
        <w:jc w:val="both"/>
      </w:pPr>
      <w:r>
        <w:rPr>
          <w:rFonts w:ascii="Times New Roman" w:cs="Times New Roman" w:eastAsia="Times New Roman" w:hAnsi="Times New Roman"/>
          <w:b/>
          <w:bCs/>
          <w:sz w:val="24"/>
          <w:szCs w:val="24"/>
        </w:rPr>
        <w:t xml:space="preserve">Accuracy of Information</w:t>
      </w:r>
    </w:p>
    <w:p>
      <w:pPr>
        <w:spacing w:after="200" w:before="0"/>
        <w:jc w:val="both"/>
      </w:pPr>
      <w:r>
        <w:rPr>
          <w:rFonts w:ascii="Times New Roman" w:cs="Times New Roman" w:eastAsia="Times New Roman" w:hAnsi="Times New Roman"/>
          <w:sz w:val="24"/>
          <w:szCs w:val="24"/>
        </w:rPr>
        <w:t xml:space="preserve">The General Partner has endeavored to ensure that the information in this Memorandum is accurate and complete as of the date hereof. However, no representation or warranty, express or implied, is made as to the accuracy, completeness, or fairness of the information. This Memorandum supersedes all prior drafts and communications.</w:t>
      </w:r>
    </w:p>
    <w:p>
      <w:pPr>
        <w:spacing w:after="200" w:before="0"/>
        <w:jc w:val="both"/>
      </w:pPr>
      <w:r>
        <w:rPr>
          <w:rFonts w:ascii="Times New Roman" w:cs="Times New Roman" w:eastAsia="Times New Roman" w:hAnsi="Times New Roman"/>
          <w:b/>
          <w:bCs/>
          <w:sz w:val="24"/>
          <w:szCs w:val="24"/>
        </w:rPr>
        <w:t xml:space="preserve">Regulatory Compliance</w:t>
      </w:r>
    </w:p>
    <w:p>
      <w:pPr>
        <w:spacing w:after="200" w:before="0"/>
        <w:jc w:val="both"/>
      </w:pPr>
      <w:r>
        <w:rPr>
          <w:rFonts w:ascii="Times New Roman" w:cs="Times New Roman" w:eastAsia="Times New Roman" w:hAnsi="Times New Roman"/>
          <w:sz w:val="24"/>
          <w:szCs w:val="24"/>
        </w:rPr>
        <w:t xml:space="preserve">The Fund has not been approved or disapproved by the SEC, any state securities commission, CIMA, FSRA, MAS, or any other regulatory authority. No such authority has passed on the merits of the Fund or the accuracy of this Memorandum.</w:t>
      </w:r>
    </w:p>
    <w:p>
      <w:pPr>
        <w:spacing w:after="200" w:before="0"/>
        <w:jc w:val="both"/>
      </w:pPr>
      <w:r>
        <w:rPr>
          <w:rFonts w:ascii="Times New Roman" w:cs="Times New Roman" w:eastAsia="Times New Roman" w:hAnsi="Times New Roman"/>
          <w:b/>
          <w:bCs/>
          <w:sz w:val="24"/>
          <w:szCs w:val="24"/>
        </w:rPr>
        <w:t xml:space="preserve">Confidentiality</w:t>
      </w:r>
    </w:p>
    <w:p>
      <w:pPr>
        <w:spacing w:after="200" w:before="0"/>
        <w:jc w:val="both"/>
      </w:pPr>
      <w:r>
        <w:rPr>
          <w:rFonts w:ascii="Times New Roman" w:cs="Times New Roman" w:eastAsia="Times New Roman" w:hAnsi="Times New Roman"/>
          <w:sz w:val="24"/>
          <w:szCs w:val="24"/>
        </w:rPr>
        <w:t xml:space="preserve">This Memorandum is confidential and is provided solely for the use of the intended recipient for the purpose of evaluating an investment in the Fund. Reproduction or distribution of this Memorandum, in whole or in part, without the prior written consent of the General Partner, is prohibited.</w:t>
      </w:r>
    </w:p>
    <w:p>
      <w:pPr>
        <w:spacing w:before="400"/>
      </w:pPr>
    </w:p>
    <w:p>
      <w:pPr>
        <w:pBdr>
          <w:bottom w:val="single" w:color="0D1B2A" w:sz="4" w:space="1"/>
        </w:pBdr>
        <w:spacing w:after="300"/>
      </w:pPr>
    </w:p>
    <w:p>
      <w:pPr>
        <w:spacing w:before="200"/>
      </w:pPr>
    </w:p>
    <w:p>
      <w:pPr>
        <w:spacing w:after="100" w:before="0"/>
        <w:jc w:val="center"/>
      </w:pPr>
      <w:r>
        <w:rPr>
          <w:rFonts w:ascii="Times New Roman" w:cs="Times New Roman" w:eastAsia="Times New Roman" w:hAnsi="Times New Roman"/>
          <w:b/>
          <w:bCs/>
          <w:sz w:val="28"/>
          <w:szCs w:val="28"/>
        </w:rPr>
        <w:t xml:space="preserve">HUSHH ALPHA ALOHA FUND A, LP</w:t>
      </w:r>
    </w:p>
    <w:p>
      <w:pPr>
        <w:spacing w:after="100" w:before="0"/>
        <w:jc w:val="center"/>
      </w:pPr>
      <w:r>
        <w:rPr>
          <w:rFonts w:ascii="Times New Roman" w:cs="Times New Roman" w:eastAsia="Times New Roman" w:hAnsi="Times New Roman"/>
          <w:i/>
          <w:iCs/>
          <w:sz w:val="24"/>
          <w:szCs w:val="24"/>
        </w:rPr>
        <w:t xml:space="preserve">"Own More. Always."</w:t>
      </w:r>
    </w:p>
    <w:p>
      <w:pPr>
        <w:spacing w:before="200"/>
      </w:pPr>
    </w:p>
    <w:p>
      <w:pPr>
        <w:spacing w:after="60" w:before="0"/>
        <w:jc w:val="center"/>
      </w:pPr>
      <w:r>
        <w:rPr>
          <w:rFonts w:ascii="Times New Roman" w:cs="Times New Roman" w:eastAsia="Times New Roman" w:hAnsi="Times New Roman"/>
          <w:b/>
          <w:bCs/>
          <w:sz w:val="24"/>
          <w:szCs w:val="24"/>
        </w:rPr>
        <w:t xml:space="preserve">For subscription inquiries:</w:t>
      </w:r>
    </w:p>
    <w:p>
      <w:pPr>
        <w:spacing w:after="60" w:before="0"/>
        <w:jc w:val="center"/>
      </w:pPr>
      <w:r>
        <w:rPr>
          <w:rFonts w:ascii="Times New Roman" w:cs="Times New Roman" w:eastAsia="Times New Roman" w:hAnsi="Times New Roman"/>
          <w:sz w:val="24"/>
          <w:szCs w:val="24"/>
        </w:rPr>
        <w:t xml:space="preserve">Manish Sainani, Founder &amp; CIO</w:t>
      </w:r>
    </w:p>
    <w:p>
      <w:pPr>
        <w:spacing w:after="60" w:before="0"/>
        <w:jc w:val="center"/>
      </w:pPr>
      <w:r>
        <w:rPr>
          <w:rFonts w:ascii="Times New Roman" w:cs="Times New Roman" w:eastAsia="Times New Roman" w:hAnsi="Times New Roman"/>
          <w:sz w:val="24"/>
          <w:szCs w:val="24"/>
        </w:rPr>
        <w:t xml:space="preserve">manish@hushh.ai</w:t>
      </w:r>
    </w:p>
    <w:p>
      <w:pPr>
        <w:spacing w:before="200"/>
      </w:pPr>
    </w:p>
    <w:p>
      <w:pPr>
        <w:spacing w:after="60" w:before="0"/>
        <w:jc w:val="center"/>
      </w:pPr>
      <w:r>
        <w:rPr>
          <w:rFonts w:ascii="Times New Roman" w:cs="Times New Roman" w:eastAsia="Times New Roman" w:hAnsi="Times New Roman"/>
          <w:b/>
          <w:bCs/>
          <w:sz w:val="24"/>
          <w:szCs w:val="24"/>
        </w:rPr>
        <w:t xml:space="preserve">Legal Counsel:</w:t>
      </w:r>
    </w:p>
    <w:p>
      <w:pPr>
        <w:spacing w:after="60" w:before="0"/>
        <w:jc w:val="center"/>
      </w:pPr>
      <w:r>
        <w:rPr>
          <w:rFonts w:ascii="Times New Roman" w:cs="Times New Roman" w:eastAsia="Times New Roman" w:hAnsi="Times New Roman"/>
          <w:sz w:val="24"/>
          <w:szCs w:val="24"/>
        </w:rPr>
        <w:t xml:space="preserve">Stephanie R. Breslow, Partner</w:t>
      </w:r>
    </w:p>
    <w:p>
      <w:pPr>
        <w:spacing w:after="60" w:before="0"/>
        <w:jc w:val="center"/>
      </w:pPr>
      <w:r>
        <w:rPr>
          <w:rFonts w:ascii="Times New Roman" w:cs="Times New Roman" w:eastAsia="Times New Roman" w:hAnsi="Times New Roman"/>
          <w:sz w:val="24"/>
          <w:szCs w:val="24"/>
        </w:rPr>
        <w:t xml:space="preserve">McDermott Will &amp; Emery LLP</w:t>
      </w:r>
    </w:p>
    <w:p>
      <w:pPr>
        <w:spacing w:after="200" w:before="0"/>
        <w:jc w:val="center"/>
      </w:pPr>
      <w:r>
        <w:rPr>
          <w:rFonts w:ascii="Times New Roman" w:cs="Times New Roman" w:eastAsia="Times New Roman" w:hAnsi="Times New Roman"/>
          <w:sz w:val="24"/>
          <w:szCs w:val="24"/>
        </w:rPr>
        <w:t xml:space="preserve">One Vanderbilt Avenue, New York, NY 10017</w:t>
      </w:r>
    </w:p>
    <w:p>
      <w:pPr>
        <w:spacing w:before="0" w:after="200"/>
        <w:jc w:val="center"/>
      </w:pPr>
      <w:r>
        <w:br w:type="page"/>
      </w:r>
      <w:r>
        <w:rPr>
          <w:rFonts w:ascii="Times New Roman" w:cs="Times New Roman" w:eastAsia="Times New Roman" w:hAnsi="Times New Roman"/>
          <w:b/>
          <w:bCs/>
          <w:sz w:val="24"/>
          <w:szCs w:val="24"/>
        </w:rPr>
        <w:t xml:space="preserve">ACKNOWLEDGEMENT AND SIGNATURE</w:t>
      </w:r>
    </w:p>
    <w:p>
      <w:pPr>
        <w:spacing w:after="200"/>
        <w:jc w:val="both"/>
      </w:pPr>
      <w:r>
        <w:rPr>
          <w:rFonts w:ascii="Times New Roman" w:cs="Times New Roman" w:eastAsia="Times New Roman" w:hAnsi="Times New Roman"/>
          <w:sz w:val="24"/>
          <w:szCs w:val="24"/>
        </w:rPr>
        <w:t xml:space="preserve">IN WITNESS WHEREOF, the parties have executed this Private Placement Memorandum by electronic signature as of the date set forth below.</w:t>
      </w:r>
    </w:p>
    <w:p>
      <w:pPr>
        <w:spacing w:before="600"/>
      </w:pPr>
    </w:p>
    <w:p>
      <w:pPr>
        <w:spacing w:after="200"/>
        <w:jc w:val="both"/>
      </w:pPr>
      <w:r>
        <w:rPr>
          <w:rFonts w:ascii="Times New Roman" w:cs="Times New Roman" w:eastAsia="Times New Roman" w:hAnsi="Times New Roman"/>
          <w:b/>
          <w:bCs/>
          <w:sz w:val="24"/>
          <w:szCs w:val="24"/>
        </w:rPr>
        <w:t xml:space="preserve">GENERAL PARTNER:</w:t>
      </w:r>
    </w:p>
    <w:p>
      <w:pPr>
        <w:spacing w:after="200"/>
        <w:jc w:val="both"/>
      </w:pPr>
      <w:r>
        <w:rPr>
          <w:rFonts w:ascii="Times New Roman" w:cs="Times New Roman" w:eastAsia="Times New Roman" w:hAnsi="Times New Roman"/>
          <w:b/>
          <w:bCs/>
          <w:sz w:val="24"/>
          <w:szCs w:val="24"/>
        </w:rPr>
        <w:t xml:space="preserve">HUSHH TECHNOLOGIES MIDDLE EAST LLC</w:t>
      </w:r>
    </w:p>
    <w:p>
      <w:pPr>
        <w:spacing w:before="400"/>
      </w:pPr>
    </w:p>
    <w:p>
      <w:pPr>
        <w:spacing w:after="200"/>
        <w:jc w:val="both"/>
      </w:pPr>
      <w:r>
        <w:rPr>
          <w:rFonts w:ascii="Times New Roman" w:cs="Times New Roman" w:eastAsia="Times New Roman" w:hAnsi="Times New Roman"/>
          <w:sz w:val="24"/>
          <w:szCs w:val="24"/>
        </w:rPr>
        <w:t xml:space="preserve">By: {{GP_SIGNATURE}}</w:t>
      </w:r>
    </w:p>
    <w:p>
      <w:pPr>
        <w:spacing w:after="200"/>
        <w:jc w:val="both"/>
      </w:pPr>
      <w:r>
        <w:rPr>
          <w:rFonts w:ascii="Times New Roman" w:cs="Times New Roman" w:eastAsia="Times New Roman" w:hAnsi="Times New Roman"/>
          <w:sz w:val="24"/>
          <w:szCs w:val="24"/>
        </w:rPr>
        <w:t xml:space="preserve">Name: Manish Sainani</w:t>
      </w:r>
    </w:p>
    <w:p>
      <w:pPr>
        <w:spacing w:after="200"/>
        <w:jc w:val="both"/>
      </w:pPr>
      <w:r>
        <w:rPr>
          <w:rFonts w:ascii="Times New Roman" w:cs="Times New Roman" w:eastAsia="Times New Roman" w:hAnsi="Times New Roman"/>
          <w:sz w:val="24"/>
          <w:szCs w:val="24"/>
        </w:rPr>
        <w:t xml:space="preserve">Title: Founder, CEO, and Sole Managing Member</w:t>
      </w:r>
    </w:p>
    <w:p>
      <w:pPr>
        <w:spacing w:after="200"/>
        <w:jc w:val="both"/>
      </w:pPr>
      <w:r>
        <w:rPr>
          <w:rFonts w:ascii="Times New Roman" w:cs="Times New Roman" w:eastAsia="Times New Roman" w:hAnsi="Times New Roman"/>
          <w:sz w:val="24"/>
          <w:szCs w:val="24"/>
        </w:rPr>
        <w:t xml:space="preserve">Date: {{GP_DATE}}</w:t>
      </w:r>
    </w:p>
    <w:p>
      <w:pPr>
        <w:spacing w:before="700"/>
      </w:pPr>
    </w:p>
    <w:p>
      <w:pPr>
        <w:spacing w:after="200"/>
        <w:jc w:val="both"/>
      </w:pPr>
      <w:r>
        <w:rPr>
          <w:rFonts w:ascii="Times New Roman" w:cs="Times New Roman" w:eastAsia="Times New Roman" w:hAnsi="Times New Roman"/>
          <w:b/>
          <w:bCs/>
          <w:sz w:val="24"/>
          <w:szCs w:val="24"/>
        </w:rPr>
        <w:t xml:space="preserve">LIMITED PARTNER:</w:t>
      </w:r>
    </w:p>
    <w:p>
      <w:pPr>
        <w:spacing w:before="300"/>
      </w:pPr>
    </w:p>
    <w:p>
      <w:pPr>
        <w:spacing w:after="200"/>
        <w:jc w:val="both"/>
      </w:pPr>
      <w:r>
        <w:rPr>
          <w:rFonts w:ascii="Times New Roman" w:cs="Times New Roman" w:eastAsia="Times New Roman" w:hAnsi="Times New Roman"/>
          <w:sz w:val="24"/>
          <w:szCs w:val="24"/>
        </w:rPr>
        <w:t xml:space="preserve">By: {{LP_SIGNATURE}}</w:t>
      </w:r>
    </w:p>
    <w:p>
      <w:pPr>
        <w:spacing w:after="200"/>
        <w:jc w:val="both"/>
      </w:pPr>
      <w:r>
        <w:rPr>
          <w:rFonts w:ascii="Times New Roman" w:cs="Times New Roman" w:eastAsia="Times New Roman" w:hAnsi="Times New Roman"/>
          <w:sz w:val="24"/>
          <w:szCs w:val="24"/>
        </w:rPr>
        <w:t xml:space="preserve">Name: {{LP_NAME}}</w:t>
      </w:r>
    </w:p>
    <w:p>
      <w:pPr>
        <w:spacing w:after="200"/>
        <w:jc w:val="both"/>
      </w:pPr>
      <w:r>
        <w:rPr>
          <w:rFonts w:ascii="Times New Roman" w:cs="Times New Roman" w:eastAsia="Times New Roman" w:hAnsi="Times New Roman"/>
          <w:sz w:val="24"/>
          <w:szCs w:val="24"/>
        </w:rPr>
        <w:t xml:space="preserve">Date: {{LP_DATE}}</w:t>
      </w:r>
    </w:p>
    <w:p>
      <w:pPr>
        <w:spacing w:before="400"/>
      </w:pPr>
    </w:p>
    <w:p>
      <w:pPr>
        <w:spacing w:after="200"/>
        <w:jc w:val="both"/>
      </w:pPr>
      <w:r>
        <w:rPr>
          <w:rFonts w:ascii="Times New Roman" w:cs="Times New Roman" w:eastAsia="Times New Roman" w:hAnsi="Times New Roman"/>
          <w:i/>
          <w:iCs/>
          <w:sz w:val="24"/>
          <w:szCs w:val="24"/>
        </w:rPr>
        <w:t xml:space="preserve">Executed by electronic signature.</w:t>
      </w:r>
    </w:p>
    <w:sectPr>
      <w:headerReference w:type="default" r:id="rId6"/>
      <w:footerReference w:type="default" r:id="rId7"/>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rFonts w:ascii="Times New Roman" w:cs="Times New Roman" w:eastAsia="Times New Roman" w:hAnsi="Times New Roman"/>
        <w:color w:val="888888"/>
        <w:sz w:val="18"/>
        <w:szCs w:val="18"/>
      </w:rPr>
      <w:t xml:space="preserve">Page </w:t>
    </w:r>
    <w:r>
      <w:rPr>
        <w:rFonts w:ascii="Times New Roman" w:cs="Times New Roman" w:eastAsia="Times New Roman" w:hAnsi="Times New Roman"/>
        <w:color w:val="888888"/>
        <w:sz w:val="18"/>
        <w:szCs w:val="18"/>
      </w:rPr>
      <w:fldChar w:fldCharType="begin"/>
      <w:instrText xml:space="preserve">PAGE</w:instrText>
      <w:fldChar w:fldCharType="separate"/>
      <w:fldChar w:fldCharType="end"/>
    </w:r>
    <w:r>
      <w:rPr>
        <w:rFonts w:ascii="Times New Roman" w:cs="Times New Roman" w:eastAsia="Times New Roman" w:hAnsi="Times New Roman"/>
        <w:color w:val="888888"/>
        <w:sz w:val="16"/>
        <w:szCs w:val="16"/>
      </w:rPr>
      <w:t xml:space="preserve">  |  Confidential — Do Not Distribute Without Written Consent of the General Partner</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i/>
        <w:iCs/>
        <w:color w:val="888888"/>
        <w:sz w:val="16"/>
        <w:szCs w:val="16"/>
      </w:rPr>
      <w:t xml:space="preserve">HUSHH ALPHA ALOHA FUND A, LP  |  CONFIDENTIAL PRIVATE PLACEMENT MEMORANDUM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80"/>
      <w:outlineLvl w:val="0"/>
    </w:pPr>
    <w:rPr>
      <w:rFonts w:ascii="Times New Roman" w:cs="Times New Roman" w:eastAsia="Times New Roman" w:hAnsi="Times New Roman"/>
      <w:b/>
      <w:bCs/>
      <w:color w:val="0D1B2A"/>
      <w:sz w:val="36"/>
      <w:szCs w:val="36"/>
    </w:rPr>
  </w:style>
  <w:style w:type="paragraph" w:styleId="Heading2">
    <w:name w:val="Heading 2"/>
    <w:basedOn w:val="Normal"/>
    <w:next w:val="Normal"/>
    <w:qFormat/>
    <w:pPr>
      <w:spacing w:before="300" w:after="200"/>
      <w:outlineLvl w:val="1"/>
    </w:pPr>
    <w:rPr>
      <w:rFonts w:ascii="Times New Roman" w:cs="Times New Roman" w:eastAsia="Times New Roman" w:hAnsi="Times New Roman"/>
      <w:b/>
      <w:bCs/>
      <w:color w:val="1a3c6e"/>
      <w:sz w:val="28"/>
      <w:szCs w:val="28"/>
    </w:rPr>
  </w:style>
  <w:style w:type="paragraph" w:styleId="Heading3">
    <w:name w:val="Heading 3"/>
    <w:basedOn w:val="Normal"/>
    <w:next w:val="Normal"/>
    <w:qFormat/>
    <w:pPr>
      <w:spacing w:before="240" w:after="160"/>
      <w:outlineLvl w:val="2"/>
    </w:pPr>
    <w:rPr>
      <w:rFonts w:ascii="Times New Roman" w:cs="Times New Roman" w:eastAsia="Times New Roman" w:hAnsi="Times New Roman"/>
      <w:b/>
      <w:bCs/>
      <w:i/>
      <w:iCs/>
      <w:color w:val="2a529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2026-03-12T02:07:46.970Z</dcterms:created>
  <dcterms:modified xsi:type="dcterms:W3CDTF">2026-03-12T02:07:46.971Z</dcterms:modified>
</cp:coreProperties>
</file>

<file path=docProps/custom.xml><?xml version="1.0" encoding="utf-8"?>
<Properties xmlns="http://schemas.openxmlformats.org/officeDocument/2006/custom-properties" xmlns:vt="http://schemas.openxmlformats.org/officeDocument/2006/docPropsVTypes"/>
</file>