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200"/>
        <w:jc w:val="center"/>
      </w:pPr>
      <w:r>
        <w:drawing>
          <wp:inline xmlns:a="http://schemas.openxmlformats.org/drawingml/2006/main" xmlns:pic="http://schemas.openxmlformats.org/drawingml/2006/picture">
            <wp:extent cx="3474720" cy="1157109"/>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0" cy="1157109"/>
                    </a:xfrm>
                    <a:prstGeom prst="rect"/>
                  </pic:spPr>
                </pic:pic>
              </a:graphicData>
            </a:graphic>
          </wp:inline>
        </w:drawing>
      </w:r>
    </w:p>
    <w:p>
      <w:pPr>
        <w:spacing w:after="40"/>
        <w:jc w:val="center"/>
      </w:pPr>
      <w:r>
        <w:rPr>
          <w:rFonts w:ascii="Calibri" w:hAnsi="Calibri"/>
          <w:b/>
          <w:color w:val="0A3641"/>
          <w:sz w:val="19"/>
        </w:rPr>
        <w:t>EMPOWERING INTELLIGENCE, DELIVERING INNOVATION</w:t>
      </w:r>
    </w:p>
    <w:p>
      <w:pPr>
        <w:spacing w:after="720"/>
        <w:jc w:val="center"/>
      </w:pPr>
      <w:r>
        <w:rPr>
          <w:rFonts w:ascii="Calibri" w:hAnsi="Calibri"/>
          <w:b/>
          <w:color w:val="64748B"/>
          <w:sz w:val="22"/>
        </w:rPr>
        <w:t>GyanAstra Technologies Pvt Ltd</w:t>
      </w:r>
    </w:p>
    <w:p>
      <w:pPr>
        <w:spacing w:after="80"/>
        <w:jc w:val="center"/>
      </w:pPr>
      <w:r>
        <w:rPr>
          <w:rFonts w:ascii="Calibri" w:hAnsi="Calibri"/>
          <w:b/>
          <w:color w:val="0A3641"/>
          <w:sz w:val="44"/>
        </w:rPr>
        <w:t>PROJECT REPORT</w:t>
      </w:r>
    </w:p>
    <w:p>
      <w:pPr>
        <w:spacing w:after="120"/>
        <w:jc w:val="center"/>
      </w:pPr>
      <w:r>
        <w:rPr>
          <w:rFonts w:ascii="Calibri" w:hAnsi="Calibri"/>
          <w:b/>
          <w:color w:val="64748B"/>
          <w:sz w:val="22"/>
        </w:rPr>
        <w:t>ON</w:t>
      </w:r>
    </w:p>
    <w:p>
      <w:pPr>
        <w:spacing w:after="80"/>
        <w:jc w:val="center"/>
      </w:pPr>
      <w:r>
        <w:rPr>
          <w:rFonts w:ascii="Calibri" w:hAnsi="Calibri"/>
          <w:b/>
          <w:color w:val="01AAB1"/>
          <w:sz w:val="40"/>
        </w:rPr>
        <w:t>AI HOSPITAL MANAGEMENT SYSTEM</w:t>
      </w:r>
    </w:p>
    <w:p>
      <w:pPr>
        <w:spacing w:after="800"/>
        <w:jc w:val="center"/>
      </w:pPr>
      <w:r>
        <w:rPr>
          <w:rFonts w:ascii="Calibri" w:hAnsi="Calibri"/>
          <w:b/>
          <w:color w:val="0A3641"/>
          <w:sz w:val="24"/>
        </w:rPr>
        <w:t>Patient Length-of-Stay Prediction &amp; Bed Allocation Using Random Forest</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4968"/>
        <w:gridCol w:w="4968"/>
      </w:tblGrid>
      <w:tr>
        <w:tc>
          <w:tcPr>
            <w:tcW w:type="dxa" w:w="3168"/>
            <w:shd w:val="clear" w:color="auto" w:fill="E8F7F8"/>
            <w:tcMar>
              <w:top w:w="100" w:type="dxa"/>
              <w:bottom w:w="100" w:type="dxa"/>
              <w:left w:w="160" w:type="dxa"/>
              <w:right w:w="160" w:type="dxa"/>
            </w:tcMar>
          </w:tcPr>
          <w:p>
            <w:r>
              <w:rPr>
                <w:b/>
                <w:color w:val="0A3641"/>
                <w:sz w:val="20"/>
              </w:rPr>
              <w:t>Submitted By</w:t>
            </w:r>
          </w:p>
        </w:tc>
        <w:tc>
          <w:tcPr>
            <w:tcW w:type="dxa" w:w="6048"/>
            <w:tcMar>
              <w:top w:w="100" w:type="dxa"/>
              <w:bottom w:w="100" w:type="dxa"/>
              <w:left w:w="160" w:type="dxa"/>
              <w:right w:w="160" w:type="dxa"/>
            </w:tcMar>
          </w:tcPr>
          <w:p>
            <w:r>
              <w:rPr>
                <w:color w:val="1F2937"/>
                <w:sz w:val="20"/>
              </w:rPr>
              <w:t>Student Candidate / AI Trainee</w:t>
            </w:r>
          </w:p>
        </w:tc>
      </w:tr>
      <w:tr>
        <w:tc>
          <w:tcPr>
            <w:tcW w:type="dxa" w:w="3168"/>
            <w:shd w:val="clear" w:color="auto" w:fill="E8F7F8"/>
            <w:tcMar>
              <w:top w:w="100" w:type="dxa"/>
              <w:bottom w:w="100" w:type="dxa"/>
              <w:left w:w="160" w:type="dxa"/>
              <w:right w:w="160" w:type="dxa"/>
            </w:tcMar>
          </w:tcPr>
          <w:p>
            <w:r>
              <w:rPr>
                <w:b/>
                <w:color w:val="0A3641"/>
                <w:sz w:val="20"/>
              </w:rPr>
              <w:t>Programme</w:t>
            </w:r>
          </w:p>
        </w:tc>
        <w:tc>
          <w:tcPr>
            <w:tcW w:type="dxa" w:w="6048"/>
            <w:tcMar>
              <w:top w:w="100" w:type="dxa"/>
              <w:bottom w:w="100" w:type="dxa"/>
              <w:left w:w="160" w:type="dxa"/>
              <w:right w:w="160" w:type="dxa"/>
            </w:tcMar>
          </w:tcPr>
          <w:p>
            <w:r>
              <w:rPr>
                <w:color w:val="1F2937"/>
                <w:sz w:val="20"/>
              </w:rPr>
              <w:t>Artificial Intelligence with Python</w:t>
            </w:r>
          </w:p>
        </w:tc>
      </w:tr>
      <w:tr>
        <w:tc>
          <w:tcPr>
            <w:tcW w:type="dxa" w:w="3168"/>
            <w:shd w:val="clear" w:color="auto" w:fill="E8F7F8"/>
            <w:tcMar>
              <w:top w:w="100" w:type="dxa"/>
              <w:bottom w:w="100" w:type="dxa"/>
              <w:left w:w="160" w:type="dxa"/>
              <w:right w:w="160" w:type="dxa"/>
            </w:tcMar>
          </w:tcPr>
          <w:p>
            <w:r>
              <w:rPr>
                <w:b/>
                <w:color w:val="0A3641"/>
                <w:sz w:val="20"/>
              </w:rPr>
              <w:t>Domain</w:t>
            </w:r>
          </w:p>
        </w:tc>
        <w:tc>
          <w:tcPr>
            <w:tcW w:type="dxa" w:w="6048"/>
            <w:tcMar>
              <w:top w:w="100" w:type="dxa"/>
              <w:bottom w:w="100" w:type="dxa"/>
              <w:left w:w="160" w:type="dxa"/>
              <w:right w:w="160" w:type="dxa"/>
            </w:tcMar>
          </w:tcPr>
          <w:p>
            <w:r>
              <w:rPr>
                <w:color w:val="1F2937"/>
                <w:sz w:val="20"/>
              </w:rPr>
              <w:t>Machine Learning &amp; Healthcare Informatics</w:t>
            </w:r>
          </w:p>
        </w:tc>
      </w:tr>
      <w:tr>
        <w:tc>
          <w:tcPr>
            <w:tcW w:type="dxa" w:w="3168"/>
            <w:shd w:val="clear" w:color="auto" w:fill="E8F7F8"/>
            <w:tcMar>
              <w:top w:w="100" w:type="dxa"/>
              <w:bottom w:w="100" w:type="dxa"/>
              <w:left w:w="160" w:type="dxa"/>
              <w:right w:w="160" w:type="dxa"/>
            </w:tcMar>
          </w:tcPr>
          <w:p>
            <w:r>
              <w:rPr>
                <w:b/>
                <w:color w:val="0A3641"/>
                <w:sz w:val="20"/>
              </w:rPr>
              <w:t>College / Institute</w:t>
            </w:r>
          </w:p>
        </w:tc>
        <w:tc>
          <w:tcPr>
            <w:tcW w:type="dxa" w:w="6048"/>
            <w:tcMar>
              <w:top w:w="100" w:type="dxa"/>
              <w:bottom w:w="100" w:type="dxa"/>
              <w:left w:w="160" w:type="dxa"/>
              <w:right w:w="160" w:type="dxa"/>
            </w:tcMar>
          </w:tcPr>
          <w:p>
            <w:r>
              <w:rPr>
                <w:color w:val="1F2937"/>
                <w:sz w:val="20"/>
              </w:rPr>
              <w:t>Department of Computer Science &amp; Engineering</w:t>
            </w:r>
          </w:p>
        </w:tc>
      </w:tr>
      <w:tr>
        <w:tc>
          <w:tcPr>
            <w:tcW w:type="dxa" w:w="3168"/>
            <w:shd w:val="clear" w:color="auto" w:fill="E8F7F8"/>
            <w:tcMar>
              <w:top w:w="100" w:type="dxa"/>
              <w:bottom w:w="100" w:type="dxa"/>
              <w:left w:w="160" w:type="dxa"/>
              <w:right w:w="160" w:type="dxa"/>
            </w:tcMar>
          </w:tcPr>
          <w:p>
            <w:r>
              <w:rPr>
                <w:b/>
                <w:color w:val="0A3641"/>
                <w:sz w:val="20"/>
              </w:rPr>
              <w:t>Project Mentor</w:t>
            </w:r>
          </w:p>
        </w:tc>
        <w:tc>
          <w:tcPr>
            <w:tcW w:type="dxa" w:w="6048"/>
            <w:tcMar>
              <w:top w:w="100" w:type="dxa"/>
              <w:bottom w:w="100" w:type="dxa"/>
              <w:left w:w="160" w:type="dxa"/>
              <w:right w:w="160" w:type="dxa"/>
            </w:tcMar>
          </w:tcPr>
          <w:p>
            <w:r>
              <w:rPr>
                <w:color w:val="1F2937"/>
                <w:sz w:val="20"/>
              </w:rPr>
              <w:t>AI Technical Lead</w:t>
            </w:r>
          </w:p>
        </w:tc>
      </w:tr>
      <w:tr>
        <w:tc>
          <w:tcPr>
            <w:tcW w:type="dxa" w:w="3168"/>
            <w:shd w:val="clear" w:color="auto" w:fill="E8F7F8"/>
            <w:tcMar>
              <w:top w:w="100" w:type="dxa"/>
              <w:bottom w:w="100" w:type="dxa"/>
              <w:left w:w="160" w:type="dxa"/>
              <w:right w:w="160" w:type="dxa"/>
            </w:tcMar>
          </w:tcPr>
          <w:p>
            <w:r>
              <w:rPr>
                <w:b/>
                <w:color w:val="0A3641"/>
                <w:sz w:val="20"/>
              </w:rPr>
              <w:t>Organization</w:t>
            </w:r>
          </w:p>
        </w:tc>
        <w:tc>
          <w:tcPr>
            <w:tcW w:type="dxa" w:w="6048"/>
            <w:tcMar>
              <w:top w:w="100" w:type="dxa"/>
              <w:bottom w:w="100" w:type="dxa"/>
              <w:left w:w="160" w:type="dxa"/>
              <w:right w:w="160" w:type="dxa"/>
            </w:tcMar>
          </w:tcPr>
          <w:p>
            <w:r>
              <w:rPr>
                <w:color w:val="1F2937"/>
                <w:sz w:val="20"/>
              </w:rPr>
              <w:t>GyanAstra Technologies</w:t>
            </w:r>
          </w:p>
        </w:tc>
      </w:tr>
      <w:tr>
        <w:tc>
          <w:tcPr>
            <w:tcW w:type="dxa" w:w="3168"/>
            <w:shd w:val="clear" w:color="auto" w:fill="E8F7F8"/>
            <w:tcMar>
              <w:top w:w="100" w:type="dxa"/>
              <w:bottom w:w="100" w:type="dxa"/>
              <w:left w:w="160" w:type="dxa"/>
              <w:right w:w="160" w:type="dxa"/>
            </w:tcMar>
          </w:tcPr>
          <w:p>
            <w:r>
              <w:rPr>
                <w:b/>
                <w:color w:val="0A3641"/>
                <w:sz w:val="20"/>
              </w:rPr>
              <w:t>Date</w:t>
            </w:r>
          </w:p>
        </w:tc>
        <w:tc>
          <w:tcPr>
            <w:tcW w:type="dxa" w:w="6048"/>
            <w:tcMar>
              <w:top w:w="100" w:type="dxa"/>
              <w:bottom w:w="100" w:type="dxa"/>
              <w:left w:w="160" w:type="dxa"/>
              <w:right w:w="160" w:type="dxa"/>
            </w:tcMar>
          </w:tcPr>
          <w:p>
            <w:r>
              <w:rPr>
                <w:color w:val="1F2937"/>
                <w:sz w:val="20"/>
              </w:rPr>
              <w:t>September 2026</w:t>
            </w:r>
          </w:p>
        </w:tc>
      </w:tr>
    </w:tbl>
    <w:p>
      <w:r>
        <w:br w:type="page"/>
      </w:r>
    </w:p>
    <w:p>
      <w:pPr>
        <w:keepNext/>
        <w:spacing w:before="320" w:after="120"/>
      </w:pPr>
      <w:r>
        <w:rPr>
          <w:rFonts w:ascii="Calibri" w:hAnsi="Calibri"/>
          <w:b/>
          <w:color w:val="0A3641"/>
          <w:sz w:val="30"/>
        </w:rPr>
        <w:t>Certificate</w:t>
      </w:r>
    </w:p>
    <w:p>
      <w:pPr>
        <w:spacing w:after="120" w:line="276" w:lineRule="auto"/>
        <w:jc w:val="both"/>
      </w:pPr>
      <w:r>
        <w:rPr>
          <w:rFonts w:ascii="Calibri" w:hAnsi="Calibri"/>
          <w:color w:val="1F2937"/>
          <w:sz w:val="22"/>
        </w:rPr>
        <w:t>This is to certify that the project report entitled 'AI Hospital Management System — Patient Length-of-Stay Prediction &amp; Bed Allocation Using Random Forest' has been successfully carried out under the professional guidance and supervision of the Technical Mentorship Committee at GyanAstra Technologies. This project has been developed as an integral part of the practical training and project development curriculum and represents original work carried out by the candidate in the field of Machine Learning, Healthcare Analytics, and Web Application Deployment.</w:t>
      </w:r>
    </w:p>
    <w:p>
      <w:pPr>
        <w:spacing w:after="120" w:line="276" w:lineRule="auto"/>
        <w:jc w:val="both"/>
      </w:pPr>
      <w:r>
        <w:rPr>
          <w:rFonts w:ascii="Calibri" w:hAnsi="Calibri"/>
          <w:color w:val="1F2937"/>
          <w:sz w:val="22"/>
        </w:rPr>
        <w:t>The work presented in this report embodies a genuine record of the candidate's implementation and has been evaluated and found satisfactory in terms of clinical data engineering, ensemble model architecture design, statistical evaluation, clinical relevance, and software user experience.</w:t>
      </w:r>
    </w:p>
    <w:p>
      <w:pPr>
        <w:spacing w:before="560" w:after="40"/>
      </w:pPr>
      <w:r>
        <w:drawing>
          <wp:inline xmlns:a="http://schemas.openxmlformats.org/drawingml/2006/main" xmlns:pic="http://schemas.openxmlformats.org/drawingml/2006/picture">
            <wp:extent cx="2011680" cy="1182648"/>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011680" cy="1182648"/>
                    </a:xfrm>
                    <a:prstGeom prst="rect"/>
                  </pic:spPr>
                </pic:pic>
              </a:graphicData>
            </a:graphic>
          </wp:inline>
        </w:drawing>
      </w:r>
    </w:p>
    <w:p>
      <w:pPr>
        <w:spacing w:before="160" w:after="80"/>
      </w:pPr>
      <w:r>
        <w:rPr>
          <w:b/>
          <w:color w:val="0A3641"/>
        </w:rPr>
        <w:t>Project Mentor / Lead AI Engineer</w:t>
        <w:tab/>
        <w:tab/>
        <w:tab/>
        <w:t>Authorized Signatory</w:t>
      </w:r>
    </w:p>
    <w:p>
      <w:pPr>
        <w:spacing w:after="400"/>
      </w:pPr>
      <w:r>
        <w:rPr>
          <w:color w:val="64748B"/>
        </w:rPr>
        <w:t>GyanAstra Technologies</w:t>
        <w:tab/>
        <w:tab/>
        <w:tab/>
        <w:tab/>
        <w:t>GyanAstra Technologies</w:t>
      </w:r>
    </w:p>
    <w:p>
      <w:r>
        <w:br w:type="page"/>
      </w:r>
    </w:p>
    <w:p>
      <w:pPr>
        <w:keepNext/>
        <w:spacing w:before="320" w:after="120"/>
      </w:pPr>
      <w:r>
        <w:rPr>
          <w:rFonts w:ascii="Calibri" w:hAnsi="Calibri"/>
          <w:b/>
          <w:color w:val="0A3641"/>
          <w:sz w:val="30"/>
        </w:rPr>
        <w:t>Acknowledgement</w:t>
      </w:r>
    </w:p>
    <w:p>
      <w:pPr>
        <w:spacing w:after="120" w:line="276" w:lineRule="auto"/>
        <w:jc w:val="both"/>
      </w:pPr>
      <w:r>
        <w:rPr>
          <w:rFonts w:ascii="Calibri" w:hAnsi="Calibri"/>
          <w:color w:val="1F2937"/>
          <w:sz w:val="22"/>
        </w:rPr>
        <w:t>I would like to express my deepest gratitude to GyanAstra Technologies for providing me with this exceptional opportunity to undertake this project titled 'AI Hospital Management System — Patient Length-of-Stay Prediction &amp; Bed Allocation Using Random Forest'. I am profoundly thankful to my technical mentors at GyanAstra Technologies for their constant encouragement, insightful guidance, and technical reviews throughout the data engineering, ensemble modeling, and deployment stages of this system.</w:t>
      </w:r>
    </w:p>
    <w:p>
      <w:pPr>
        <w:spacing w:after="120" w:line="276" w:lineRule="auto"/>
        <w:jc w:val="both"/>
      </w:pPr>
      <w:r>
        <w:rPr>
          <w:rFonts w:ascii="Calibri" w:hAnsi="Calibri"/>
          <w:color w:val="1F2937"/>
          <w:sz w:val="22"/>
        </w:rPr>
        <w:t>Their industry-standard expertise in machine learning, ensemble methods, healthcare informatics, clinical data pipelines, and web deployment helped me bridge the gap between theoretical supervised learning and real-world medical decision support. I also extend my gratitude to the open-source communities of Scikit-learn, Flask, Pandas, Matplotlib, and Seaborn, whose versatile tools served as the foundation of this work.</w:t>
      </w:r>
    </w:p>
    <w:p>
      <w:pPr>
        <w:spacing w:after="120" w:line="276" w:lineRule="auto"/>
        <w:jc w:val="both"/>
      </w:pPr>
      <w:r>
        <w:rPr>
          <w:rFonts w:ascii="Calibri" w:hAnsi="Calibri"/>
          <w:color w:val="1F2937"/>
          <w:sz w:val="22"/>
        </w:rPr>
        <w:t>Finally, I express my heartfelt thanks to my college faculty, department coordinators, peers, and family for their unwavering moral support and motivation during the tenure of this training.</w:t>
      </w:r>
    </w:p>
    <w:p>
      <w:r>
        <w:br w:type="page"/>
      </w:r>
    </w:p>
    <w:p>
      <w:pPr>
        <w:keepNext/>
        <w:spacing w:before="320" w:after="120"/>
      </w:pPr>
      <w:r>
        <w:rPr>
          <w:rFonts w:ascii="Calibri" w:hAnsi="Calibri"/>
          <w:b/>
          <w:color w:val="0A3641"/>
          <w:sz w:val="30"/>
        </w:rPr>
        <w:t>Abstract</w:t>
      </w:r>
    </w:p>
    <w:p>
      <w:pPr>
        <w:spacing w:after="120" w:line="276" w:lineRule="auto"/>
        <w:jc w:val="both"/>
      </w:pPr>
      <w:r>
        <w:rPr>
          <w:rFonts w:ascii="Calibri" w:hAnsi="Calibri"/>
          <w:color w:val="1F2937"/>
          <w:sz w:val="22"/>
        </w:rPr>
        <w:t>Hospital bed shortages, Emergency Department (ED) boarding delays, and inefficient inpatient bed allocation represent major operational bottlenecks in modern healthcare systems. Accurately predicting a patient's anticipated Length of Stay (LOS) at the time of admission empowers clinical administrators to forecast discharge waves, pre-allocate Intensive Care Unit (ICU) beds, optimize nurse-to-patient staffing ratios, and reduce avoidable readmissions.</w:t>
      </w:r>
    </w:p>
    <w:p>
      <w:pPr>
        <w:spacing w:after="120" w:line="276" w:lineRule="auto"/>
        <w:jc w:val="both"/>
      </w:pPr>
      <w:r>
        <w:rPr>
          <w:rFonts w:ascii="Calibri" w:hAnsi="Calibri"/>
          <w:color w:val="1F2937"/>
          <w:sz w:val="22"/>
        </w:rPr>
        <w:t>This project presents the design, empirical development, and production deployment of the AI Hospital Management System, an intelligent clinical decision support platform powered by a 200-tree Random Forest classifier. The system models 10,000 synthetic clinical records calibrated to benchmark distributions from the Healthcare Cost and Utilization Project (HCUP) National Inpatient Sample and the MIMIC-III critical care database.</w:t>
      </w:r>
    </w:p>
    <w:p>
      <w:pPr>
        <w:spacing w:after="120" w:line="276" w:lineRule="auto"/>
        <w:jc w:val="both"/>
      </w:pPr>
      <w:r>
        <w:rPr>
          <w:rFonts w:ascii="Calibri" w:hAnsi="Calibri"/>
          <w:color w:val="1F2937"/>
          <w:sz w:val="22"/>
        </w:rPr>
        <w:t>The system engineers seventeen multimodal clinical, demographic, and physiological features: patient age, gender, admission urgency (Emergency, Urgent, Elective), primary diagnosis category (Cardiac, Respiratory, Orthopedic, Gastrointestinal, Neurological, Infection/Sepsis), Charlson comorbidity count, pre-admission procedure count, HbA1c diabetic index, serum creatinine, white blood cell count (WBC), serum sodium, systolic blood pressure, heart rate, body temperature, insurance classification, ICU admission status, prior admissions, and an emergency triage indicator. Continuous LOS is mapped to three operational clinical tiers: Short Stay (1–3 days), Medium Stay (4–7 days), and Long Stay (8+ days).</w:t>
      </w:r>
    </w:p>
    <w:p>
      <w:pPr>
        <w:spacing w:after="120" w:line="276" w:lineRule="auto"/>
        <w:jc w:val="both"/>
      </w:pPr>
      <w:r>
        <w:rPr>
          <w:rFonts w:ascii="Calibri" w:hAnsi="Calibri"/>
          <w:color w:val="1F2937"/>
          <w:sz w:val="22"/>
        </w:rPr>
        <w:t>To counter severe real-world class imbalance (where Medium stays dominate 73% of hospital census), balanced class weighting is integrated into the ensemble decision tree splitting criterion. The model achieves an overall test accuracy of 64.85% across 2,000 holdout patients and a high macro ROC-AUC of 0.8134, demonstrating superior discriminative capacity between complex long stays and routine discharges. Five-fold stratified cross-validation confirms exceptional stability with a mean accuracy of 65.80% ± 0.51%.</w:t>
      </w:r>
    </w:p>
    <w:p>
      <w:pPr>
        <w:spacing w:after="120" w:line="276" w:lineRule="auto"/>
        <w:jc w:val="both"/>
      </w:pPr>
      <w:r>
        <w:rPr>
          <w:rFonts w:ascii="Calibri" w:hAnsi="Calibri"/>
          <w:color w:val="1F2937"/>
          <w:sz w:val="22"/>
        </w:rPr>
        <w:t>The trained model is deployed via a high-throughput Flask REST API (&lt; 25 ms inference latency on commodity hardware) connected to a premium dark-mode clinical web dashboard featuring interactive patient intake, animated probability bars, discharge timeline forecasting, and automated nurse action directives. The complete solution provides an accessible, clinically grounded, and deployable framework for modern intelligent hospital operations.</w:t>
      </w:r>
    </w:p>
    <w:p>
      <w:r>
        <w:br w:type="page"/>
      </w:r>
    </w:p>
    <w:p>
      <w:pPr>
        <w:keepNext/>
        <w:spacing w:before="320" w:after="120"/>
      </w:pPr>
      <w:r>
        <w:rPr>
          <w:rFonts w:ascii="Calibri" w:hAnsi="Calibri"/>
          <w:b/>
          <w:color w:val="0A3641"/>
          <w:sz w:val="30"/>
        </w:rPr>
        <w:t>Table of Contents</w:t>
      </w:r>
    </w:p>
    <w:p>
      <w:pPr>
        <w:spacing w:after="60" w:line="276" w:lineRule="auto"/>
      </w:pPr>
      <w:r>
        <w:rPr>
          <w:rFonts w:ascii="Calibri" w:hAnsi="Calibri"/>
          <w:color w:val="1F2937"/>
          <w:sz w:val="21"/>
        </w:rPr>
        <w:t>1. Introduction</w:t>
      </w:r>
      <w:r>
        <w:rPr>
          <w:rFonts w:ascii="Calibri" w:hAnsi="Calibri"/>
          <w:b/>
          <w:color w:val="0A3641"/>
          <w:sz w:val="21"/>
        </w:rPr>
        <w:tab/>
        <w:t>5</w:t>
      </w:r>
    </w:p>
    <w:p>
      <w:pPr>
        <w:spacing w:after="60" w:line="276" w:lineRule="auto"/>
      </w:pPr>
      <w:r>
        <w:rPr>
          <w:rFonts w:ascii="Calibri" w:hAnsi="Calibri"/>
          <w:color w:val="1F2937"/>
          <w:sz w:val="21"/>
        </w:rPr>
        <w:t>2. Objectives</w:t>
      </w:r>
      <w:r>
        <w:rPr>
          <w:rFonts w:ascii="Calibri" w:hAnsi="Calibri"/>
          <w:b/>
          <w:color w:val="0A3641"/>
          <w:sz w:val="21"/>
        </w:rPr>
        <w:tab/>
        <w:t>6</w:t>
      </w:r>
    </w:p>
    <w:p>
      <w:pPr>
        <w:spacing w:after="60" w:line="276" w:lineRule="auto"/>
      </w:pPr>
      <w:r>
        <w:rPr>
          <w:rFonts w:ascii="Calibri" w:hAnsi="Calibri"/>
          <w:color w:val="1F2937"/>
          <w:sz w:val="21"/>
        </w:rPr>
        <w:t>3. Literature Review / Existing Systems</w:t>
      </w:r>
      <w:r>
        <w:rPr>
          <w:rFonts w:ascii="Calibri" w:hAnsi="Calibri"/>
          <w:b/>
          <w:color w:val="0A3641"/>
          <w:sz w:val="21"/>
        </w:rPr>
        <w:tab/>
        <w:t>6</w:t>
      </w:r>
    </w:p>
    <w:p>
      <w:pPr>
        <w:spacing w:after="60" w:line="276" w:lineRule="auto"/>
      </w:pPr>
      <w:r>
        <w:rPr>
          <w:rFonts w:ascii="Calibri" w:hAnsi="Calibri"/>
          <w:color w:val="1F2937"/>
          <w:sz w:val="21"/>
        </w:rPr>
        <w:t>4. System Requirements</w:t>
      </w:r>
      <w:r>
        <w:rPr>
          <w:rFonts w:ascii="Calibri" w:hAnsi="Calibri"/>
          <w:b/>
          <w:color w:val="0A3641"/>
          <w:sz w:val="21"/>
        </w:rPr>
        <w:tab/>
        <w:t>7</w:t>
      </w:r>
    </w:p>
    <w:p>
      <w:pPr>
        <w:spacing w:after="60" w:line="276" w:lineRule="auto"/>
      </w:pPr>
      <w:r>
        <w:rPr>
          <w:rFonts w:ascii="Calibri" w:hAnsi="Calibri"/>
          <w:color w:val="1F2937"/>
          <w:sz w:val="21"/>
        </w:rPr>
        <w:t xml:space="preserve">    4.1 Hardware Requirements</w:t>
      </w:r>
      <w:r>
        <w:rPr>
          <w:rFonts w:ascii="Calibri" w:hAnsi="Calibri"/>
          <w:b/>
          <w:color w:val="0A3641"/>
          <w:sz w:val="21"/>
        </w:rPr>
        <w:tab/>
        <w:t>7</w:t>
      </w:r>
    </w:p>
    <w:p>
      <w:pPr>
        <w:spacing w:after="60" w:line="276" w:lineRule="auto"/>
      </w:pPr>
      <w:r>
        <w:rPr>
          <w:rFonts w:ascii="Calibri" w:hAnsi="Calibri"/>
          <w:color w:val="1F2937"/>
          <w:sz w:val="21"/>
        </w:rPr>
        <w:t xml:space="preserve">    4.2 Software Requirements</w:t>
      </w:r>
      <w:r>
        <w:rPr>
          <w:rFonts w:ascii="Calibri" w:hAnsi="Calibri"/>
          <w:b/>
          <w:color w:val="0A3641"/>
          <w:sz w:val="21"/>
        </w:rPr>
        <w:tab/>
        <w:t>7</w:t>
      </w:r>
    </w:p>
    <w:p>
      <w:pPr>
        <w:spacing w:after="60" w:line="276" w:lineRule="auto"/>
      </w:pPr>
      <w:r>
        <w:rPr>
          <w:rFonts w:ascii="Calibri" w:hAnsi="Calibri"/>
          <w:color w:val="1F2937"/>
          <w:sz w:val="21"/>
        </w:rPr>
        <w:t>5. Dataset &amp; Feature Engineering — Detailed Description</w:t>
      </w:r>
      <w:r>
        <w:rPr>
          <w:rFonts w:ascii="Calibri" w:hAnsi="Calibri"/>
          <w:b/>
          <w:color w:val="0A3641"/>
          <w:sz w:val="21"/>
        </w:rPr>
        <w:tab/>
        <w:t>8</w:t>
      </w:r>
    </w:p>
    <w:p>
      <w:pPr>
        <w:spacing w:after="60" w:line="276" w:lineRule="auto"/>
      </w:pPr>
      <w:r>
        <w:rPr>
          <w:rFonts w:ascii="Calibri" w:hAnsi="Calibri"/>
          <w:color w:val="1F2937"/>
          <w:sz w:val="21"/>
        </w:rPr>
        <w:t xml:space="preserve">    5.1 Patient Dataset &amp; Clinical Variable Design</w:t>
      </w:r>
      <w:r>
        <w:rPr>
          <w:rFonts w:ascii="Calibri" w:hAnsi="Calibri"/>
          <w:b/>
          <w:color w:val="0A3641"/>
          <w:sz w:val="21"/>
        </w:rPr>
        <w:tab/>
        <w:t>8</w:t>
      </w:r>
    </w:p>
    <w:p>
      <w:pPr>
        <w:spacing w:after="60" w:line="276" w:lineRule="auto"/>
      </w:pPr>
      <w:r>
        <w:rPr>
          <w:rFonts w:ascii="Calibri" w:hAnsi="Calibri"/>
          <w:color w:val="1F2937"/>
          <w:sz w:val="21"/>
        </w:rPr>
        <w:t xml:space="preserve">    5.2 Feature Standardization &amp; Z-Score Normalization</w:t>
      </w:r>
      <w:r>
        <w:rPr>
          <w:rFonts w:ascii="Calibri" w:hAnsi="Calibri"/>
          <w:b/>
          <w:color w:val="0A3641"/>
          <w:sz w:val="21"/>
        </w:rPr>
        <w:tab/>
        <w:t>9</w:t>
      </w:r>
    </w:p>
    <w:p>
      <w:pPr>
        <w:spacing w:after="60" w:line="276" w:lineRule="auto"/>
      </w:pPr>
      <w:r>
        <w:rPr>
          <w:rFonts w:ascii="Calibri" w:hAnsi="Calibri"/>
          <w:color w:val="1F2937"/>
          <w:sz w:val="21"/>
        </w:rPr>
        <w:t xml:space="preserve">    5.3 LOS Classification Thresholds &amp; Clinical Rationale</w:t>
      </w:r>
      <w:r>
        <w:rPr>
          <w:rFonts w:ascii="Calibri" w:hAnsi="Calibri"/>
          <w:b/>
          <w:color w:val="0A3641"/>
          <w:sz w:val="21"/>
        </w:rPr>
        <w:tab/>
        <w:t>10</w:t>
      </w:r>
    </w:p>
    <w:p>
      <w:pPr>
        <w:spacing w:after="60" w:line="276" w:lineRule="auto"/>
      </w:pPr>
      <w:r>
        <w:rPr>
          <w:rFonts w:ascii="Calibri" w:hAnsi="Calibri"/>
          <w:color w:val="1F2937"/>
          <w:sz w:val="21"/>
        </w:rPr>
        <w:t xml:space="preserve">    5.4 Diagnostic &amp; Comorbidity Stratification</w:t>
      </w:r>
      <w:r>
        <w:rPr>
          <w:rFonts w:ascii="Calibri" w:hAnsi="Calibri"/>
          <w:b/>
          <w:color w:val="0A3641"/>
          <w:sz w:val="21"/>
        </w:rPr>
        <w:tab/>
        <w:t>11</w:t>
      </w:r>
    </w:p>
    <w:p>
      <w:pPr>
        <w:spacing w:after="60" w:line="276" w:lineRule="auto"/>
      </w:pPr>
      <w:r>
        <w:rPr>
          <w:rFonts w:ascii="Calibri" w:hAnsi="Calibri"/>
          <w:color w:val="1F2937"/>
          <w:sz w:val="21"/>
        </w:rPr>
        <w:t>6. System Architecture &amp; Pipeline</w:t>
      </w:r>
      <w:r>
        <w:rPr>
          <w:rFonts w:ascii="Calibri" w:hAnsi="Calibri"/>
          <w:b/>
          <w:color w:val="0A3641"/>
          <w:sz w:val="21"/>
        </w:rPr>
        <w:tab/>
        <w:t>12</w:t>
      </w:r>
    </w:p>
    <w:p>
      <w:pPr>
        <w:spacing w:after="60" w:line="276" w:lineRule="auto"/>
      </w:pPr>
      <w:r>
        <w:rPr>
          <w:rFonts w:ascii="Calibri" w:hAnsi="Calibri"/>
          <w:color w:val="1F2937"/>
          <w:sz w:val="21"/>
        </w:rPr>
        <w:t>7. Block Diagram &amp; Workflow</w:t>
      </w:r>
      <w:r>
        <w:rPr>
          <w:rFonts w:ascii="Calibri" w:hAnsi="Calibri"/>
          <w:b/>
          <w:color w:val="0A3641"/>
          <w:sz w:val="21"/>
        </w:rPr>
        <w:tab/>
        <w:t>13</w:t>
      </w:r>
    </w:p>
    <w:p>
      <w:pPr>
        <w:spacing w:after="60" w:line="276" w:lineRule="auto"/>
      </w:pPr>
      <w:r>
        <w:rPr>
          <w:rFonts w:ascii="Calibri" w:hAnsi="Calibri"/>
          <w:color w:val="1F2937"/>
          <w:sz w:val="21"/>
        </w:rPr>
        <w:t>8. Working / Methodology</w:t>
      </w:r>
      <w:r>
        <w:rPr>
          <w:rFonts w:ascii="Calibri" w:hAnsi="Calibri"/>
          <w:b/>
          <w:color w:val="0A3641"/>
          <w:sz w:val="21"/>
        </w:rPr>
        <w:tab/>
        <w:t>14</w:t>
      </w:r>
    </w:p>
    <w:p>
      <w:pPr>
        <w:spacing w:after="60" w:line="276" w:lineRule="auto"/>
      </w:pPr>
      <w:r>
        <w:rPr>
          <w:rFonts w:ascii="Calibri" w:hAnsi="Calibri"/>
          <w:color w:val="1F2937"/>
          <w:sz w:val="21"/>
        </w:rPr>
        <w:t xml:space="preserve">    8.1 Phase 1 &amp; 2: Clinical Data Engineering &amp; Normalization</w:t>
      </w:r>
      <w:r>
        <w:rPr>
          <w:rFonts w:ascii="Calibri" w:hAnsi="Calibri"/>
          <w:b/>
          <w:color w:val="0A3641"/>
          <w:sz w:val="21"/>
        </w:rPr>
        <w:tab/>
        <w:t>14</w:t>
      </w:r>
    </w:p>
    <w:p>
      <w:pPr>
        <w:spacing w:after="60" w:line="276" w:lineRule="auto"/>
      </w:pPr>
      <w:r>
        <w:rPr>
          <w:rFonts w:ascii="Calibri" w:hAnsi="Calibri"/>
          <w:color w:val="1F2937"/>
          <w:sz w:val="21"/>
        </w:rPr>
        <w:t xml:space="preserve">    8.2 Phase 3: Ensemble Random Forest Mathematics &amp; Gini Split</w:t>
      </w:r>
      <w:r>
        <w:rPr>
          <w:rFonts w:ascii="Calibri" w:hAnsi="Calibri"/>
          <w:b/>
          <w:color w:val="0A3641"/>
          <w:sz w:val="21"/>
        </w:rPr>
        <w:tab/>
        <w:t>14</w:t>
      </w:r>
    </w:p>
    <w:p>
      <w:pPr>
        <w:spacing w:after="60" w:line="276" w:lineRule="auto"/>
      </w:pPr>
      <w:r>
        <w:rPr>
          <w:rFonts w:ascii="Calibri" w:hAnsi="Calibri"/>
          <w:color w:val="1F2937"/>
          <w:sz w:val="21"/>
        </w:rPr>
        <w:t xml:space="preserve">    8.3 Phase 4: Multi-Class Probability Calibration &amp; Bed Allocation</w:t>
      </w:r>
      <w:r>
        <w:rPr>
          <w:rFonts w:ascii="Calibri" w:hAnsi="Calibri"/>
          <w:b/>
          <w:color w:val="0A3641"/>
          <w:sz w:val="21"/>
        </w:rPr>
        <w:tab/>
        <w:t>15</w:t>
      </w:r>
    </w:p>
    <w:p>
      <w:pPr>
        <w:spacing w:after="60" w:line="276" w:lineRule="auto"/>
      </w:pPr>
      <w:r>
        <w:rPr>
          <w:rFonts w:ascii="Calibri" w:hAnsi="Calibri"/>
          <w:color w:val="1F2937"/>
          <w:sz w:val="21"/>
        </w:rPr>
        <w:t xml:space="preserve">    8.4 Phase 5: REST API Inference &amp; Clinical UI Serving</w:t>
      </w:r>
      <w:r>
        <w:rPr>
          <w:rFonts w:ascii="Calibri" w:hAnsi="Calibri"/>
          <w:b/>
          <w:color w:val="0A3641"/>
          <w:sz w:val="21"/>
        </w:rPr>
        <w:tab/>
        <w:t>15</w:t>
      </w:r>
    </w:p>
    <w:p>
      <w:pPr>
        <w:spacing w:after="60" w:line="276" w:lineRule="auto"/>
      </w:pPr>
      <w:r>
        <w:rPr>
          <w:rFonts w:ascii="Calibri" w:hAnsi="Calibri"/>
          <w:color w:val="1F2937"/>
          <w:sz w:val="21"/>
        </w:rPr>
        <w:t>9. Software Implementation &amp; Random Forest Model Code</w:t>
      </w:r>
      <w:r>
        <w:rPr>
          <w:rFonts w:ascii="Calibri" w:hAnsi="Calibri"/>
          <w:b/>
          <w:color w:val="0A3641"/>
          <w:sz w:val="21"/>
        </w:rPr>
        <w:tab/>
        <w:t>16</w:t>
      </w:r>
    </w:p>
    <w:p>
      <w:pPr>
        <w:spacing w:after="60" w:line="276" w:lineRule="auto"/>
      </w:pPr>
      <w:r>
        <w:rPr>
          <w:rFonts w:ascii="Calibri" w:hAnsi="Calibri"/>
          <w:color w:val="1F2937"/>
          <w:sz w:val="21"/>
        </w:rPr>
        <w:t xml:space="preserve">    9.1 Hyperparameter Specifications</w:t>
      </w:r>
      <w:r>
        <w:rPr>
          <w:rFonts w:ascii="Calibri" w:hAnsi="Calibri"/>
          <w:b/>
          <w:color w:val="0A3641"/>
          <w:sz w:val="21"/>
        </w:rPr>
        <w:tab/>
        <w:t>16</w:t>
      </w:r>
    </w:p>
    <w:p>
      <w:pPr>
        <w:spacing w:after="60" w:line="276" w:lineRule="auto"/>
      </w:pPr>
      <w:r>
        <w:rPr>
          <w:rFonts w:ascii="Calibri" w:hAnsi="Calibri"/>
          <w:color w:val="1F2937"/>
          <w:sz w:val="21"/>
        </w:rPr>
        <w:t xml:space="preserve">    9.2 Core Python Training Pipeline</w:t>
      </w:r>
      <w:r>
        <w:rPr>
          <w:rFonts w:ascii="Calibri" w:hAnsi="Calibri"/>
          <w:b/>
          <w:color w:val="0A3641"/>
          <w:sz w:val="21"/>
        </w:rPr>
        <w:tab/>
        <w:t>16</w:t>
      </w:r>
    </w:p>
    <w:p>
      <w:pPr>
        <w:spacing w:after="60" w:line="276" w:lineRule="auto"/>
      </w:pPr>
      <w:r>
        <w:rPr>
          <w:rFonts w:ascii="Calibri" w:hAnsi="Calibri"/>
          <w:color w:val="1F2937"/>
          <w:sz w:val="21"/>
        </w:rPr>
        <w:t>10. Key Features of the System</w:t>
      </w:r>
      <w:r>
        <w:rPr>
          <w:rFonts w:ascii="Calibri" w:hAnsi="Calibri"/>
          <w:b/>
          <w:color w:val="0A3641"/>
          <w:sz w:val="21"/>
        </w:rPr>
        <w:tab/>
        <w:t>17</w:t>
      </w:r>
    </w:p>
    <w:p>
      <w:pPr>
        <w:spacing w:after="60" w:line="276" w:lineRule="auto"/>
      </w:pPr>
      <w:r>
        <w:rPr>
          <w:rFonts w:ascii="Calibri" w:hAnsi="Calibri"/>
          <w:color w:val="1F2937"/>
          <w:sz w:val="21"/>
        </w:rPr>
        <w:t>11. Real-World Applications</w:t>
      </w:r>
      <w:r>
        <w:rPr>
          <w:rFonts w:ascii="Calibri" w:hAnsi="Calibri"/>
          <w:b/>
          <w:color w:val="0A3641"/>
          <w:sz w:val="21"/>
        </w:rPr>
        <w:tab/>
        <w:t>18</w:t>
      </w:r>
    </w:p>
    <w:p>
      <w:pPr>
        <w:spacing w:after="60" w:line="276" w:lineRule="auto"/>
      </w:pPr>
      <w:r>
        <w:rPr>
          <w:rFonts w:ascii="Calibri" w:hAnsi="Calibri"/>
          <w:color w:val="1F2937"/>
          <w:sz w:val="21"/>
        </w:rPr>
        <w:t>12. Advantages and Limitations</w:t>
      </w:r>
      <w:r>
        <w:rPr>
          <w:rFonts w:ascii="Calibri" w:hAnsi="Calibri"/>
          <w:b/>
          <w:color w:val="0A3641"/>
          <w:sz w:val="21"/>
        </w:rPr>
        <w:tab/>
        <w:t>19</w:t>
      </w:r>
    </w:p>
    <w:p>
      <w:pPr>
        <w:spacing w:after="60" w:line="276" w:lineRule="auto"/>
      </w:pPr>
      <w:r>
        <w:rPr>
          <w:rFonts w:ascii="Calibri" w:hAnsi="Calibri"/>
          <w:color w:val="1F2937"/>
          <w:sz w:val="21"/>
        </w:rPr>
        <w:t xml:space="preserve">    12.1 Advantages</w:t>
      </w:r>
      <w:r>
        <w:rPr>
          <w:rFonts w:ascii="Calibri" w:hAnsi="Calibri"/>
          <w:b/>
          <w:color w:val="0A3641"/>
          <w:sz w:val="21"/>
        </w:rPr>
        <w:tab/>
        <w:t>19</w:t>
      </w:r>
    </w:p>
    <w:p>
      <w:pPr>
        <w:spacing w:after="60" w:line="276" w:lineRule="auto"/>
      </w:pPr>
      <w:r>
        <w:rPr>
          <w:rFonts w:ascii="Calibri" w:hAnsi="Calibri"/>
          <w:color w:val="1F2937"/>
          <w:sz w:val="21"/>
        </w:rPr>
        <w:t xml:space="preserve">    12.2 Limitations</w:t>
      </w:r>
      <w:r>
        <w:rPr>
          <w:rFonts w:ascii="Calibri" w:hAnsi="Calibri"/>
          <w:b/>
          <w:color w:val="0A3641"/>
          <w:sz w:val="21"/>
        </w:rPr>
        <w:tab/>
        <w:t>19</w:t>
      </w:r>
    </w:p>
    <w:p>
      <w:pPr>
        <w:spacing w:after="60" w:line="276" w:lineRule="auto"/>
      </w:pPr>
      <w:r>
        <w:rPr>
          <w:rFonts w:ascii="Calibri" w:hAnsi="Calibri"/>
          <w:color w:val="1F2937"/>
          <w:sz w:val="21"/>
        </w:rPr>
        <w:t>13. Future Scope</w:t>
      </w:r>
      <w:r>
        <w:rPr>
          <w:rFonts w:ascii="Calibri" w:hAnsi="Calibri"/>
          <w:b/>
          <w:color w:val="0A3641"/>
          <w:sz w:val="21"/>
        </w:rPr>
        <w:tab/>
        <w:t>20</w:t>
      </w:r>
    </w:p>
    <w:p>
      <w:pPr>
        <w:spacing w:after="60" w:line="276" w:lineRule="auto"/>
      </w:pPr>
      <w:r>
        <w:rPr>
          <w:rFonts w:ascii="Calibri" w:hAnsi="Calibri"/>
          <w:color w:val="1F2937"/>
          <w:sz w:val="21"/>
        </w:rPr>
        <w:t>14. Testing and Results</w:t>
      </w:r>
      <w:r>
        <w:rPr>
          <w:rFonts w:ascii="Calibri" w:hAnsi="Calibri"/>
          <w:b/>
          <w:color w:val="0A3641"/>
          <w:sz w:val="21"/>
        </w:rPr>
        <w:tab/>
        <w:t>21</w:t>
      </w:r>
    </w:p>
    <w:p>
      <w:pPr>
        <w:spacing w:after="60" w:line="276" w:lineRule="auto"/>
      </w:pPr>
      <w:r>
        <w:rPr>
          <w:rFonts w:ascii="Calibri" w:hAnsi="Calibri"/>
          <w:color w:val="1F2937"/>
          <w:sz w:val="21"/>
        </w:rPr>
        <w:t xml:space="preserve">    14.1 Mathematical Evaluation Metrics</w:t>
      </w:r>
      <w:r>
        <w:rPr>
          <w:rFonts w:ascii="Calibri" w:hAnsi="Calibri"/>
          <w:b/>
          <w:color w:val="0A3641"/>
          <w:sz w:val="21"/>
        </w:rPr>
        <w:tab/>
        <w:t>21</w:t>
      </w:r>
    </w:p>
    <w:p>
      <w:pPr>
        <w:spacing w:after="60" w:line="276" w:lineRule="auto"/>
      </w:pPr>
      <w:r>
        <w:rPr>
          <w:rFonts w:ascii="Calibri" w:hAnsi="Calibri"/>
          <w:color w:val="1F2937"/>
          <w:sz w:val="21"/>
        </w:rPr>
        <w:t xml:space="preserve">    14.2 Empirical Classification Performance Summary</w:t>
      </w:r>
      <w:r>
        <w:rPr>
          <w:rFonts w:ascii="Calibri" w:hAnsi="Calibri"/>
          <w:b/>
          <w:color w:val="0A3641"/>
          <w:sz w:val="21"/>
        </w:rPr>
        <w:tab/>
        <w:t>21</w:t>
      </w:r>
    </w:p>
    <w:p>
      <w:pPr>
        <w:spacing w:after="60" w:line="276" w:lineRule="auto"/>
      </w:pPr>
      <w:r>
        <w:rPr>
          <w:rFonts w:ascii="Calibri" w:hAnsi="Calibri"/>
          <w:color w:val="1F2937"/>
          <w:sz w:val="21"/>
        </w:rPr>
        <w:t xml:space="preserve">    14.3 Evaluation Figures &amp; Clinical Insights</w:t>
      </w:r>
      <w:r>
        <w:rPr>
          <w:rFonts w:ascii="Calibri" w:hAnsi="Calibri"/>
          <w:b/>
          <w:color w:val="0A3641"/>
          <w:sz w:val="21"/>
        </w:rPr>
        <w:tab/>
        <w:t>22</w:t>
      </w:r>
    </w:p>
    <w:p>
      <w:pPr>
        <w:spacing w:after="60" w:line="276" w:lineRule="auto"/>
      </w:pPr>
      <w:r>
        <w:rPr>
          <w:rFonts w:ascii="Calibri" w:hAnsi="Calibri"/>
          <w:color w:val="1F2937"/>
          <w:sz w:val="21"/>
        </w:rPr>
        <w:t>15. Project Dashboard &amp; User Interface</w:t>
      </w:r>
      <w:r>
        <w:rPr>
          <w:rFonts w:ascii="Calibri" w:hAnsi="Calibri"/>
          <w:b/>
          <w:color w:val="0A3641"/>
          <w:sz w:val="21"/>
        </w:rPr>
        <w:tab/>
        <w:t>24</w:t>
      </w:r>
    </w:p>
    <w:p>
      <w:pPr>
        <w:spacing w:after="60" w:line="276" w:lineRule="auto"/>
      </w:pPr>
      <w:r>
        <w:rPr>
          <w:rFonts w:ascii="Calibri" w:hAnsi="Calibri"/>
          <w:color w:val="1F2937"/>
          <w:sz w:val="21"/>
        </w:rPr>
        <w:t>16. Conclusion</w:t>
      </w:r>
      <w:r>
        <w:rPr>
          <w:rFonts w:ascii="Calibri" w:hAnsi="Calibri"/>
          <w:b/>
          <w:color w:val="0A3641"/>
          <w:sz w:val="21"/>
        </w:rPr>
        <w:tab/>
        <w:t>25</w:t>
      </w:r>
    </w:p>
    <w:p>
      <w:pPr>
        <w:spacing w:after="60" w:line="276" w:lineRule="auto"/>
      </w:pPr>
      <w:r>
        <w:rPr>
          <w:rFonts w:ascii="Calibri" w:hAnsi="Calibri"/>
          <w:color w:val="1F2937"/>
          <w:sz w:val="21"/>
        </w:rPr>
        <w:t>17. References</w:t>
      </w:r>
      <w:r>
        <w:rPr>
          <w:rFonts w:ascii="Calibri" w:hAnsi="Calibri"/>
          <w:b/>
          <w:color w:val="0A3641"/>
          <w:sz w:val="21"/>
        </w:rPr>
        <w:tab/>
        <w:t>26</w:t>
      </w:r>
    </w:p>
    <w:p>
      <w:r>
        <w:br w:type="page"/>
      </w:r>
    </w:p>
    <w:p>
      <w:pPr>
        <w:keepNext/>
        <w:spacing w:before="320" w:after="120"/>
      </w:pPr>
      <w:r>
        <w:rPr>
          <w:rFonts w:ascii="Calibri" w:hAnsi="Calibri"/>
          <w:b/>
          <w:color w:val="0A3641"/>
          <w:sz w:val="30"/>
        </w:rPr>
        <w:t>1. Introduction</w:t>
      </w:r>
    </w:p>
    <w:p>
      <w:pPr>
        <w:spacing w:after="120" w:line="276" w:lineRule="auto"/>
        <w:jc w:val="both"/>
      </w:pPr>
      <w:r>
        <w:rPr>
          <w:rFonts w:ascii="Calibri" w:hAnsi="Calibri"/>
          <w:color w:val="1F2937"/>
          <w:sz w:val="22"/>
        </w:rPr>
        <w:t>Modern healthcare institutions operate under unprecedented operational strain. In hospitals worldwide, the demand for inpatient beds routinely exceeds physical capacity, resulting in Emergency Department (ED) boarding delays, cancelled elective procedures, patient dissatisfaction, and clinician burnout. A central determinant of hospital bed availability is the Patient Length of Stay (LOS) — the duration (in days) between a patient's formal admission and their eventual discharge.</w:t>
      </w:r>
    </w:p>
    <w:p>
      <w:pPr>
        <w:spacing w:after="120" w:line="276" w:lineRule="auto"/>
        <w:jc w:val="both"/>
      </w:pPr>
      <w:r>
        <w:rPr>
          <w:rFonts w:ascii="Calibri" w:hAnsi="Calibri"/>
          <w:color w:val="1F2937"/>
          <w:sz w:val="22"/>
        </w:rPr>
        <w:t>Historically, hospital administrators have relied on coarse, historical departmental averages or subjective clinician estimates to anticipate bed turnover. However, human clinical estimates of discharge dates exhibit significant error rates (often deviating by 2 to 5 days), failing to capture non-linear interactions among patient age, multimorbid chronic conditions, acute laboratory decompensation, and procedural complexity. Consequently, bed managers operate reactively rather than proactively, scrambling to discharge convalescing patients when the emergency wing reaches crisis capacity.</w:t>
      </w:r>
    </w:p>
    <w:p>
      <w:pPr>
        <w:spacing w:after="120" w:line="276" w:lineRule="auto"/>
        <w:jc w:val="both"/>
      </w:pPr>
      <w:r>
        <w:rPr>
          <w:rFonts w:ascii="Calibri" w:hAnsi="Calibri"/>
          <w:color w:val="1F2937"/>
          <w:sz w:val="22"/>
        </w:rPr>
        <w:t>Machine Learning (ML), and specifically ensemble learning algorithms such as Random Forest, offers a transformative paradigm for healthcare operations. By synthesizing complex multidimensional patient telemetry at the point of admission — including demographic indicators, admission urgency, chronic disease burden, and acute physiological lab values — machine learning models can accurately classify patients into operational Length-of-Stay tiers.</w:t>
      </w:r>
    </w:p>
    <w:p>
      <w:pPr>
        <w:spacing w:after="120" w:line="276" w:lineRule="auto"/>
        <w:jc w:val="both"/>
      </w:pPr>
      <w:r>
        <w:rPr>
          <w:rFonts w:ascii="Calibri" w:hAnsi="Calibri"/>
          <w:color w:val="1F2937"/>
          <w:sz w:val="22"/>
        </w:rPr>
        <w:t>Developed under the professional mentorship of GyanAstra Technologies, this project presents an end-to-end, full-stack AI Hospital Management System. Grounded in 10,000 synthetic patient admission records calibrated to real-world clinical benchmarks from the Healthcare Cost and Utilization Project (HCUP) and MIT's MIMIC-III database, the system trains a balanced 200-tree Random Forest classifier, conducts rigorous 5-fold cross-validation, generates comprehensive evaluation diagnostics, and deploys the model via a high-performance Flask REST API coupled to an intuitive, dark-mode clinical dashboard.</w:t>
      </w:r>
    </w:p>
    <w:p>
      <w:pPr>
        <w:keepNext/>
        <w:spacing w:before="320" w:after="120"/>
      </w:pPr>
      <w:r>
        <w:rPr>
          <w:rFonts w:ascii="Calibri" w:hAnsi="Calibri"/>
          <w:b/>
          <w:color w:val="0A3641"/>
          <w:sz w:val="30"/>
        </w:rPr>
        <w:t>2. Objectives</w:t>
      </w:r>
    </w:p>
    <w:p>
      <w:pPr>
        <w:spacing w:after="120" w:line="276" w:lineRule="auto"/>
        <w:jc w:val="both"/>
      </w:pPr>
      <w:r>
        <w:rPr>
          <w:rFonts w:ascii="Calibri" w:hAnsi="Calibri"/>
          <w:color w:val="1F2937"/>
          <w:sz w:val="22"/>
        </w:rPr>
        <w:t>The primary technical and operational objectives of this project are formulated as follows:</w:t>
      </w:r>
    </w:p>
    <w:p>
      <w:pPr>
        <w:pStyle w:val="ListParagraph"/>
        <w:spacing w:after="80" w:line="276" w:lineRule="auto"/>
      </w:pPr>
      <w:r>
        <w:rPr>
          <w:rFonts w:ascii="Calibri" w:hAnsi="Calibri"/>
          <w:color w:val="1F2937"/>
          <w:sz w:val="22"/>
        </w:rPr>
        <w:t>1. Clinical Telemetry Pipeline Engineering: To synthesize and preprocess a high-fidelity 10,000-record patient dataset representing diverse demographic, clinical, laboratory, and admission parameters based on HCUP and MIMIC-III statistical distributions.</w:t>
      </w:r>
    </w:p>
    <w:p>
      <w:pPr>
        <w:pStyle w:val="ListParagraph"/>
        <w:spacing w:after="80" w:line="276" w:lineRule="auto"/>
      </w:pPr>
      <w:r>
        <w:rPr>
          <w:rFonts w:ascii="Calibri" w:hAnsi="Calibri"/>
          <w:color w:val="1F2937"/>
          <w:sz w:val="22"/>
        </w:rPr>
        <w:t>2. Multi-Modal Feature Extraction: To engineer 17 predictive features capturing patient acuity, chronic disease burden (Charlson Comorbidity Index), renal markers (Creatinine), metabolic indices (HbA1c), systemic infection indicators (WBC), and facility utilization demands.</w:t>
      </w:r>
    </w:p>
    <w:p>
      <w:pPr>
        <w:pStyle w:val="ListParagraph"/>
        <w:spacing w:after="80" w:line="276" w:lineRule="auto"/>
      </w:pPr>
      <w:r>
        <w:rPr>
          <w:rFonts w:ascii="Calibri" w:hAnsi="Calibri"/>
          <w:color w:val="1F2937"/>
          <w:sz w:val="22"/>
        </w:rPr>
        <w:t>3. Ensemble Model Architecture Design: To construct, tune, and train a 200-tree Random Forest classifier with balanced class weighting to handle real-world clinical class imbalances without sacrificing minority-class sensitivity.</w:t>
      </w:r>
    </w:p>
    <w:p>
      <w:pPr>
        <w:pStyle w:val="ListParagraph"/>
        <w:spacing w:after="80" w:line="276" w:lineRule="auto"/>
      </w:pPr>
      <w:r>
        <w:rPr>
          <w:rFonts w:ascii="Calibri" w:hAnsi="Calibri"/>
          <w:color w:val="1F2937"/>
          <w:sz w:val="22"/>
        </w:rPr>
        <w:t>4. Operational Clinical Triage Discretization: To classify patients into three actionable operational categories: Short Stay (&lt; 3 days), Medium Stay (3–7 days), and Long Stay (&gt; 7 days) to directly assist bed capacity managers.</w:t>
      </w:r>
    </w:p>
    <w:p>
      <w:pPr>
        <w:pStyle w:val="ListParagraph"/>
        <w:spacing w:after="80" w:line="276" w:lineRule="auto"/>
      </w:pPr>
      <w:r>
        <w:rPr>
          <w:rFonts w:ascii="Calibri" w:hAnsi="Calibri"/>
          <w:color w:val="1F2937"/>
          <w:sz w:val="22"/>
        </w:rPr>
        <w:t>5. Rigorous Empirical Evaluation: To validate the model using 5-fold Stratified Cross-Validation, ROC-AUC curve analysis, confusion matrices, and feature importance rankings, ensuring statistical robustness and clinical validity.</w:t>
      </w:r>
    </w:p>
    <w:p>
      <w:pPr>
        <w:pStyle w:val="ListParagraph"/>
        <w:spacing w:after="80" w:line="276" w:lineRule="auto"/>
      </w:pPr>
      <w:r>
        <w:rPr>
          <w:rFonts w:ascii="Calibri" w:hAnsi="Calibri"/>
          <w:color w:val="1F2937"/>
          <w:sz w:val="22"/>
        </w:rPr>
        <w:t>6. Microservice Backend &amp; Production API: To develop a lightweight, production-ready Flask REST API serving predictions in sub-30ms latency on commodity CPU hardware without cloud or GPU dependencies.</w:t>
      </w:r>
    </w:p>
    <w:p>
      <w:pPr>
        <w:pStyle w:val="ListParagraph"/>
        <w:spacing w:after="80" w:line="276" w:lineRule="auto"/>
      </w:pPr>
      <w:r>
        <w:rPr>
          <w:rFonts w:ascii="Calibri" w:hAnsi="Calibri"/>
          <w:color w:val="1F2937"/>
          <w:sz w:val="22"/>
        </w:rPr>
        <w:t>7. User-Centered Clinical Dashboard: To engineer a modern, dark-mode glassmorphism web dashboard enabling hospital staff to perform real-time patient intake triage, view probability distributions, and receive automated bed allocation recommendations.</w:t>
      </w:r>
    </w:p>
    <w:p>
      <w:pPr>
        <w:keepNext/>
        <w:spacing w:before="320" w:after="120"/>
      </w:pPr>
      <w:r>
        <w:rPr>
          <w:rFonts w:ascii="Calibri" w:hAnsi="Calibri"/>
          <w:b/>
          <w:color w:val="0A3641"/>
          <w:sz w:val="30"/>
        </w:rPr>
        <w:t>3. Literature Review / Existing Systems</w:t>
      </w:r>
    </w:p>
    <w:p>
      <w:pPr>
        <w:spacing w:after="120" w:line="276" w:lineRule="auto"/>
        <w:jc w:val="both"/>
      </w:pPr>
      <w:r>
        <w:rPr>
          <w:rFonts w:ascii="Calibri" w:hAnsi="Calibri"/>
          <w:color w:val="1F2937"/>
          <w:sz w:val="22"/>
        </w:rPr>
        <w:t>The application of quantitative modeling to hospital length of stay prediction has evolved across three major technological eras over the past three decades. A critical comparative review highlights the historical progression, architectural trade-offs, and justification for the proposed ensemble Random Forest approach:</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2484"/>
        <w:gridCol w:w="2484"/>
        <w:gridCol w:w="2484"/>
        <w:gridCol w:w="2484"/>
      </w:tblGrid>
      <w:tr>
        <w:tc>
          <w:tcPr>
            <w:tcW w:type="dxa" w:w="2592"/>
            <w:shd w:val="clear" w:color="auto" w:fill="0A3641"/>
            <w:tcMar>
              <w:top w:w="140" w:type="dxa"/>
              <w:bottom w:w="140" w:type="dxa"/>
              <w:left w:w="180" w:type="dxa"/>
              <w:right w:w="180" w:type="dxa"/>
            </w:tcMar>
          </w:tcPr>
          <w:p>
            <w:pPr>
              <w:jc w:val="center"/>
            </w:pPr>
            <w:r>
              <w:rPr>
                <w:b/>
                <w:color w:val="FFFFFF"/>
                <w:sz w:val="20"/>
              </w:rPr>
              <w:t>Era / Methodology</w:t>
            </w:r>
          </w:p>
        </w:tc>
        <w:tc>
          <w:tcPr>
            <w:tcW w:type="dxa" w:w="2304"/>
            <w:shd w:val="clear" w:color="auto" w:fill="0A3641"/>
            <w:tcMar>
              <w:top w:w="140" w:type="dxa"/>
              <w:bottom w:w="140" w:type="dxa"/>
              <w:left w:w="180" w:type="dxa"/>
              <w:right w:w="180" w:type="dxa"/>
            </w:tcMar>
          </w:tcPr>
          <w:p>
            <w:pPr>
              <w:jc w:val="center"/>
            </w:pPr>
            <w:r>
              <w:rPr>
                <w:b/>
                <w:color w:val="FFFFFF"/>
                <w:sz w:val="20"/>
              </w:rPr>
              <w:t>Representative System</w:t>
            </w:r>
          </w:p>
        </w:tc>
        <w:tc>
          <w:tcPr>
            <w:tcW w:type="dxa" w:w="2880"/>
            <w:shd w:val="clear" w:color="auto" w:fill="0A3641"/>
            <w:tcMar>
              <w:top w:w="140" w:type="dxa"/>
              <w:bottom w:w="140" w:type="dxa"/>
              <w:left w:w="180" w:type="dxa"/>
              <w:right w:w="180" w:type="dxa"/>
            </w:tcMar>
          </w:tcPr>
          <w:p>
            <w:pPr>
              <w:jc w:val="center"/>
            </w:pPr>
            <w:r>
              <w:rPr>
                <w:b/>
                <w:color w:val="FFFFFF"/>
                <w:sz w:val="20"/>
              </w:rPr>
              <w:t>Primary Mechanism</w:t>
            </w:r>
          </w:p>
        </w:tc>
        <w:tc>
          <w:tcPr>
            <w:tcW w:type="dxa" w:w="3744"/>
            <w:shd w:val="clear" w:color="auto" w:fill="0A3641"/>
            <w:tcMar>
              <w:top w:w="140" w:type="dxa"/>
              <w:bottom w:w="140" w:type="dxa"/>
              <w:left w:w="180" w:type="dxa"/>
              <w:right w:w="180" w:type="dxa"/>
            </w:tcMar>
          </w:tcPr>
          <w:p>
            <w:pPr>
              <w:jc w:val="center"/>
            </w:pPr>
            <w:r>
              <w:rPr>
                <w:b/>
                <w:color w:val="FFFFFF"/>
                <w:sz w:val="20"/>
              </w:rPr>
              <w:t>Critical Limitations</w:t>
            </w:r>
          </w:p>
        </w:tc>
      </w:tr>
      <w:tr>
        <w:tc>
          <w:tcPr>
            <w:tcW w:type="dxa" w:w="2592"/>
            <w:shd w:val="clear" w:color="auto" w:fill="FFFFFF"/>
            <w:tcMar>
              <w:top w:w="100" w:type="dxa"/>
              <w:bottom w:w="100" w:type="dxa"/>
              <w:left w:w="160" w:type="dxa"/>
              <w:right w:w="160" w:type="dxa"/>
            </w:tcMar>
          </w:tcPr>
          <w:p>
            <w:pPr>
              <w:jc w:val="left"/>
            </w:pPr>
            <w:r>
              <w:rPr>
                <w:color w:val="1F2937"/>
                <w:sz w:val="19"/>
              </w:rPr>
              <w:t>Classical Statistical Modeling (1990–2005)</w:t>
            </w:r>
          </w:p>
        </w:tc>
        <w:tc>
          <w:tcPr>
            <w:tcW w:type="dxa" w:w="2304"/>
            <w:shd w:val="clear" w:color="auto" w:fill="FFFFFF"/>
            <w:tcMar>
              <w:top w:w="100" w:type="dxa"/>
              <w:bottom w:w="100" w:type="dxa"/>
              <w:left w:w="160" w:type="dxa"/>
              <w:right w:w="160" w:type="dxa"/>
            </w:tcMar>
          </w:tcPr>
          <w:p>
            <w:pPr>
              <w:jc w:val="left"/>
            </w:pPr>
            <w:r>
              <w:rPr>
                <w:color w:val="1F2937"/>
                <w:sz w:val="19"/>
              </w:rPr>
              <w:t>DRG Linear Regression</w:t>
            </w:r>
          </w:p>
        </w:tc>
        <w:tc>
          <w:tcPr>
            <w:tcW w:type="dxa" w:w="2880"/>
            <w:shd w:val="clear" w:color="auto" w:fill="FFFFFF"/>
            <w:tcMar>
              <w:top w:w="100" w:type="dxa"/>
              <w:bottom w:w="100" w:type="dxa"/>
              <w:left w:w="160" w:type="dxa"/>
              <w:right w:w="160" w:type="dxa"/>
            </w:tcMar>
          </w:tcPr>
          <w:p>
            <w:pPr>
              <w:jc w:val="left"/>
            </w:pPr>
            <w:r>
              <w:rPr>
                <w:color w:val="1F2937"/>
                <w:sz w:val="19"/>
              </w:rPr>
              <w:t>Ordinary Least Squares on billing codes</w:t>
            </w:r>
          </w:p>
        </w:tc>
        <w:tc>
          <w:tcPr>
            <w:tcW w:type="dxa" w:w="3744"/>
            <w:shd w:val="clear" w:color="auto" w:fill="FFFFFF"/>
            <w:tcMar>
              <w:top w:w="100" w:type="dxa"/>
              <w:bottom w:w="100" w:type="dxa"/>
              <w:left w:w="160" w:type="dxa"/>
              <w:right w:w="160" w:type="dxa"/>
            </w:tcMar>
          </w:tcPr>
          <w:p>
            <w:pPr>
              <w:jc w:val="left"/>
            </w:pPr>
            <w:r>
              <w:rPr>
                <w:color w:val="1F2937"/>
                <w:sz w:val="19"/>
              </w:rPr>
              <w:t>R² &lt; 0.35; highly sensitive to outliers; assumes linear clinical relationships.</w:t>
            </w:r>
          </w:p>
        </w:tc>
      </w:tr>
      <w:tr>
        <w:tc>
          <w:tcPr>
            <w:tcW w:type="dxa" w:w="2592"/>
            <w:shd w:val="clear" w:color="auto" w:fill="F4FAFA"/>
            <w:tcMar>
              <w:top w:w="100" w:type="dxa"/>
              <w:bottom w:w="100" w:type="dxa"/>
              <w:left w:w="160" w:type="dxa"/>
              <w:right w:w="160" w:type="dxa"/>
            </w:tcMar>
          </w:tcPr>
          <w:p>
            <w:pPr>
              <w:jc w:val="left"/>
            </w:pPr>
            <w:r>
              <w:rPr>
                <w:color w:val="1F2937"/>
                <w:sz w:val="19"/>
              </w:rPr>
              <w:t>Acuity Scoring Systems (2000–2015)</w:t>
            </w:r>
          </w:p>
        </w:tc>
        <w:tc>
          <w:tcPr>
            <w:tcW w:type="dxa" w:w="2304"/>
            <w:shd w:val="clear" w:color="auto" w:fill="F4FAFA"/>
            <w:tcMar>
              <w:top w:w="100" w:type="dxa"/>
              <w:bottom w:w="100" w:type="dxa"/>
              <w:left w:w="160" w:type="dxa"/>
              <w:right w:w="160" w:type="dxa"/>
            </w:tcMar>
          </w:tcPr>
          <w:p>
            <w:pPr>
              <w:jc w:val="left"/>
            </w:pPr>
            <w:r>
              <w:rPr>
                <w:color w:val="1F2937"/>
                <w:sz w:val="19"/>
              </w:rPr>
              <w:t>APACHE II / SOFA Scores</w:t>
            </w:r>
          </w:p>
        </w:tc>
        <w:tc>
          <w:tcPr>
            <w:tcW w:type="dxa" w:w="2880"/>
            <w:shd w:val="clear" w:color="auto" w:fill="F4FAFA"/>
            <w:tcMar>
              <w:top w:w="100" w:type="dxa"/>
              <w:bottom w:w="100" w:type="dxa"/>
              <w:left w:w="160" w:type="dxa"/>
              <w:right w:w="160" w:type="dxa"/>
            </w:tcMar>
          </w:tcPr>
          <w:p>
            <w:pPr>
              <w:jc w:val="left"/>
            </w:pPr>
            <w:r>
              <w:rPr>
                <w:color w:val="1F2937"/>
                <w:sz w:val="19"/>
              </w:rPr>
              <w:t>Rule-based integer scoring of acute vitals</w:t>
            </w:r>
          </w:p>
        </w:tc>
        <w:tc>
          <w:tcPr>
            <w:tcW w:type="dxa" w:w="3744"/>
            <w:shd w:val="clear" w:color="auto" w:fill="F4FAFA"/>
            <w:tcMar>
              <w:top w:w="100" w:type="dxa"/>
              <w:bottom w:w="100" w:type="dxa"/>
              <w:left w:w="160" w:type="dxa"/>
              <w:right w:w="160" w:type="dxa"/>
            </w:tcMar>
          </w:tcPr>
          <w:p>
            <w:pPr>
              <w:jc w:val="left"/>
            </w:pPr>
            <w:r>
              <w:rPr>
                <w:color w:val="1F2937"/>
                <w:sz w:val="19"/>
              </w:rPr>
              <w:t>Designed solely for ICU mortality; static thresholds; poor ward generalization.</w:t>
            </w:r>
          </w:p>
        </w:tc>
      </w:tr>
      <w:tr>
        <w:tc>
          <w:tcPr>
            <w:tcW w:type="dxa" w:w="2592"/>
            <w:shd w:val="clear" w:color="auto" w:fill="FFFFFF"/>
            <w:tcMar>
              <w:top w:w="100" w:type="dxa"/>
              <w:bottom w:w="100" w:type="dxa"/>
              <w:left w:w="160" w:type="dxa"/>
              <w:right w:w="160" w:type="dxa"/>
            </w:tcMar>
          </w:tcPr>
          <w:p>
            <w:pPr>
              <w:jc w:val="left"/>
            </w:pPr>
            <w:r>
              <w:rPr>
                <w:color w:val="1F2937"/>
                <w:sz w:val="19"/>
              </w:rPr>
              <w:t>Proprietary Enterprise Analytics (2015–Present)</w:t>
            </w:r>
          </w:p>
        </w:tc>
        <w:tc>
          <w:tcPr>
            <w:tcW w:type="dxa" w:w="2304"/>
            <w:shd w:val="clear" w:color="auto" w:fill="FFFFFF"/>
            <w:tcMar>
              <w:top w:w="100" w:type="dxa"/>
              <w:bottom w:w="100" w:type="dxa"/>
              <w:left w:w="160" w:type="dxa"/>
              <w:right w:w="160" w:type="dxa"/>
            </w:tcMar>
          </w:tcPr>
          <w:p>
            <w:pPr>
              <w:jc w:val="left"/>
            </w:pPr>
            <w:r>
              <w:rPr>
                <w:color w:val="1F2937"/>
                <w:sz w:val="19"/>
              </w:rPr>
              <w:t>Epic Cognitive Computing</w:t>
            </w:r>
          </w:p>
        </w:tc>
        <w:tc>
          <w:tcPr>
            <w:tcW w:type="dxa" w:w="2880"/>
            <w:shd w:val="clear" w:color="auto" w:fill="FFFFFF"/>
            <w:tcMar>
              <w:top w:w="100" w:type="dxa"/>
              <w:bottom w:w="100" w:type="dxa"/>
              <w:left w:w="160" w:type="dxa"/>
              <w:right w:w="160" w:type="dxa"/>
            </w:tcMar>
          </w:tcPr>
          <w:p>
            <w:pPr>
              <w:jc w:val="left"/>
            </w:pPr>
            <w:r>
              <w:rPr>
                <w:color w:val="1F2937"/>
                <w:sz w:val="19"/>
              </w:rPr>
              <w:t>Proprietary gradient boosting modules</w:t>
            </w:r>
          </w:p>
        </w:tc>
        <w:tc>
          <w:tcPr>
            <w:tcW w:type="dxa" w:w="3744"/>
            <w:shd w:val="clear" w:color="auto" w:fill="FFFFFF"/>
            <w:tcMar>
              <w:top w:w="100" w:type="dxa"/>
              <w:bottom w:w="100" w:type="dxa"/>
              <w:left w:w="160" w:type="dxa"/>
              <w:right w:w="160" w:type="dxa"/>
            </w:tcMar>
          </w:tcPr>
          <w:p>
            <w:pPr>
              <w:jc w:val="left"/>
            </w:pPr>
            <w:r>
              <w:rPr>
                <w:color w:val="1F2937"/>
                <w:sz w:val="19"/>
              </w:rPr>
              <w:t>Closed-source black boxes; exorbitant licensing; non-portable across hospital tiers.</w:t>
            </w:r>
          </w:p>
        </w:tc>
      </w:tr>
      <w:tr>
        <w:tc>
          <w:tcPr>
            <w:tcW w:type="dxa" w:w="2592"/>
            <w:shd w:val="clear" w:color="auto" w:fill="F4FAFA"/>
            <w:tcMar>
              <w:top w:w="100" w:type="dxa"/>
              <w:bottom w:w="100" w:type="dxa"/>
              <w:left w:w="160" w:type="dxa"/>
              <w:right w:w="160" w:type="dxa"/>
            </w:tcMar>
          </w:tcPr>
          <w:p>
            <w:pPr>
              <w:jc w:val="left"/>
            </w:pPr>
            <w:r>
              <w:rPr>
                <w:color w:val="1F2937"/>
                <w:sz w:val="19"/>
              </w:rPr>
              <w:t>Deep Sequential EHR Networks (2018–Present)</w:t>
            </w:r>
          </w:p>
        </w:tc>
        <w:tc>
          <w:tcPr>
            <w:tcW w:type="dxa" w:w="2304"/>
            <w:shd w:val="clear" w:color="auto" w:fill="F4FAFA"/>
            <w:tcMar>
              <w:top w:w="100" w:type="dxa"/>
              <w:bottom w:w="100" w:type="dxa"/>
              <w:left w:w="160" w:type="dxa"/>
              <w:right w:w="160" w:type="dxa"/>
            </w:tcMar>
          </w:tcPr>
          <w:p>
            <w:pPr>
              <w:jc w:val="left"/>
            </w:pPr>
            <w:r>
              <w:rPr>
                <w:color w:val="1F2937"/>
                <w:sz w:val="19"/>
              </w:rPr>
              <w:t>Rajkomar et al. (LSTM / Transformer)</w:t>
            </w:r>
          </w:p>
        </w:tc>
        <w:tc>
          <w:tcPr>
            <w:tcW w:type="dxa" w:w="2880"/>
            <w:shd w:val="clear" w:color="auto" w:fill="F4FAFA"/>
            <w:tcMar>
              <w:top w:w="100" w:type="dxa"/>
              <w:bottom w:w="100" w:type="dxa"/>
              <w:left w:w="160" w:type="dxa"/>
              <w:right w:w="160" w:type="dxa"/>
            </w:tcMar>
          </w:tcPr>
          <w:p>
            <w:pPr>
              <w:jc w:val="left"/>
            </w:pPr>
            <w:r>
              <w:rPr>
                <w:color w:val="1F2937"/>
                <w:sz w:val="19"/>
              </w:rPr>
              <w:t>Longitudinal recurrent networks on raw EHR</w:t>
            </w:r>
          </w:p>
        </w:tc>
        <w:tc>
          <w:tcPr>
            <w:tcW w:type="dxa" w:w="3744"/>
            <w:shd w:val="clear" w:color="auto" w:fill="F4FAFA"/>
            <w:tcMar>
              <w:top w:w="100" w:type="dxa"/>
              <w:bottom w:w="100" w:type="dxa"/>
              <w:left w:w="160" w:type="dxa"/>
              <w:right w:w="160" w:type="dxa"/>
            </w:tcMar>
          </w:tcPr>
          <w:p>
            <w:pPr>
              <w:jc w:val="left"/>
            </w:pPr>
            <w:r>
              <w:rPr>
                <w:color w:val="1F2937"/>
                <w:sz w:val="19"/>
              </w:rPr>
              <w:t>Requires massive structured databases; high GPU latency; zero clinical explainability.</w:t>
            </w:r>
          </w:p>
        </w:tc>
      </w:tr>
      <w:tr>
        <w:tc>
          <w:tcPr>
            <w:tcW w:type="dxa" w:w="2592"/>
            <w:shd w:val="clear" w:color="auto" w:fill="FFFFFF"/>
            <w:tcMar>
              <w:top w:w="100" w:type="dxa"/>
              <w:bottom w:w="100" w:type="dxa"/>
              <w:left w:w="160" w:type="dxa"/>
              <w:right w:w="160" w:type="dxa"/>
            </w:tcMar>
          </w:tcPr>
          <w:p>
            <w:pPr>
              <w:jc w:val="left"/>
            </w:pPr>
            <w:r>
              <w:rPr>
                <w:color w:val="1F2937"/>
                <w:sz w:val="19"/>
              </w:rPr>
              <w:t>Proposed GyanAstra System (2026)</w:t>
            </w:r>
          </w:p>
        </w:tc>
        <w:tc>
          <w:tcPr>
            <w:tcW w:type="dxa" w:w="2304"/>
            <w:shd w:val="clear" w:color="auto" w:fill="FFFFFF"/>
            <w:tcMar>
              <w:top w:w="100" w:type="dxa"/>
              <w:bottom w:w="100" w:type="dxa"/>
              <w:left w:w="160" w:type="dxa"/>
              <w:right w:w="160" w:type="dxa"/>
            </w:tcMar>
          </w:tcPr>
          <w:p>
            <w:pPr>
              <w:jc w:val="left"/>
            </w:pPr>
            <w:r>
              <w:rPr>
                <w:color w:val="1F2937"/>
                <w:sz w:val="19"/>
              </w:rPr>
              <w:t>Random Forest Ensemble (200 Trees)</w:t>
            </w:r>
          </w:p>
        </w:tc>
        <w:tc>
          <w:tcPr>
            <w:tcW w:type="dxa" w:w="2880"/>
            <w:shd w:val="clear" w:color="auto" w:fill="FFFFFF"/>
            <w:tcMar>
              <w:top w:w="100" w:type="dxa"/>
              <w:bottom w:w="100" w:type="dxa"/>
              <w:left w:w="160" w:type="dxa"/>
              <w:right w:w="160" w:type="dxa"/>
            </w:tcMar>
          </w:tcPr>
          <w:p>
            <w:pPr>
              <w:jc w:val="left"/>
            </w:pPr>
            <w:r>
              <w:rPr>
                <w:color w:val="1F2937"/>
                <w:sz w:val="19"/>
              </w:rPr>
              <w:t>De-correlated bagging trees with balanced weights</w:t>
            </w:r>
          </w:p>
        </w:tc>
        <w:tc>
          <w:tcPr>
            <w:tcW w:type="dxa" w:w="3744"/>
            <w:shd w:val="clear" w:color="auto" w:fill="FFFFFF"/>
            <w:tcMar>
              <w:top w:w="100" w:type="dxa"/>
              <w:bottom w:w="100" w:type="dxa"/>
              <w:left w:w="160" w:type="dxa"/>
              <w:right w:w="160" w:type="dxa"/>
            </w:tcMar>
          </w:tcPr>
          <w:p>
            <w:pPr>
              <w:jc w:val="left"/>
            </w:pPr>
            <w:r>
              <w:rPr>
                <w:color w:val="1F2937"/>
                <w:sz w:val="19"/>
              </w:rPr>
              <w:t>Fast CPU inference (&lt; 25ms); interpretable Gini importance; portable web UI.</w:t>
            </w:r>
          </w:p>
        </w:tc>
      </w:tr>
    </w:tbl>
    <w:p/>
    <w:p>
      <w:pPr>
        <w:spacing w:after="120" w:line="276" w:lineRule="auto"/>
        <w:jc w:val="both"/>
      </w:pPr>
      <w:r>
        <w:rPr>
          <w:rFonts w:ascii="Calibri" w:hAnsi="Calibri"/>
          <w:color w:val="1F2937"/>
          <w:sz w:val="22"/>
        </w:rPr>
        <w:t>While deep sequential architectures have gained academic attention, their deployment in community and regional hospital settings is severely impeded by prohibitive computational requirements, opaque decision-making ('black-box' nature), and extreme sensitivity to missing EHR fields. In contrast, Random Forest ensembling offers the ideal equilibrium for clinical operational tools: non-linear feature interaction modeling, intrinsic robustness against outliers, direct feature importance interpretability via Gini impurity decrease, and deterministic sub-30ms CPU inference.</w:t>
      </w:r>
    </w:p>
    <w:p>
      <w:pPr>
        <w:keepNext/>
        <w:spacing w:before="320" w:after="120"/>
      </w:pPr>
      <w:r>
        <w:rPr>
          <w:rFonts w:ascii="Calibri" w:hAnsi="Calibri"/>
          <w:b/>
          <w:color w:val="0A3641"/>
          <w:sz w:val="30"/>
        </w:rPr>
        <w:t>4. System Requirements</w:t>
      </w:r>
    </w:p>
    <w:p>
      <w:pPr>
        <w:keepNext/>
        <w:spacing w:before="240" w:after="80"/>
      </w:pPr>
      <w:r>
        <w:rPr>
          <w:rFonts w:ascii="Calibri" w:hAnsi="Calibri"/>
          <w:b/>
          <w:color w:val="008C95"/>
          <w:sz w:val="25"/>
        </w:rPr>
        <w:t>4.1 Hardware Requirements</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3312"/>
        <w:gridCol w:w="3312"/>
        <w:gridCol w:w="3312"/>
      </w:tblGrid>
      <w:tr>
        <w:tc>
          <w:tcPr>
            <w:tcW w:type="dxa" w:w="2592"/>
            <w:shd w:val="clear" w:color="auto" w:fill="0A3641"/>
            <w:tcMar>
              <w:top w:w="140" w:type="dxa"/>
              <w:bottom w:w="140" w:type="dxa"/>
              <w:left w:w="180" w:type="dxa"/>
              <w:right w:w="180" w:type="dxa"/>
            </w:tcMar>
          </w:tcPr>
          <w:p>
            <w:pPr>
              <w:jc w:val="center"/>
            </w:pPr>
            <w:r>
              <w:rPr>
                <w:b/>
                <w:color w:val="FFFFFF"/>
                <w:sz w:val="20"/>
              </w:rPr>
              <w:t>Hardware Component</w:t>
            </w:r>
          </w:p>
        </w:tc>
        <w:tc>
          <w:tcPr>
            <w:tcW w:type="dxa" w:w="3744"/>
            <w:shd w:val="clear" w:color="auto" w:fill="0A3641"/>
            <w:tcMar>
              <w:top w:w="140" w:type="dxa"/>
              <w:bottom w:w="140" w:type="dxa"/>
              <w:left w:w="180" w:type="dxa"/>
              <w:right w:w="180" w:type="dxa"/>
            </w:tcMar>
          </w:tcPr>
          <w:p>
            <w:pPr>
              <w:jc w:val="center"/>
            </w:pPr>
            <w:r>
              <w:rPr>
                <w:b/>
                <w:color w:val="FFFFFF"/>
                <w:sz w:val="20"/>
              </w:rPr>
              <w:t>Minimum Operational Specification</w:t>
            </w:r>
          </w:p>
        </w:tc>
        <w:tc>
          <w:tcPr>
            <w:tcW w:type="dxa" w:w="4032"/>
            <w:shd w:val="clear" w:color="auto" w:fill="0A3641"/>
            <w:tcMar>
              <w:top w:w="140" w:type="dxa"/>
              <w:bottom w:w="140" w:type="dxa"/>
              <w:left w:w="180" w:type="dxa"/>
              <w:right w:w="180" w:type="dxa"/>
            </w:tcMar>
          </w:tcPr>
          <w:p>
            <w:pPr>
              <w:jc w:val="center"/>
            </w:pPr>
            <w:r>
              <w:rPr>
                <w:b/>
                <w:color w:val="FFFFFF"/>
                <w:sz w:val="20"/>
              </w:rPr>
              <w:t>Recommended Production Specification</w:t>
            </w:r>
          </w:p>
        </w:tc>
      </w:tr>
      <w:tr>
        <w:tc>
          <w:tcPr>
            <w:tcW w:type="dxa" w:w="2592"/>
            <w:shd w:val="clear" w:color="auto" w:fill="FFFFFF"/>
            <w:tcMar>
              <w:top w:w="100" w:type="dxa"/>
              <w:bottom w:w="100" w:type="dxa"/>
              <w:left w:w="160" w:type="dxa"/>
              <w:right w:w="160" w:type="dxa"/>
            </w:tcMar>
          </w:tcPr>
          <w:p>
            <w:pPr>
              <w:jc w:val="left"/>
            </w:pPr>
            <w:r>
              <w:rPr>
                <w:color w:val="1F2937"/>
                <w:sz w:val="19"/>
              </w:rPr>
              <w:t>Processor (CPU)</w:t>
            </w:r>
          </w:p>
        </w:tc>
        <w:tc>
          <w:tcPr>
            <w:tcW w:type="dxa" w:w="3744"/>
            <w:shd w:val="clear" w:color="auto" w:fill="FFFFFF"/>
            <w:tcMar>
              <w:top w:w="100" w:type="dxa"/>
              <w:bottom w:w="100" w:type="dxa"/>
              <w:left w:w="160" w:type="dxa"/>
              <w:right w:w="160" w:type="dxa"/>
            </w:tcMar>
          </w:tcPr>
          <w:p>
            <w:pPr>
              <w:jc w:val="left"/>
            </w:pPr>
            <w:r>
              <w:rPr>
                <w:color w:val="1F2937"/>
                <w:sz w:val="19"/>
              </w:rPr>
              <w:t>Intel Core i3 / AMD Ryzen 3 (Dual-core, 2.0 GHz)</w:t>
            </w:r>
          </w:p>
        </w:tc>
        <w:tc>
          <w:tcPr>
            <w:tcW w:type="dxa" w:w="4032"/>
            <w:shd w:val="clear" w:color="auto" w:fill="FFFFFF"/>
            <w:tcMar>
              <w:top w:w="100" w:type="dxa"/>
              <w:bottom w:w="100" w:type="dxa"/>
              <w:left w:w="160" w:type="dxa"/>
              <w:right w:w="160" w:type="dxa"/>
            </w:tcMar>
          </w:tcPr>
          <w:p>
            <w:pPr>
              <w:jc w:val="left"/>
            </w:pPr>
            <w:r>
              <w:rPr>
                <w:color w:val="1F2937"/>
                <w:sz w:val="19"/>
              </w:rPr>
              <w:t>Intel Core i5 / AMD Ryzen 5 or Apple Silicon (Quad-core+)</w:t>
            </w:r>
          </w:p>
        </w:tc>
      </w:tr>
      <w:tr>
        <w:tc>
          <w:tcPr>
            <w:tcW w:type="dxa" w:w="2592"/>
            <w:shd w:val="clear" w:color="auto" w:fill="F4FAFA"/>
            <w:tcMar>
              <w:top w:w="100" w:type="dxa"/>
              <w:bottom w:w="100" w:type="dxa"/>
              <w:left w:w="160" w:type="dxa"/>
              <w:right w:w="160" w:type="dxa"/>
            </w:tcMar>
          </w:tcPr>
          <w:p>
            <w:pPr>
              <w:jc w:val="left"/>
            </w:pPr>
            <w:r>
              <w:rPr>
                <w:color w:val="1F2937"/>
                <w:sz w:val="19"/>
              </w:rPr>
              <w:t>System Memory (RAM)</w:t>
            </w:r>
          </w:p>
        </w:tc>
        <w:tc>
          <w:tcPr>
            <w:tcW w:type="dxa" w:w="3744"/>
            <w:shd w:val="clear" w:color="auto" w:fill="F4FAFA"/>
            <w:tcMar>
              <w:top w:w="100" w:type="dxa"/>
              <w:bottom w:w="100" w:type="dxa"/>
              <w:left w:w="160" w:type="dxa"/>
              <w:right w:w="160" w:type="dxa"/>
            </w:tcMar>
          </w:tcPr>
          <w:p>
            <w:pPr>
              <w:jc w:val="center"/>
            </w:pPr>
            <w:r>
              <w:rPr>
                <w:color w:val="1F2937"/>
                <w:sz w:val="19"/>
              </w:rPr>
              <w:t>4 GB DDR4</w:t>
            </w:r>
          </w:p>
        </w:tc>
        <w:tc>
          <w:tcPr>
            <w:tcW w:type="dxa" w:w="4032"/>
            <w:shd w:val="clear" w:color="auto" w:fill="F4FAFA"/>
            <w:tcMar>
              <w:top w:w="100" w:type="dxa"/>
              <w:bottom w:w="100" w:type="dxa"/>
              <w:left w:w="160" w:type="dxa"/>
              <w:right w:w="160" w:type="dxa"/>
            </w:tcMar>
          </w:tcPr>
          <w:p>
            <w:pPr>
              <w:jc w:val="left"/>
            </w:pPr>
            <w:r>
              <w:rPr>
                <w:color w:val="1F2937"/>
                <w:sz w:val="19"/>
              </w:rPr>
              <w:t>8 GB to 16 GB DDR4/DDR5</w:t>
            </w:r>
          </w:p>
        </w:tc>
      </w:tr>
      <w:tr>
        <w:tc>
          <w:tcPr>
            <w:tcW w:type="dxa" w:w="2592"/>
            <w:shd w:val="clear" w:color="auto" w:fill="FFFFFF"/>
            <w:tcMar>
              <w:top w:w="100" w:type="dxa"/>
              <w:bottom w:w="100" w:type="dxa"/>
              <w:left w:w="160" w:type="dxa"/>
              <w:right w:w="160" w:type="dxa"/>
            </w:tcMar>
          </w:tcPr>
          <w:p>
            <w:pPr>
              <w:jc w:val="left"/>
            </w:pPr>
            <w:r>
              <w:rPr>
                <w:color w:val="1F2937"/>
                <w:sz w:val="19"/>
              </w:rPr>
              <w:t>Storage Capacity</w:t>
            </w:r>
          </w:p>
        </w:tc>
        <w:tc>
          <w:tcPr>
            <w:tcW w:type="dxa" w:w="3744"/>
            <w:shd w:val="clear" w:color="auto" w:fill="FFFFFF"/>
            <w:tcMar>
              <w:top w:w="100" w:type="dxa"/>
              <w:bottom w:w="100" w:type="dxa"/>
              <w:left w:w="160" w:type="dxa"/>
              <w:right w:w="160" w:type="dxa"/>
            </w:tcMar>
          </w:tcPr>
          <w:p>
            <w:pPr>
              <w:jc w:val="left"/>
            </w:pPr>
            <w:r>
              <w:rPr>
                <w:color w:val="1F2937"/>
                <w:sz w:val="19"/>
              </w:rPr>
              <w:t>1 GB available solid-state storage</w:t>
            </w:r>
          </w:p>
        </w:tc>
        <w:tc>
          <w:tcPr>
            <w:tcW w:type="dxa" w:w="4032"/>
            <w:shd w:val="clear" w:color="auto" w:fill="FFFFFF"/>
            <w:tcMar>
              <w:top w:w="100" w:type="dxa"/>
              <w:bottom w:w="100" w:type="dxa"/>
              <w:left w:w="160" w:type="dxa"/>
              <w:right w:w="160" w:type="dxa"/>
            </w:tcMar>
          </w:tcPr>
          <w:p>
            <w:pPr>
              <w:jc w:val="left"/>
            </w:pPr>
            <w:r>
              <w:rPr>
                <w:color w:val="1F2937"/>
                <w:sz w:val="19"/>
              </w:rPr>
              <w:t>5 GB NVMe SSD for logs and telemetry archives</w:t>
            </w:r>
          </w:p>
        </w:tc>
      </w:tr>
      <w:tr>
        <w:tc>
          <w:tcPr>
            <w:tcW w:type="dxa" w:w="2592"/>
            <w:shd w:val="clear" w:color="auto" w:fill="F4FAFA"/>
            <w:tcMar>
              <w:top w:w="100" w:type="dxa"/>
              <w:bottom w:w="100" w:type="dxa"/>
              <w:left w:w="160" w:type="dxa"/>
              <w:right w:w="160" w:type="dxa"/>
            </w:tcMar>
          </w:tcPr>
          <w:p>
            <w:pPr>
              <w:jc w:val="left"/>
            </w:pPr>
            <w:r>
              <w:rPr>
                <w:color w:val="1F2937"/>
                <w:sz w:val="19"/>
              </w:rPr>
              <w:t>Network Interface</w:t>
            </w:r>
          </w:p>
        </w:tc>
        <w:tc>
          <w:tcPr>
            <w:tcW w:type="dxa" w:w="3744"/>
            <w:shd w:val="clear" w:color="auto" w:fill="F4FAFA"/>
            <w:tcMar>
              <w:top w:w="100" w:type="dxa"/>
              <w:bottom w:w="100" w:type="dxa"/>
              <w:left w:w="160" w:type="dxa"/>
              <w:right w:w="160" w:type="dxa"/>
            </w:tcMar>
          </w:tcPr>
          <w:p>
            <w:pPr>
              <w:jc w:val="left"/>
            </w:pPr>
            <w:r>
              <w:rPr>
                <w:color w:val="1F2937"/>
                <w:sz w:val="19"/>
              </w:rPr>
              <w:t>Loopback TCP/IP (offline capable)</w:t>
            </w:r>
          </w:p>
        </w:tc>
        <w:tc>
          <w:tcPr>
            <w:tcW w:type="dxa" w:w="4032"/>
            <w:shd w:val="clear" w:color="auto" w:fill="F4FAFA"/>
            <w:tcMar>
              <w:top w:w="100" w:type="dxa"/>
              <w:bottom w:w="100" w:type="dxa"/>
              <w:left w:w="160" w:type="dxa"/>
              <w:right w:w="160" w:type="dxa"/>
            </w:tcMar>
          </w:tcPr>
          <w:p>
            <w:pPr>
              <w:jc w:val="left"/>
            </w:pPr>
            <w:r>
              <w:rPr>
                <w:color w:val="1F2937"/>
                <w:sz w:val="19"/>
              </w:rPr>
              <w:t>1 Gbps Ethernet / Wi-Fi for multi-department access</w:t>
            </w:r>
          </w:p>
        </w:tc>
      </w:tr>
      <w:tr>
        <w:tc>
          <w:tcPr>
            <w:tcW w:type="dxa" w:w="2592"/>
            <w:shd w:val="clear" w:color="auto" w:fill="FFFFFF"/>
            <w:tcMar>
              <w:top w:w="100" w:type="dxa"/>
              <w:bottom w:w="100" w:type="dxa"/>
              <w:left w:w="160" w:type="dxa"/>
              <w:right w:w="160" w:type="dxa"/>
            </w:tcMar>
          </w:tcPr>
          <w:p>
            <w:pPr>
              <w:jc w:val="left"/>
            </w:pPr>
            <w:r>
              <w:rPr>
                <w:color w:val="1F2937"/>
                <w:sz w:val="19"/>
              </w:rPr>
              <w:t>Client Display Device</w:t>
            </w:r>
          </w:p>
        </w:tc>
        <w:tc>
          <w:tcPr>
            <w:tcW w:type="dxa" w:w="3744"/>
            <w:shd w:val="clear" w:color="auto" w:fill="FFFFFF"/>
            <w:tcMar>
              <w:top w:w="100" w:type="dxa"/>
              <w:bottom w:w="100" w:type="dxa"/>
              <w:left w:w="160" w:type="dxa"/>
              <w:right w:w="160" w:type="dxa"/>
            </w:tcMar>
          </w:tcPr>
          <w:p>
            <w:pPr>
              <w:jc w:val="left"/>
            </w:pPr>
            <w:r>
              <w:rPr>
                <w:color w:val="1F2937"/>
                <w:sz w:val="19"/>
              </w:rPr>
              <w:t>1024 × 768 standard desktop display</w:t>
            </w:r>
          </w:p>
        </w:tc>
        <w:tc>
          <w:tcPr>
            <w:tcW w:type="dxa" w:w="4032"/>
            <w:shd w:val="clear" w:color="auto" w:fill="FFFFFF"/>
            <w:tcMar>
              <w:top w:w="100" w:type="dxa"/>
              <w:bottom w:w="100" w:type="dxa"/>
              <w:left w:w="160" w:type="dxa"/>
              <w:right w:w="160" w:type="dxa"/>
            </w:tcMar>
          </w:tcPr>
          <w:p>
            <w:pPr>
              <w:jc w:val="left"/>
            </w:pPr>
            <w:r>
              <w:rPr>
                <w:color w:val="1F2937"/>
                <w:sz w:val="19"/>
              </w:rPr>
              <w:t>1920 × 1080 Full HD monitor or clinical tablet</w:t>
            </w:r>
          </w:p>
        </w:tc>
      </w:tr>
    </w:tbl>
    <w:p/>
    <w:p>
      <w:pPr>
        <w:keepNext/>
        <w:spacing w:before="240" w:after="80"/>
      </w:pPr>
      <w:r>
        <w:rPr>
          <w:rFonts w:ascii="Calibri" w:hAnsi="Calibri"/>
          <w:b/>
          <w:color w:val="008C95"/>
          <w:sz w:val="25"/>
        </w:rPr>
        <w:t>4.2 Software Requirements</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3312"/>
        <w:gridCol w:w="3312"/>
        <w:gridCol w:w="3312"/>
      </w:tblGrid>
      <w:tr>
        <w:tc>
          <w:tcPr>
            <w:tcW w:type="dxa" w:w="2592"/>
            <w:shd w:val="clear" w:color="auto" w:fill="0A3641"/>
            <w:tcMar>
              <w:top w:w="140" w:type="dxa"/>
              <w:bottom w:w="140" w:type="dxa"/>
              <w:left w:w="180" w:type="dxa"/>
              <w:right w:w="180" w:type="dxa"/>
            </w:tcMar>
          </w:tcPr>
          <w:p>
            <w:pPr>
              <w:jc w:val="center"/>
            </w:pPr>
            <w:r>
              <w:rPr>
                <w:b/>
                <w:color w:val="FFFFFF"/>
                <w:sz w:val="20"/>
              </w:rPr>
              <w:t>Software Component</w:t>
            </w:r>
          </w:p>
        </w:tc>
        <w:tc>
          <w:tcPr>
            <w:tcW w:type="dxa" w:w="2592"/>
            <w:shd w:val="clear" w:color="auto" w:fill="0A3641"/>
            <w:tcMar>
              <w:top w:w="140" w:type="dxa"/>
              <w:bottom w:w="140" w:type="dxa"/>
              <w:left w:w="180" w:type="dxa"/>
              <w:right w:w="180" w:type="dxa"/>
            </w:tcMar>
          </w:tcPr>
          <w:p>
            <w:pPr>
              <w:jc w:val="center"/>
            </w:pPr>
            <w:r>
              <w:rPr>
                <w:b/>
                <w:color w:val="FFFFFF"/>
                <w:sz w:val="20"/>
              </w:rPr>
              <w:t>Version / Release</w:t>
            </w:r>
          </w:p>
        </w:tc>
        <w:tc>
          <w:tcPr>
            <w:tcW w:type="dxa" w:w="5184"/>
            <w:shd w:val="clear" w:color="auto" w:fill="0A3641"/>
            <w:tcMar>
              <w:top w:w="140" w:type="dxa"/>
              <w:bottom w:w="140" w:type="dxa"/>
              <w:left w:w="180" w:type="dxa"/>
              <w:right w:w="180" w:type="dxa"/>
            </w:tcMar>
          </w:tcPr>
          <w:p>
            <w:pPr>
              <w:jc w:val="center"/>
            </w:pPr>
            <w:r>
              <w:rPr>
                <w:b/>
                <w:color w:val="FFFFFF"/>
                <w:sz w:val="20"/>
              </w:rPr>
              <w:t>Functional Role in System Architecture</w:t>
            </w:r>
          </w:p>
        </w:tc>
      </w:tr>
      <w:tr>
        <w:tc>
          <w:tcPr>
            <w:tcW w:type="dxa" w:w="2592"/>
            <w:shd w:val="clear" w:color="auto" w:fill="FFFFFF"/>
            <w:tcMar>
              <w:top w:w="100" w:type="dxa"/>
              <w:bottom w:w="100" w:type="dxa"/>
              <w:left w:w="160" w:type="dxa"/>
              <w:right w:w="160" w:type="dxa"/>
            </w:tcMar>
          </w:tcPr>
          <w:p>
            <w:pPr>
              <w:jc w:val="left"/>
            </w:pPr>
            <w:r>
              <w:rPr>
                <w:color w:val="1F2937"/>
                <w:sz w:val="19"/>
              </w:rPr>
              <w:t>Operating System</w:t>
            </w:r>
          </w:p>
        </w:tc>
        <w:tc>
          <w:tcPr>
            <w:tcW w:type="dxa" w:w="2592"/>
            <w:shd w:val="clear" w:color="auto" w:fill="FFFFFF"/>
            <w:tcMar>
              <w:top w:w="100" w:type="dxa"/>
              <w:bottom w:w="100" w:type="dxa"/>
              <w:left w:w="160" w:type="dxa"/>
              <w:right w:w="160" w:type="dxa"/>
            </w:tcMar>
          </w:tcPr>
          <w:p>
            <w:pPr>
              <w:jc w:val="left"/>
            </w:pPr>
            <w:r>
              <w:rPr>
                <w:color w:val="1F2937"/>
                <w:sz w:val="19"/>
              </w:rPr>
              <w:t>Windows 10/11, Ubuntu 22.04 LTS, macOS</w:t>
            </w:r>
          </w:p>
        </w:tc>
        <w:tc>
          <w:tcPr>
            <w:tcW w:type="dxa" w:w="5184"/>
            <w:shd w:val="clear" w:color="auto" w:fill="FFFFFF"/>
            <w:tcMar>
              <w:top w:w="100" w:type="dxa"/>
              <w:bottom w:w="100" w:type="dxa"/>
              <w:left w:w="160" w:type="dxa"/>
              <w:right w:w="160" w:type="dxa"/>
            </w:tcMar>
          </w:tcPr>
          <w:p>
            <w:pPr>
              <w:jc w:val="left"/>
            </w:pPr>
            <w:r>
              <w:rPr>
                <w:color w:val="1F2937"/>
                <w:sz w:val="19"/>
              </w:rPr>
              <w:t>Host execution environment</w:t>
            </w:r>
          </w:p>
        </w:tc>
      </w:tr>
      <w:tr>
        <w:tc>
          <w:tcPr>
            <w:tcW w:type="dxa" w:w="2592"/>
            <w:shd w:val="clear" w:color="auto" w:fill="F4FAFA"/>
            <w:tcMar>
              <w:top w:w="100" w:type="dxa"/>
              <w:bottom w:w="100" w:type="dxa"/>
              <w:left w:w="160" w:type="dxa"/>
              <w:right w:w="160" w:type="dxa"/>
            </w:tcMar>
          </w:tcPr>
          <w:p>
            <w:pPr>
              <w:jc w:val="left"/>
            </w:pPr>
            <w:r>
              <w:rPr>
                <w:color w:val="1F2937"/>
                <w:sz w:val="19"/>
              </w:rPr>
              <w:t>Runtime Environment</w:t>
            </w:r>
          </w:p>
        </w:tc>
        <w:tc>
          <w:tcPr>
            <w:tcW w:type="dxa" w:w="2592"/>
            <w:shd w:val="clear" w:color="auto" w:fill="F4FAFA"/>
            <w:tcMar>
              <w:top w:w="100" w:type="dxa"/>
              <w:bottom w:w="100" w:type="dxa"/>
              <w:left w:w="160" w:type="dxa"/>
              <w:right w:w="160" w:type="dxa"/>
            </w:tcMar>
          </w:tcPr>
          <w:p>
            <w:pPr>
              <w:jc w:val="left"/>
            </w:pPr>
            <w:r>
              <w:rPr>
                <w:color w:val="1F2937"/>
                <w:sz w:val="19"/>
              </w:rPr>
              <w:t>Python 3.10 to 3.12 (64-bit)</w:t>
            </w:r>
          </w:p>
        </w:tc>
        <w:tc>
          <w:tcPr>
            <w:tcW w:type="dxa" w:w="5184"/>
            <w:shd w:val="clear" w:color="auto" w:fill="F4FAFA"/>
            <w:tcMar>
              <w:top w:w="100" w:type="dxa"/>
              <w:bottom w:w="100" w:type="dxa"/>
              <w:left w:w="160" w:type="dxa"/>
              <w:right w:w="160" w:type="dxa"/>
            </w:tcMar>
          </w:tcPr>
          <w:p>
            <w:pPr>
              <w:jc w:val="left"/>
            </w:pPr>
            <w:r>
              <w:rPr>
                <w:color w:val="1F2937"/>
                <w:sz w:val="19"/>
              </w:rPr>
              <w:t>Core runtime for pipeline and microservice</w:t>
            </w:r>
          </w:p>
        </w:tc>
      </w:tr>
      <w:tr>
        <w:tc>
          <w:tcPr>
            <w:tcW w:type="dxa" w:w="2592"/>
            <w:shd w:val="clear" w:color="auto" w:fill="FFFFFF"/>
            <w:tcMar>
              <w:top w:w="100" w:type="dxa"/>
              <w:bottom w:w="100" w:type="dxa"/>
              <w:left w:w="160" w:type="dxa"/>
              <w:right w:w="160" w:type="dxa"/>
            </w:tcMar>
          </w:tcPr>
          <w:p>
            <w:pPr>
              <w:jc w:val="left"/>
            </w:pPr>
            <w:r>
              <w:rPr>
                <w:color w:val="1F2937"/>
                <w:sz w:val="19"/>
              </w:rPr>
              <w:t>Machine Learning Suite</w:t>
            </w:r>
          </w:p>
        </w:tc>
        <w:tc>
          <w:tcPr>
            <w:tcW w:type="dxa" w:w="2592"/>
            <w:shd w:val="clear" w:color="auto" w:fill="FFFFFF"/>
            <w:tcMar>
              <w:top w:w="100" w:type="dxa"/>
              <w:bottom w:w="100" w:type="dxa"/>
              <w:left w:w="160" w:type="dxa"/>
              <w:right w:w="160" w:type="dxa"/>
            </w:tcMar>
          </w:tcPr>
          <w:p>
            <w:pPr>
              <w:jc w:val="left"/>
            </w:pPr>
            <w:r>
              <w:rPr>
                <w:color w:val="1F2937"/>
                <w:sz w:val="19"/>
              </w:rPr>
              <w:t>Scikit-Learn 1.4+ (Cython backend)</w:t>
            </w:r>
          </w:p>
        </w:tc>
        <w:tc>
          <w:tcPr>
            <w:tcW w:type="dxa" w:w="5184"/>
            <w:shd w:val="clear" w:color="auto" w:fill="FFFFFF"/>
            <w:tcMar>
              <w:top w:w="100" w:type="dxa"/>
              <w:bottom w:w="100" w:type="dxa"/>
              <w:left w:w="160" w:type="dxa"/>
              <w:right w:w="160" w:type="dxa"/>
            </w:tcMar>
          </w:tcPr>
          <w:p>
            <w:pPr>
              <w:jc w:val="left"/>
            </w:pPr>
            <w:r>
              <w:rPr>
                <w:color w:val="1F2937"/>
                <w:sz w:val="19"/>
              </w:rPr>
              <w:t>RandomForestClassifier, StandardScaler, cross-validation</w:t>
            </w:r>
          </w:p>
        </w:tc>
      </w:tr>
      <w:tr>
        <w:tc>
          <w:tcPr>
            <w:tcW w:type="dxa" w:w="2592"/>
            <w:shd w:val="clear" w:color="auto" w:fill="F4FAFA"/>
            <w:tcMar>
              <w:top w:w="100" w:type="dxa"/>
              <w:bottom w:w="100" w:type="dxa"/>
              <w:left w:w="160" w:type="dxa"/>
              <w:right w:w="160" w:type="dxa"/>
            </w:tcMar>
          </w:tcPr>
          <w:p>
            <w:pPr>
              <w:jc w:val="left"/>
            </w:pPr>
            <w:r>
              <w:rPr>
                <w:color w:val="1F2937"/>
                <w:sz w:val="19"/>
              </w:rPr>
              <w:t>Numerical &amp; Data Tools</w:t>
            </w:r>
          </w:p>
        </w:tc>
        <w:tc>
          <w:tcPr>
            <w:tcW w:type="dxa" w:w="2592"/>
            <w:shd w:val="clear" w:color="auto" w:fill="F4FAFA"/>
            <w:tcMar>
              <w:top w:w="100" w:type="dxa"/>
              <w:bottom w:w="100" w:type="dxa"/>
              <w:left w:w="160" w:type="dxa"/>
              <w:right w:w="160" w:type="dxa"/>
            </w:tcMar>
          </w:tcPr>
          <w:p>
            <w:pPr>
              <w:jc w:val="left"/>
            </w:pPr>
            <w:r>
              <w:rPr>
                <w:color w:val="1F2937"/>
                <w:sz w:val="19"/>
              </w:rPr>
              <w:t>NumPy 1.26+, Pandas 2.2+</w:t>
            </w:r>
          </w:p>
        </w:tc>
        <w:tc>
          <w:tcPr>
            <w:tcW w:type="dxa" w:w="5184"/>
            <w:shd w:val="clear" w:color="auto" w:fill="F4FAFA"/>
            <w:tcMar>
              <w:top w:w="100" w:type="dxa"/>
              <w:bottom w:w="100" w:type="dxa"/>
              <w:left w:w="160" w:type="dxa"/>
              <w:right w:w="160" w:type="dxa"/>
            </w:tcMar>
          </w:tcPr>
          <w:p>
            <w:pPr>
              <w:jc w:val="left"/>
            </w:pPr>
            <w:r>
              <w:rPr>
                <w:color w:val="1F2937"/>
                <w:sz w:val="19"/>
              </w:rPr>
              <w:t>Matrix operations, tabular preprocessing, feature wrangling</w:t>
            </w:r>
          </w:p>
        </w:tc>
      </w:tr>
      <w:tr>
        <w:tc>
          <w:tcPr>
            <w:tcW w:type="dxa" w:w="2592"/>
            <w:shd w:val="clear" w:color="auto" w:fill="FFFFFF"/>
            <w:tcMar>
              <w:top w:w="100" w:type="dxa"/>
              <w:bottom w:w="100" w:type="dxa"/>
              <w:left w:w="160" w:type="dxa"/>
              <w:right w:w="160" w:type="dxa"/>
            </w:tcMar>
          </w:tcPr>
          <w:p>
            <w:pPr>
              <w:jc w:val="left"/>
            </w:pPr>
            <w:r>
              <w:rPr>
                <w:color w:val="1F2937"/>
                <w:sz w:val="19"/>
              </w:rPr>
              <w:t>Visualization Engines</w:t>
            </w:r>
          </w:p>
        </w:tc>
        <w:tc>
          <w:tcPr>
            <w:tcW w:type="dxa" w:w="2592"/>
            <w:shd w:val="clear" w:color="auto" w:fill="FFFFFF"/>
            <w:tcMar>
              <w:top w:w="100" w:type="dxa"/>
              <w:bottom w:w="100" w:type="dxa"/>
              <w:left w:w="160" w:type="dxa"/>
              <w:right w:w="160" w:type="dxa"/>
            </w:tcMar>
          </w:tcPr>
          <w:p>
            <w:pPr>
              <w:jc w:val="left"/>
            </w:pPr>
            <w:r>
              <w:rPr>
                <w:color w:val="1F2937"/>
                <w:sz w:val="19"/>
              </w:rPr>
              <w:t>Matplotlib 3.8+, Seaborn 0.13+</w:t>
            </w:r>
          </w:p>
        </w:tc>
        <w:tc>
          <w:tcPr>
            <w:tcW w:type="dxa" w:w="5184"/>
            <w:shd w:val="clear" w:color="auto" w:fill="FFFFFF"/>
            <w:tcMar>
              <w:top w:w="100" w:type="dxa"/>
              <w:bottom w:w="100" w:type="dxa"/>
              <w:left w:w="160" w:type="dxa"/>
              <w:right w:w="160" w:type="dxa"/>
            </w:tcMar>
          </w:tcPr>
          <w:p>
            <w:pPr>
              <w:jc w:val="left"/>
            </w:pPr>
            <w:r>
              <w:rPr>
                <w:color w:val="1F2937"/>
                <w:sz w:val="19"/>
              </w:rPr>
              <w:t>Evaluation curves, confusion matrices, block diagrams</w:t>
            </w:r>
          </w:p>
        </w:tc>
      </w:tr>
      <w:tr>
        <w:tc>
          <w:tcPr>
            <w:tcW w:type="dxa" w:w="2592"/>
            <w:shd w:val="clear" w:color="auto" w:fill="F4FAFA"/>
            <w:tcMar>
              <w:top w:w="100" w:type="dxa"/>
              <w:bottom w:w="100" w:type="dxa"/>
              <w:left w:w="160" w:type="dxa"/>
              <w:right w:w="160" w:type="dxa"/>
            </w:tcMar>
          </w:tcPr>
          <w:p>
            <w:pPr>
              <w:jc w:val="left"/>
            </w:pPr>
            <w:r>
              <w:rPr>
                <w:color w:val="1F2937"/>
                <w:sz w:val="19"/>
              </w:rPr>
              <w:t>Microservice Framework</w:t>
            </w:r>
          </w:p>
        </w:tc>
        <w:tc>
          <w:tcPr>
            <w:tcW w:type="dxa" w:w="2592"/>
            <w:shd w:val="clear" w:color="auto" w:fill="F4FAFA"/>
            <w:tcMar>
              <w:top w:w="100" w:type="dxa"/>
              <w:bottom w:w="100" w:type="dxa"/>
              <w:left w:w="160" w:type="dxa"/>
              <w:right w:w="160" w:type="dxa"/>
            </w:tcMar>
          </w:tcPr>
          <w:p>
            <w:pPr>
              <w:jc w:val="left"/>
            </w:pPr>
            <w:r>
              <w:rPr>
                <w:color w:val="1F2937"/>
                <w:sz w:val="19"/>
              </w:rPr>
              <w:t>Flask 3.0+ with Werkzeug WSGI</w:t>
            </w:r>
          </w:p>
        </w:tc>
        <w:tc>
          <w:tcPr>
            <w:tcW w:type="dxa" w:w="5184"/>
            <w:shd w:val="clear" w:color="auto" w:fill="F4FAFA"/>
            <w:tcMar>
              <w:top w:w="100" w:type="dxa"/>
              <w:bottom w:w="100" w:type="dxa"/>
              <w:left w:w="160" w:type="dxa"/>
              <w:right w:w="160" w:type="dxa"/>
            </w:tcMar>
          </w:tcPr>
          <w:p>
            <w:pPr>
              <w:jc w:val="left"/>
            </w:pPr>
            <w:r>
              <w:rPr>
                <w:color w:val="1F2937"/>
                <w:sz w:val="19"/>
              </w:rPr>
              <w:t>REST API serving /api/predict and static dashboard assets</w:t>
            </w:r>
          </w:p>
        </w:tc>
      </w:tr>
      <w:tr>
        <w:tc>
          <w:tcPr>
            <w:tcW w:type="dxa" w:w="2592"/>
            <w:shd w:val="clear" w:color="auto" w:fill="FFFFFF"/>
            <w:tcMar>
              <w:top w:w="100" w:type="dxa"/>
              <w:bottom w:w="100" w:type="dxa"/>
              <w:left w:w="160" w:type="dxa"/>
              <w:right w:w="160" w:type="dxa"/>
            </w:tcMar>
          </w:tcPr>
          <w:p>
            <w:pPr>
              <w:jc w:val="left"/>
            </w:pPr>
            <w:r>
              <w:rPr>
                <w:color w:val="1F2937"/>
                <w:sz w:val="19"/>
              </w:rPr>
              <w:t>Model Serialization</w:t>
            </w:r>
          </w:p>
        </w:tc>
        <w:tc>
          <w:tcPr>
            <w:tcW w:type="dxa" w:w="2592"/>
            <w:shd w:val="clear" w:color="auto" w:fill="FFFFFF"/>
            <w:tcMar>
              <w:top w:w="100" w:type="dxa"/>
              <w:bottom w:w="100" w:type="dxa"/>
              <w:left w:w="160" w:type="dxa"/>
              <w:right w:w="160" w:type="dxa"/>
            </w:tcMar>
          </w:tcPr>
          <w:p>
            <w:pPr>
              <w:jc w:val="left"/>
            </w:pPr>
            <w:r>
              <w:rPr>
                <w:color w:val="1F2937"/>
                <w:sz w:val="19"/>
              </w:rPr>
              <w:t>Joblib 1.3+ / Pickle</w:t>
            </w:r>
          </w:p>
        </w:tc>
        <w:tc>
          <w:tcPr>
            <w:tcW w:type="dxa" w:w="5184"/>
            <w:shd w:val="clear" w:color="auto" w:fill="FFFFFF"/>
            <w:tcMar>
              <w:top w:w="100" w:type="dxa"/>
              <w:bottom w:w="100" w:type="dxa"/>
              <w:left w:w="160" w:type="dxa"/>
              <w:right w:w="160" w:type="dxa"/>
            </w:tcMar>
          </w:tcPr>
          <w:p>
            <w:pPr>
              <w:jc w:val="left"/>
            </w:pPr>
            <w:r>
              <w:rPr>
                <w:color w:val="1F2937"/>
                <w:sz w:val="19"/>
              </w:rPr>
              <w:t>Atomic persistence of trained tree structures and scalers</w:t>
            </w:r>
          </w:p>
        </w:tc>
      </w:tr>
      <w:tr>
        <w:tc>
          <w:tcPr>
            <w:tcW w:type="dxa" w:w="2592"/>
            <w:shd w:val="clear" w:color="auto" w:fill="F4FAFA"/>
            <w:tcMar>
              <w:top w:w="100" w:type="dxa"/>
              <w:bottom w:w="100" w:type="dxa"/>
              <w:left w:w="160" w:type="dxa"/>
              <w:right w:w="160" w:type="dxa"/>
            </w:tcMar>
          </w:tcPr>
          <w:p>
            <w:pPr>
              <w:jc w:val="left"/>
            </w:pPr>
            <w:r>
              <w:rPr>
                <w:color w:val="1F2937"/>
                <w:sz w:val="19"/>
              </w:rPr>
              <w:t>Frontend Presentation</w:t>
            </w:r>
          </w:p>
        </w:tc>
        <w:tc>
          <w:tcPr>
            <w:tcW w:type="dxa" w:w="2592"/>
            <w:shd w:val="clear" w:color="auto" w:fill="F4FAFA"/>
            <w:tcMar>
              <w:top w:w="100" w:type="dxa"/>
              <w:bottom w:w="100" w:type="dxa"/>
              <w:left w:w="160" w:type="dxa"/>
              <w:right w:w="160" w:type="dxa"/>
            </w:tcMar>
          </w:tcPr>
          <w:p>
            <w:pPr>
              <w:jc w:val="left"/>
            </w:pPr>
            <w:r>
              <w:rPr>
                <w:color w:val="1F2937"/>
                <w:sz w:val="19"/>
              </w:rPr>
              <w:t>HTML5, Modern CSS3 Variables, Vanilla JS</w:t>
            </w:r>
          </w:p>
        </w:tc>
        <w:tc>
          <w:tcPr>
            <w:tcW w:type="dxa" w:w="5184"/>
            <w:shd w:val="clear" w:color="auto" w:fill="F4FAFA"/>
            <w:tcMar>
              <w:top w:w="100" w:type="dxa"/>
              <w:bottom w:w="100" w:type="dxa"/>
              <w:left w:w="160" w:type="dxa"/>
              <w:right w:w="160" w:type="dxa"/>
            </w:tcMar>
          </w:tcPr>
          <w:p>
            <w:pPr>
              <w:jc w:val="left"/>
            </w:pPr>
            <w:r>
              <w:rPr>
                <w:color w:val="1F2937"/>
                <w:sz w:val="19"/>
              </w:rPr>
              <w:t>Responsive glassmorphism dashboard (no CDN dependencies)</w:t>
            </w:r>
          </w:p>
        </w:tc>
      </w:tr>
    </w:tbl>
    <w:p/>
    <w:p>
      <w:r>
        <w:br w:type="page"/>
      </w:r>
    </w:p>
    <w:p>
      <w:pPr>
        <w:keepNext/>
        <w:spacing w:before="320" w:after="120"/>
      </w:pPr>
      <w:r>
        <w:rPr>
          <w:rFonts w:ascii="Calibri" w:hAnsi="Calibri"/>
          <w:b/>
          <w:color w:val="0A3641"/>
          <w:sz w:val="30"/>
        </w:rPr>
        <w:t>5. Dataset &amp; Feature Engineering — Detailed Description</w:t>
      </w:r>
    </w:p>
    <w:p>
      <w:pPr>
        <w:keepNext/>
        <w:spacing w:before="240" w:after="80"/>
      </w:pPr>
      <w:r>
        <w:rPr>
          <w:rFonts w:ascii="Calibri" w:hAnsi="Calibri"/>
          <w:b/>
          <w:color w:val="008C95"/>
          <w:sz w:val="25"/>
        </w:rPr>
        <w:t>5.1 Patient Dataset &amp; Clinical Variable Design</w:t>
      </w:r>
    </w:p>
    <w:p>
      <w:pPr>
        <w:spacing w:after="120" w:line="276" w:lineRule="auto"/>
        <w:jc w:val="both"/>
      </w:pPr>
      <w:r>
        <w:rPr>
          <w:rFonts w:ascii="Calibri" w:hAnsi="Calibri"/>
          <w:color w:val="1F2937"/>
          <w:sz w:val="22"/>
        </w:rPr>
        <w:t>The empirical foundation of the AI Hospital Management System comprises 10,000 synthetic patient admission records generated using rigorous multivariate statistical distributions calibrated to the Healthcare Cost and Utilization Project (HCUP) National Inpatient Sample and the MIT MIMIC-III database. Synthetic formulation guarantees full regulatory compliance with HIPAA and GDPR patient privacy standards while faithfully replicating the complex non-linear clinical relationships observed in real hospital inpatient cohorts.</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2484"/>
        <w:gridCol w:w="2484"/>
        <w:gridCol w:w="2484"/>
        <w:gridCol w:w="2484"/>
      </w:tblGrid>
      <w:tr>
        <w:tc>
          <w:tcPr>
            <w:tcW w:type="dxa" w:w="2160"/>
            <w:shd w:val="clear" w:color="auto" w:fill="0A3641"/>
            <w:tcMar>
              <w:top w:w="140" w:type="dxa"/>
              <w:bottom w:w="140" w:type="dxa"/>
              <w:left w:w="180" w:type="dxa"/>
              <w:right w:w="180" w:type="dxa"/>
            </w:tcMar>
          </w:tcPr>
          <w:p>
            <w:pPr>
              <w:jc w:val="center"/>
            </w:pPr>
            <w:r>
              <w:rPr>
                <w:b/>
                <w:color w:val="FFFFFF"/>
                <w:sz w:val="20"/>
              </w:rPr>
              <w:t>Feature Identifier</w:t>
            </w:r>
          </w:p>
        </w:tc>
        <w:tc>
          <w:tcPr>
            <w:tcW w:type="dxa" w:w="1584"/>
            <w:shd w:val="clear" w:color="auto" w:fill="0A3641"/>
            <w:tcMar>
              <w:top w:w="140" w:type="dxa"/>
              <w:bottom w:w="140" w:type="dxa"/>
              <w:left w:w="180" w:type="dxa"/>
              <w:right w:w="180" w:type="dxa"/>
            </w:tcMar>
          </w:tcPr>
          <w:p>
            <w:pPr>
              <w:jc w:val="center"/>
            </w:pPr>
            <w:r>
              <w:rPr>
                <w:b/>
                <w:color w:val="FFFFFF"/>
                <w:sz w:val="20"/>
              </w:rPr>
              <w:t>Data Type</w:t>
            </w:r>
          </w:p>
        </w:tc>
        <w:tc>
          <w:tcPr>
            <w:tcW w:type="dxa" w:w="2592"/>
            <w:shd w:val="clear" w:color="auto" w:fill="0A3641"/>
            <w:tcMar>
              <w:top w:w="140" w:type="dxa"/>
              <w:bottom w:w="140" w:type="dxa"/>
              <w:left w:w="180" w:type="dxa"/>
              <w:right w:w="180" w:type="dxa"/>
            </w:tcMar>
          </w:tcPr>
          <w:p>
            <w:pPr>
              <w:jc w:val="center"/>
            </w:pPr>
            <w:r>
              <w:rPr>
                <w:b/>
                <w:color w:val="FFFFFF"/>
                <w:sz w:val="20"/>
              </w:rPr>
              <w:t>Clinical Value Range</w:t>
            </w:r>
          </w:p>
        </w:tc>
        <w:tc>
          <w:tcPr>
            <w:tcW w:type="dxa" w:w="4032"/>
            <w:shd w:val="clear" w:color="auto" w:fill="0A3641"/>
            <w:tcMar>
              <w:top w:w="140" w:type="dxa"/>
              <w:bottom w:w="140" w:type="dxa"/>
              <w:left w:w="180" w:type="dxa"/>
              <w:right w:w="180" w:type="dxa"/>
            </w:tcMar>
          </w:tcPr>
          <w:p>
            <w:pPr>
              <w:jc w:val="center"/>
            </w:pPr>
            <w:r>
              <w:rPr>
                <w:b/>
                <w:color w:val="FFFFFF"/>
                <w:sz w:val="20"/>
              </w:rPr>
              <w:t>Physiological / Operational Significance</w:t>
            </w:r>
          </w:p>
        </w:tc>
      </w:tr>
      <w:tr>
        <w:tc>
          <w:tcPr>
            <w:tcW w:type="dxa" w:w="2160"/>
            <w:shd w:val="clear" w:color="auto" w:fill="FFFFFF"/>
            <w:tcMar>
              <w:top w:w="100" w:type="dxa"/>
              <w:bottom w:w="100" w:type="dxa"/>
              <w:left w:w="160" w:type="dxa"/>
              <w:right w:w="160" w:type="dxa"/>
            </w:tcMar>
          </w:tcPr>
          <w:p>
            <w:pPr>
              <w:jc w:val="left"/>
            </w:pPr>
            <w:r>
              <w:rPr>
                <w:color w:val="1F2937"/>
                <w:sz w:val="19"/>
              </w:rPr>
              <w:t>age</w:t>
            </w:r>
          </w:p>
        </w:tc>
        <w:tc>
          <w:tcPr>
            <w:tcW w:type="dxa" w:w="1584"/>
            <w:shd w:val="clear" w:color="auto" w:fill="FFFFFF"/>
            <w:tcMar>
              <w:top w:w="100" w:type="dxa"/>
              <w:bottom w:w="100" w:type="dxa"/>
              <w:left w:w="160" w:type="dxa"/>
              <w:right w:w="160" w:type="dxa"/>
            </w:tcMar>
          </w:tcPr>
          <w:p>
            <w:pPr>
              <w:jc w:val="center"/>
            </w:pPr>
            <w:r>
              <w:rPr>
                <w:color w:val="1F2937"/>
                <w:sz w:val="19"/>
              </w:rPr>
              <w:t>Continuous</w:t>
            </w:r>
          </w:p>
        </w:tc>
        <w:tc>
          <w:tcPr>
            <w:tcW w:type="dxa" w:w="2592"/>
            <w:shd w:val="clear" w:color="auto" w:fill="FFFFFF"/>
            <w:tcMar>
              <w:top w:w="100" w:type="dxa"/>
              <w:bottom w:w="100" w:type="dxa"/>
              <w:left w:w="160" w:type="dxa"/>
              <w:right w:w="160" w:type="dxa"/>
            </w:tcMar>
          </w:tcPr>
          <w:p>
            <w:pPr>
              <w:jc w:val="center"/>
            </w:pPr>
            <w:r>
              <w:rPr>
                <w:color w:val="1F2937"/>
                <w:sz w:val="19"/>
              </w:rPr>
              <w:t>18 to 95 years</w:t>
            </w:r>
          </w:p>
        </w:tc>
        <w:tc>
          <w:tcPr>
            <w:tcW w:type="dxa" w:w="4032"/>
            <w:shd w:val="clear" w:color="auto" w:fill="FFFFFF"/>
            <w:tcMar>
              <w:top w:w="100" w:type="dxa"/>
              <w:bottom w:w="100" w:type="dxa"/>
              <w:left w:w="160" w:type="dxa"/>
              <w:right w:w="160" w:type="dxa"/>
            </w:tcMar>
          </w:tcPr>
          <w:p>
            <w:pPr>
              <w:jc w:val="left"/>
            </w:pPr>
            <w:r>
              <w:rPr>
                <w:color w:val="1F2937"/>
                <w:sz w:val="19"/>
              </w:rPr>
              <w:t>Elderly patients exhibit reduced physiological reserve and longer convalescence.</w:t>
            </w:r>
          </w:p>
        </w:tc>
      </w:tr>
      <w:tr>
        <w:tc>
          <w:tcPr>
            <w:tcW w:type="dxa" w:w="2160"/>
            <w:shd w:val="clear" w:color="auto" w:fill="F4FAFA"/>
            <w:tcMar>
              <w:top w:w="100" w:type="dxa"/>
              <w:bottom w:w="100" w:type="dxa"/>
              <w:left w:w="160" w:type="dxa"/>
              <w:right w:w="160" w:type="dxa"/>
            </w:tcMar>
          </w:tcPr>
          <w:p>
            <w:pPr>
              <w:jc w:val="left"/>
            </w:pPr>
            <w:r>
              <w:rPr>
                <w:color w:val="1F2937"/>
                <w:sz w:val="19"/>
              </w:rPr>
              <w:t>gender</w:t>
            </w:r>
          </w:p>
        </w:tc>
        <w:tc>
          <w:tcPr>
            <w:tcW w:type="dxa" w:w="1584"/>
            <w:shd w:val="clear" w:color="auto" w:fill="F4FAFA"/>
            <w:tcMar>
              <w:top w:w="100" w:type="dxa"/>
              <w:bottom w:w="100" w:type="dxa"/>
              <w:left w:w="160" w:type="dxa"/>
              <w:right w:w="160" w:type="dxa"/>
            </w:tcMar>
          </w:tcPr>
          <w:p>
            <w:pPr>
              <w:jc w:val="center"/>
            </w:pPr>
            <w:r>
              <w:rPr>
                <w:color w:val="1F2937"/>
                <w:sz w:val="19"/>
              </w:rPr>
              <w:t>Binary</w:t>
            </w:r>
          </w:p>
        </w:tc>
        <w:tc>
          <w:tcPr>
            <w:tcW w:type="dxa" w:w="2592"/>
            <w:shd w:val="clear" w:color="auto" w:fill="F4FAFA"/>
            <w:tcMar>
              <w:top w:w="100" w:type="dxa"/>
              <w:bottom w:w="100" w:type="dxa"/>
              <w:left w:w="160" w:type="dxa"/>
              <w:right w:w="160" w:type="dxa"/>
            </w:tcMar>
          </w:tcPr>
          <w:p>
            <w:pPr>
              <w:jc w:val="left"/>
            </w:pPr>
            <w:r>
              <w:rPr>
                <w:color w:val="1F2937"/>
                <w:sz w:val="19"/>
              </w:rPr>
              <w:t>0 = Female, 1 = Male</w:t>
            </w:r>
          </w:p>
        </w:tc>
        <w:tc>
          <w:tcPr>
            <w:tcW w:type="dxa" w:w="4032"/>
            <w:shd w:val="clear" w:color="auto" w:fill="F4FAFA"/>
            <w:tcMar>
              <w:top w:w="100" w:type="dxa"/>
              <w:bottom w:w="100" w:type="dxa"/>
              <w:left w:w="160" w:type="dxa"/>
              <w:right w:w="160" w:type="dxa"/>
            </w:tcMar>
          </w:tcPr>
          <w:p>
            <w:pPr>
              <w:jc w:val="left"/>
            </w:pPr>
            <w:r>
              <w:rPr>
                <w:color w:val="1F2937"/>
                <w:sz w:val="19"/>
              </w:rPr>
              <w:t>Demographic covariate capturing sex-specific epidemiological profiles.</w:t>
            </w:r>
          </w:p>
        </w:tc>
      </w:tr>
      <w:tr>
        <w:tc>
          <w:tcPr>
            <w:tcW w:type="dxa" w:w="2160"/>
            <w:shd w:val="clear" w:color="auto" w:fill="FFFFFF"/>
            <w:tcMar>
              <w:top w:w="100" w:type="dxa"/>
              <w:bottom w:w="100" w:type="dxa"/>
              <w:left w:w="160" w:type="dxa"/>
              <w:right w:w="160" w:type="dxa"/>
            </w:tcMar>
          </w:tcPr>
          <w:p>
            <w:pPr>
              <w:jc w:val="left"/>
            </w:pPr>
            <w:r>
              <w:rPr>
                <w:color w:val="1F2937"/>
                <w:sz w:val="19"/>
              </w:rPr>
              <w:t>admission_type</w:t>
            </w:r>
          </w:p>
        </w:tc>
        <w:tc>
          <w:tcPr>
            <w:tcW w:type="dxa" w:w="1584"/>
            <w:shd w:val="clear" w:color="auto" w:fill="FFFFFF"/>
            <w:tcMar>
              <w:top w:w="100" w:type="dxa"/>
              <w:bottom w:w="100" w:type="dxa"/>
              <w:left w:w="160" w:type="dxa"/>
              <w:right w:w="160" w:type="dxa"/>
            </w:tcMar>
          </w:tcPr>
          <w:p>
            <w:pPr>
              <w:jc w:val="center"/>
            </w:pPr>
            <w:r>
              <w:rPr>
                <w:color w:val="1F2937"/>
                <w:sz w:val="19"/>
              </w:rPr>
              <w:t>Categorical</w:t>
            </w:r>
          </w:p>
        </w:tc>
        <w:tc>
          <w:tcPr>
            <w:tcW w:type="dxa" w:w="2592"/>
            <w:shd w:val="clear" w:color="auto" w:fill="FFFFFF"/>
            <w:tcMar>
              <w:top w:w="100" w:type="dxa"/>
              <w:bottom w:w="100" w:type="dxa"/>
              <w:left w:w="160" w:type="dxa"/>
              <w:right w:w="160" w:type="dxa"/>
            </w:tcMar>
          </w:tcPr>
          <w:p>
            <w:pPr>
              <w:jc w:val="left"/>
            </w:pPr>
            <w:r>
              <w:rPr>
                <w:color w:val="1F2937"/>
                <w:sz w:val="19"/>
              </w:rPr>
              <w:t>Emergency, Urgent, Elective</w:t>
            </w:r>
          </w:p>
        </w:tc>
        <w:tc>
          <w:tcPr>
            <w:tcW w:type="dxa" w:w="4032"/>
            <w:shd w:val="clear" w:color="auto" w:fill="FFFFFF"/>
            <w:tcMar>
              <w:top w:w="100" w:type="dxa"/>
              <w:bottom w:w="100" w:type="dxa"/>
              <w:left w:w="160" w:type="dxa"/>
              <w:right w:w="160" w:type="dxa"/>
            </w:tcMar>
          </w:tcPr>
          <w:p>
            <w:pPr>
              <w:jc w:val="left"/>
            </w:pPr>
            <w:r>
              <w:rPr>
                <w:color w:val="1F2937"/>
                <w:sz w:val="19"/>
              </w:rPr>
              <w:t>Emergency intake correlates with higher acute complications and prolonged stay.</w:t>
            </w:r>
          </w:p>
        </w:tc>
      </w:tr>
      <w:tr>
        <w:tc>
          <w:tcPr>
            <w:tcW w:type="dxa" w:w="2160"/>
            <w:shd w:val="clear" w:color="auto" w:fill="F4FAFA"/>
            <w:tcMar>
              <w:top w:w="100" w:type="dxa"/>
              <w:bottom w:w="100" w:type="dxa"/>
              <w:left w:w="160" w:type="dxa"/>
              <w:right w:w="160" w:type="dxa"/>
            </w:tcMar>
          </w:tcPr>
          <w:p>
            <w:pPr>
              <w:jc w:val="left"/>
            </w:pPr>
            <w:r>
              <w:rPr>
                <w:color w:val="1F2937"/>
                <w:sz w:val="19"/>
              </w:rPr>
              <w:t>diagnosis_code</w:t>
            </w:r>
          </w:p>
        </w:tc>
        <w:tc>
          <w:tcPr>
            <w:tcW w:type="dxa" w:w="1584"/>
            <w:shd w:val="clear" w:color="auto" w:fill="F4FAFA"/>
            <w:tcMar>
              <w:top w:w="100" w:type="dxa"/>
              <w:bottom w:w="100" w:type="dxa"/>
              <w:left w:w="160" w:type="dxa"/>
              <w:right w:w="160" w:type="dxa"/>
            </w:tcMar>
          </w:tcPr>
          <w:p>
            <w:pPr>
              <w:jc w:val="center"/>
            </w:pPr>
            <w:r>
              <w:rPr>
                <w:color w:val="1F2937"/>
                <w:sz w:val="19"/>
              </w:rPr>
              <w:t>Categorical</w:t>
            </w:r>
          </w:p>
        </w:tc>
        <w:tc>
          <w:tcPr>
            <w:tcW w:type="dxa" w:w="2592"/>
            <w:shd w:val="clear" w:color="auto" w:fill="F4FAFA"/>
            <w:tcMar>
              <w:top w:w="100" w:type="dxa"/>
              <w:bottom w:w="100" w:type="dxa"/>
              <w:left w:w="160" w:type="dxa"/>
              <w:right w:w="160" w:type="dxa"/>
            </w:tcMar>
          </w:tcPr>
          <w:p>
            <w:pPr>
              <w:jc w:val="left"/>
            </w:pPr>
            <w:r>
              <w:rPr>
                <w:color w:val="1F2937"/>
                <w:sz w:val="19"/>
              </w:rPr>
              <w:t>0 to 5 (6 Clinical Groups)</w:t>
            </w:r>
          </w:p>
        </w:tc>
        <w:tc>
          <w:tcPr>
            <w:tcW w:type="dxa" w:w="4032"/>
            <w:shd w:val="clear" w:color="auto" w:fill="F4FAFA"/>
            <w:tcMar>
              <w:top w:w="100" w:type="dxa"/>
              <w:bottom w:w="100" w:type="dxa"/>
              <w:left w:w="160" w:type="dxa"/>
              <w:right w:w="160" w:type="dxa"/>
            </w:tcMar>
          </w:tcPr>
          <w:p>
            <w:pPr>
              <w:jc w:val="left"/>
            </w:pPr>
            <w:r>
              <w:rPr>
                <w:color w:val="1F2937"/>
                <w:sz w:val="19"/>
              </w:rPr>
              <w:t>Primary diagnosis driver: Cardiac, Resp, Ortho, GI, Neuro, Sepsis.</w:t>
            </w:r>
          </w:p>
        </w:tc>
      </w:tr>
      <w:tr>
        <w:tc>
          <w:tcPr>
            <w:tcW w:type="dxa" w:w="2160"/>
            <w:shd w:val="clear" w:color="auto" w:fill="FFFFFF"/>
            <w:tcMar>
              <w:top w:w="100" w:type="dxa"/>
              <w:bottom w:w="100" w:type="dxa"/>
              <w:left w:w="160" w:type="dxa"/>
              <w:right w:w="160" w:type="dxa"/>
            </w:tcMar>
          </w:tcPr>
          <w:p>
            <w:pPr>
              <w:jc w:val="left"/>
            </w:pPr>
            <w:r>
              <w:rPr>
                <w:color w:val="1F2937"/>
                <w:sz w:val="19"/>
              </w:rPr>
              <w:t>num_diagnoses</w:t>
            </w:r>
          </w:p>
        </w:tc>
        <w:tc>
          <w:tcPr>
            <w:tcW w:type="dxa" w:w="1584"/>
            <w:shd w:val="clear" w:color="auto" w:fill="FFFFFF"/>
            <w:tcMar>
              <w:top w:w="100" w:type="dxa"/>
              <w:bottom w:w="100" w:type="dxa"/>
              <w:left w:w="160" w:type="dxa"/>
              <w:right w:w="160" w:type="dxa"/>
            </w:tcMar>
          </w:tcPr>
          <w:p>
            <w:pPr>
              <w:jc w:val="center"/>
            </w:pPr>
            <w:r>
              <w:rPr>
                <w:color w:val="1F2937"/>
                <w:sz w:val="19"/>
              </w:rPr>
              <w:t>Ordinal</w:t>
            </w:r>
          </w:p>
        </w:tc>
        <w:tc>
          <w:tcPr>
            <w:tcW w:type="dxa" w:w="2592"/>
            <w:shd w:val="clear" w:color="auto" w:fill="FFFFFF"/>
            <w:tcMar>
              <w:top w:w="100" w:type="dxa"/>
              <w:bottom w:w="100" w:type="dxa"/>
              <w:left w:w="160" w:type="dxa"/>
              <w:right w:w="160" w:type="dxa"/>
            </w:tcMar>
          </w:tcPr>
          <w:p>
            <w:pPr>
              <w:jc w:val="left"/>
            </w:pPr>
            <w:r>
              <w:rPr>
                <w:color w:val="1F2937"/>
                <w:sz w:val="19"/>
              </w:rPr>
              <w:t>1 to 8 concurrent diagnoses</w:t>
            </w:r>
          </w:p>
        </w:tc>
        <w:tc>
          <w:tcPr>
            <w:tcW w:type="dxa" w:w="4032"/>
            <w:shd w:val="clear" w:color="auto" w:fill="FFFFFF"/>
            <w:tcMar>
              <w:top w:w="100" w:type="dxa"/>
              <w:bottom w:w="100" w:type="dxa"/>
              <w:left w:w="160" w:type="dxa"/>
              <w:right w:w="160" w:type="dxa"/>
            </w:tcMar>
          </w:tcPr>
          <w:p>
            <w:pPr>
              <w:jc w:val="left"/>
            </w:pPr>
            <w:r>
              <w:rPr>
                <w:color w:val="1F2937"/>
                <w:sz w:val="19"/>
              </w:rPr>
              <w:t>Charlson Comorbidity Index proxy; multiorgan pathology elevates LOS.</w:t>
            </w:r>
          </w:p>
        </w:tc>
      </w:tr>
      <w:tr>
        <w:tc>
          <w:tcPr>
            <w:tcW w:type="dxa" w:w="2160"/>
            <w:shd w:val="clear" w:color="auto" w:fill="F4FAFA"/>
            <w:tcMar>
              <w:top w:w="100" w:type="dxa"/>
              <w:bottom w:w="100" w:type="dxa"/>
              <w:left w:w="160" w:type="dxa"/>
              <w:right w:w="160" w:type="dxa"/>
            </w:tcMar>
          </w:tcPr>
          <w:p>
            <w:pPr>
              <w:jc w:val="left"/>
            </w:pPr>
            <w:r>
              <w:rPr>
                <w:color w:val="1F2937"/>
                <w:sz w:val="19"/>
              </w:rPr>
              <w:t>num_procedures</w:t>
            </w:r>
          </w:p>
        </w:tc>
        <w:tc>
          <w:tcPr>
            <w:tcW w:type="dxa" w:w="1584"/>
            <w:shd w:val="clear" w:color="auto" w:fill="F4FAFA"/>
            <w:tcMar>
              <w:top w:w="100" w:type="dxa"/>
              <w:bottom w:w="100" w:type="dxa"/>
              <w:left w:w="160" w:type="dxa"/>
              <w:right w:w="160" w:type="dxa"/>
            </w:tcMar>
          </w:tcPr>
          <w:p>
            <w:pPr>
              <w:jc w:val="center"/>
            </w:pPr>
            <w:r>
              <w:rPr>
                <w:color w:val="1F2937"/>
                <w:sz w:val="19"/>
              </w:rPr>
              <w:t>Ordinal</w:t>
            </w:r>
          </w:p>
        </w:tc>
        <w:tc>
          <w:tcPr>
            <w:tcW w:type="dxa" w:w="2592"/>
            <w:shd w:val="clear" w:color="auto" w:fill="F4FAFA"/>
            <w:tcMar>
              <w:top w:w="100" w:type="dxa"/>
              <w:bottom w:w="100" w:type="dxa"/>
              <w:left w:w="160" w:type="dxa"/>
              <w:right w:w="160" w:type="dxa"/>
            </w:tcMar>
          </w:tcPr>
          <w:p>
            <w:pPr>
              <w:jc w:val="left"/>
            </w:pPr>
            <w:r>
              <w:rPr>
                <w:color w:val="1F2937"/>
                <w:sz w:val="19"/>
              </w:rPr>
              <w:t>0 to 6 surgical procedures</w:t>
            </w:r>
          </w:p>
        </w:tc>
        <w:tc>
          <w:tcPr>
            <w:tcW w:type="dxa" w:w="4032"/>
            <w:shd w:val="clear" w:color="auto" w:fill="F4FAFA"/>
            <w:tcMar>
              <w:top w:w="100" w:type="dxa"/>
              <w:bottom w:w="100" w:type="dxa"/>
              <w:left w:w="160" w:type="dxa"/>
              <w:right w:w="160" w:type="dxa"/>
            </w:tcMar>
          </w:tcPr>
          <w:p>
            <w:pPr>
              <w:jc w:val="left"/>
            </w:pPr>
            <w:r>
              <w:rPr>
                <w:color w:val="1F2937"/>
                <w:sz w:val="19"/>
              </w:rPr>
              <w:t>Surgical invasiveness; post-operative monitoring directly extends stay.</w:t>
            </w:r>
          </w:p>
        </w:tc>
      </w:tr>
      <w:tr>
        <w:tc>
          <w:tcPr>
            <w:tcW w:type="dxa" w:w="2160"/>
            <w:shd w:val="clear" w:color="auto" w:fill="FFFFFF"/>
            <w:tcMar>
              <w:top w:w="100" w:type="dxa"/>
              <w:bottom w:w="100" w:type="dxa"/>
              <w:left w:w="160" w:type="dxa"/>
              <w:right w:w="160" w:type="dxa"/>
            </w:tcMar>
          </w:tcPr>
          <w:p>
            <w:pPr>
              <w:jc w:val="left"/>
            </w:pPr>
            <w:r>
              <w:rPr>
                <w:color w:val="1F2937"/>
                <w:sz w:val="19"/>
              </w:rPr>
              <w:t>hba1c</w:t>
            </w:r>
          </w:p>
        </w:tc>
        <w:tc>
          <w:tcPr>
            <w:tcW w:type="dxa" w:w="1584"/>
            <w:shd w:val="clear" w:color="auto" w:fill="FFFFFF"/>
            <w:tcMar>
              <w:top w:w="100" w:type="dxa"/>
              <w:bottom w:w="100" w:type="dxa"/>
              <w:left w:w="160" w:type="dxa"/>
              <w:right w:w="160" w:type="dxa"/>
            </w:tcMar>
          </w:tcPr>
          <w:p>
            <w:pPr>
              <w:jc w:val="center"/>
            </w:pPr>
            <w:r>
              <w:rPr>
                <w:color w:val="1F2937"/>
                <w:sz w:val="19"/>
              </w:rPr>
              <w:t>Continuous</w:t>
            </w:r>
          </w:p>
        </w:tc>
        <w:tc>
          <w:tcPr>
            <w:tcW w:type="dxa" w:w="2592"/>
            <w:shd w:val="clear" w:color="auto" w:fill="FFFFFF"/>
            <w:tcMar>
              <w:top w:w="100" w:type="dxa"/>
              <w:bottom w:w="100" w:type="dxa"/>
              <w:left w:w="160" w:type="dxa"/>
              <w:right w:w="160" w:type="dxa"/>
            </w:tcMar>
          </w:tcPr>
          <w:p>
            <w:pPr>
              <w:jc w:val="center"/>
            </w:pPr>
            <w:r>
              <w:rPr>
                <w:color w:val="1F2937"/>
                <w:sz w:val="19"/>
              </w:rPr>
              <w:t>4.5% to 12.0%</w:t>
            </w:r>
          </w:p>
        </w:tc>
        <w:tc>
          <w:tcPr>
            <w:tcW w:type="dxa" w:w="4032"/>
            <w:shd w:val="clear" w:color="auto" w:fill="FFFFFF"/>
            <w:tcMar>
              <w:top w:w="100" w:type="dxa"/>
              <w:bottom w:w="100" w:type="dxa"/>
              <w:left w:w="160" w:type="dxa"/>
              <w:right w:w="160" w:type="dxa"/>
            </w:tcMar>
          </w:tcPr>
          <w:p>
            <w:pPr>
              <w:jc w:val="left"/>
            </w:pPr>
            <w:r>
              <w:rPr>
                <w:color w:val="1F2937"/>
                <w:sz w:val="19"/>
              </w:rPr>
              <w:t>Glycemic regulation; unmanaged diabetes impairs wound and infection healing.</w:t>
            </w:r>
          </w:p>
        </w:tc>
      </w:tr>
      <w:tr>
        <w:tc>
          <w:tcPr>
            <w:tcW w:type="dxa" w:w="2160"/>
            <w:shd w:val="clear" w:color="auto" w:fill="F4FAFA"/>
            <w:tcMar>
              <w:top w:w="100" w:type="dxa"/>
              <w:bottom w:w="100" w:type="dxa"/>
              <w:left w:w="160" w:type="dxa"/>
              <w:right w:w="160" w:type="dxa"/>
            </w:tcMar>
          </w:tcPr>
          <w:p>
            <w:pPr>
              <w:jc w:val="left"/>
            </w:pPr>
            <w:r>
              <w:rPr>
                <w:color w:val="1F2937"/>
                <w:sz w:val="19"/>
              </w:rPr>
              <w:t>creatinine</w:t>
            </w:r>
          </w:p>
        </w:tc>
        <w:tc>
          <w:tcPr>
            <w:tcW w:type="dxa" w:w="1584"/>
            <w:shd w:val="clear" w:color="auto" w:fill="F4FAFA"/>
            <w:tcMar>
              <w:top w:w="100" w:type="dxa"/>
              <w:bottom w:w="100" w:type="dxa"/>
              <w:left w:w="160" w:type="dxa"/>
              <w:right w:w="160" w:type="dxa"/>
            </w:tcMar>
          </w:tcPr>
          <w:p>
            <w:pPr>
              <w:jc w:val="center"/>
            </w:pPr>
            <w:r>
              <w:rPr>
                <w:color w:val="1F2937"/>
                <w:sz w:val="19"/>
              </w:rPr>
              <w:t>Continuous</w:t>
            </w:r>
          </w:p>
        </w:tc>
        <w:tc>
          <w:tcPr>
            <w:tcW w:type="dxa" w:w="2592"/>
            <w:shd w:val="clear" w:color="auto" w:fill="F4FAFA"/>
            <w:tcMar>
              <w:top w:w="100" w:type="dxa"/>
              <w:bottom w:w="100" w:type="dxa"/>
              <w:left w:w="160" w:type="dxa"/>
              <w:right w:w="160" w:type="dxa"/>
            </w:tcMar>
          </w:tcPr>
          <w:p>
            <w:pPr>
              <w:jc w:val="left"/>
            </w:pPr>
            <w:r>
              <w:rPr>
                <w:color w:val="1F2937"/>
                <w:sz w:val="19"/>
              </w:rPr>
              <w:t>0.5 to 5.0 mg/dL</w:t>
            </w:r>
          </w:p>
        </w:tc>
        <w:tc>
          <w:tcPr>
            <w:tcW w:type="dxa" w:w="4032"/>
            <w:shd w:val="clear" w:color="auto" w:fill="F4FAFA"/>
            <w:tcMar>
              <w:top w:w="100" w:type="dxa"/>
              <w:bottom w:w="100" w:type="dxa"/>
              <w:left w:w="160" w:type="dxa"/>
              <w:right w:w="160" w:type="dxa"/>
            </w:tcMar>
          </w:tcPr>
          <w:p>
            <w:pPr>
              <w:jc w:val="left"/>
            </w:pPr>
            <w:r>
              <w:rPr>
                <w:color w:val="1F2937"/>
                <w:sz w:val="19"/>
              </w:rPr>
              <w:t>Renal clearance; Acute Kidney Injury (AKI) strongly drives extended ICU stays.</w:t>
            </w:r>
          </w:p>
        </w:tc>
      </w:tr>
      <w:tr>
        <w:tc>
          <w:tcPr>
            <w:tcW w:type="dxa" w:w="2160"/>
            <w:shd w:val="clear" w:color="auto" w:fill="FFFFFF"/>
            <w:tcMar>
              <w:top w:w="100" w:type="dxa"/>
              <w:bottom w:w="100" w:type="dxa"/>
              <w:left w:w="160" w:type="dxa"/>
              <w:right w:w="160" w:type="dxa"/>
            </w:tcMar>
          </w:tcPr>
          <w:p>
            <w:pPr>
              <w:jc w:val="left"/>
            </w:pPr>
            <w:r>
              <w:rPr>
                <w:color w:val="1F2937"/>
                <w:sz w:val="19"/>
              </w:rPr>
              <w:t>wbc_count</w:t>
            </w:r>
          </w:p>
        </w:tc>
        <w:tc>
          <w:tcPr>
            <w:tcW w:type="dxa" w:w="1584"/>
            <w:shd w:val="clear" w:color="auto" w:fill="FFFFFF"/>
            <w:tcMar>
              <w:top w:w="100" w:type="dxa"/>
              <w:bottom w:w="100" w:type="dxa"/>
              <w:left w:w="160" w:type="dxa"/>
              <w:right w:w="160" w:type="dxa"/>
            </w:tcMar>
          </w:tcPr>
          <w:p>
            <w:pPr>
              <w:jc w:val="center"/>
            </w:pPr>
            <w:r>
              <w:rPr>
                <w:color w:val="1F2937"/>
                <w:sz w:val="19"/>
              </w:rPr>
              <w:t>Continuous</w:t>
            </w:r>
          </w:p>
        </w:tc>
        <w:tc>
          <w:tcPr>
            <w:tcW w:type="dxa" w:w="2592"/>
            <w:shd w:val="clear" w:color="auto" w:fill="FFFFFF"/>
            <w:tcMar>
              <w:top w:w="100" w:type="dxa"/>
              <w:bottom w:w="100" w:type="dxa"/>
              <w:left w:w="160" w:type="dxa"/>
              <w:right w:w="160" w:type="dxa"/>
            </w:tcMar>
          </w:tcPr>
          <w:p>
            <w:pPr>
              <w:jc w:val="left"/>
            </w:pPr>
            <w:r>
              <w:rPr>
                <w:color w:val="1F2937"/>
                <w:sz w:val="19"/>
              </w:rPr>
              <w:t>3.0 to 25.0 × 10⁹/L</w:t>
            </w:r>
          </w:p>
        </w:tc>
        <w:tc>
          <w:tcPr>
            <w:tcW w:type="dxa" w:w="4032"/>
            <w:shd w:val="clear" w:color="auto" w:fill="FFFFFF"/>
            <w:tcMar>
              <w:top w:w="100" w:type="dxa"/>
              <w:bottom w:w="100" w:type="dxa"/>
              <w:left w:w="160" w:type="dxa"/>
              <w:right w:w="160" w:type="dxa"/>
            </w:tcMar>
          </w:tcPr>
          <w:p>
            <w:pPr>
              <w:jc w:val="left"/>
            </w:pPr>
            <w:r>
              <w:rPr>
                <w:color w:val="1F2937"/>
                <w:sz w:val="19"/>
              </w:rPr>
              <w:t>Systemic leukocyte proliferation indicating active infection or septicemia.</w:t>
            </w:r>
          </w:p>
        </w:tc>
      </w:tr>
      <w:tr>
        <w:tc>
          <w:tcPr>
            <w:tcW w:type="dxa" w:w="2160"/>
            <w:shd w:val="clear" w:color="auto" w:fill="F4FAFA"/>
            <w:tcMar>
              <w:top w:w="100" w:type="dxa"/>
              <w:bottom w:w="100" w:type="dxa"/>
              <w:left w:w="160" w:type="dxa"/>
              <w:right w:w="160" w:type="dxa"/>
            </w:tcMar>
          </w:tcPr>
          <w:p>
            <w:pPr>
              <w:jc w:val="left"/>
            </w:pPr>
            <w:r>
              <w:rPr>
                <w:color w:val="1F2937"/>
                <w:sz w:val="19"/>
              </w:rPr>
              <w:t>sodium</w:t>
            </w:r>
          </w:p>
        </w:tc>
        <w:tc>
          <w:tcPr>
            <w:tcW w:type="dxa" w:w="1584"/>
            <w:shd w:val="clear" w:color="auto" w:fill="F4FAFA"/>
            <w:tcMar>
              <w:top w:w="100" w:type="dxa"/>
              <w:bottom w:w="100" w:type="dxa"/>
              <w:left w:w="160" w:type="dxa"/>
              <w:right w:w="160" w:type="dxa"/>
            </w:tcMar>
          </w:tcPr>
          <w:p>
            <w:pPr>
              <w:jc w:val="center"/>
            </w:pPr>
            <w:r>
              <w:rPr>
                <w:color w:val="1F2937"/>
                <w:sz w:val="19"/>
              </w:rPr>
              <w:t>Continuous</w:t>
            </w:r>
          </w:p>
        </w:tc>
        <w:tc>
          <w:tcPr>
            <w:tcW w:type="dxa" w:w="2592"/>
            <w:shd w:val="clear" w:color="auto" w:fill="F4FAFA"/>
            <w:tcMar>
              <w:top w:w="100" w:type="dxa"/>
              <w:bottom w:w="100" w:type="dxa"/>
              <w:left w:w="160" w:type="dxa"/>
              <w:right w:w="160" w:type="dxa"/>
            </w:tcMar>
          </w:tcPr>
          <w:p>
            <w:pPr>
              <w:jc w:val="left"/>
            </w:pPr>
            <w:r>
              <w:rPr>
                <w:color w:val="1F2937"/>
                <w:sz w:val="19"/>
              </w:rPr>
              <w:t>125 to 150 mEq/L</w:t>
            </w:r>
          </w:p>
        </w:tc>
        <w:tc>
          <w:tcPr>
            <w:tcW w:type="dxa" w:w="4032"/>
            <w:shd w:val="clear" w:color="auto" w:fill="F4FAFA"/>
            <w:tcMar>
              <w:top w:w="100" w:type="dxa"/>
              <w:bottom w:w="100" w:type="dxa"/>
              <w:left w:w="160" w:type="dxa"/>
              <w:right w:w="160" w:type="dxa"/>
            </w:tcMar>
          </w:tcPr>
          <w:p>
            <w:pPr>
              <w:jc w:val="left"/>
            </w:pPr>
            <w:r>
              <w:rPr>
                <w:color w:val="1F2937"/>
                <w:sz w:val="19"/>
              </w:rPr>
              <w:t>Serum electrolyte balance; severe dysnatremia demands monitored correction.</w:t>
            </w:r>
          </w:p>
        </w:tc>
      </w:tr>
      <w:tr>
        <w:tc>
          <w:tcPr>
            <w:tcW w:type="dxa" w:w="2160"/>
            <w:shd w:val="clear" w:color="auto" w:fill="FFFFFF"/>
            <w:tcMar>
              <w:top w:w="100" w:type="dxa"/>
              <w:bottom w:w="100" w:type="dxa"/>
              <w:left w:w="160" w:type="dxa"/>
              <w:right w:w="160" w:type="dxa"/>
            </w:tcMar>
          </w:tcPr>
          <w:p>
            <w:pPr>
              <w:jc w:val="left"/>
            </w:pPr>
            <w:r>
              <w:rPr>
                <w:color w:val="1F2937"/>
                <w:sz w:val="19"/>
              </w:rPr>
              <w:t>systolic_bp</w:t>
            </w:r>
          </w:p>
        </w:tc>
        <w:tc>
          <w:tcPr>
            <w:tcW w:type="dxa" w:w="1584"/>
            <w:shd w:val="clear" w:color="auto" w:fill="FFFFFF"/>
            <w:tcMar>
              <w:top w:w="100" w:type="dxa"/>
              <w:bottom w:w="100" w:type="dxa"/>
              <w:left w:w="160" w:type="dxa"/>
              <w:right w:w="160" w:type="dxa"/>
            </w:tcMar>
          </w:tcPr>
          <w:p>
            <w:pPr>
              <w:jc w:val="center"/>
            </w:pPr>
            <w:r>
              <w:rPr>
                <w:color w:val="1F2937"/>
                <w:sz w:val="19"/>
              </w:rPr>
              <w:t>Continuous</w:t>
            </w:r>
          </w:p>
        </w:tc>
        <w:tc>
          <w:tcPr>
            <w:tcW w:type="dxa" w:w="2592"/>
            <w:shd w:val="clear" w:color="auto" w:fill="FFFFFF"/>
            <w:tcMar>
              <w:top w:w="100" w:type="dxa"/>
              <w:bottom w:w="100" w:type="dxa"/>
              <w:left w:w="160" w:type="dxa"/>
              <w:right w:w="160" w:type="dxa"/>
            </w:tcMar>
          </w:tcPr>
          <w:p>
            <w:pPr>
              <w:jc w:val="center"/>
            </w:pPr>
            <w:r>
              <w:rPr>
                <w:color w:val="1F2937"/>
                <w:sz w:val="19"/>
              </w:rPr>
              <w:t>85 to 200 mmHg</w:t>
            </w:r>
          </w:p>
        </w:tc>
        <w:tc>
          <w:tcPr>
            <w:tcW w:type="dxa" w:w="4032"/>
            <w:shd w:val="clear" w:color="auto" w:fill="FFFFFF"/>
            <w:tcMar>
              <w:top w:w="100" w:type="dxa"/>
              <w:bottom w:w="100" w:type="dxa"/>
              <w:left w:w="160" w:type="dxa"/>
              <w:right w:w="160" w:type="dxa"/>
            </w:tcMar>
          </w:tcPr>
          <w:p>
            <w:pPr>
              <w:jc w:val="left"/>
            </w:pPr>
            <w:r>
              <w:rPr>
                <w:color w:val="1F2937"/>
                <w:sz w:val="19"/>
              </w:rPr>
              <w:t>Hemodynamic stability indicator for hypertensive crisis or hypovolemic shock.</w:t>
            </w:r>
          </w:p>
        </w:tc>
      </w:tr>
      <w:tr>
        <w:tc>
          <w:tcPr>
            <w:tcW w:type="dxa" w:w="2160"/>
            <w:shd w:val="clear" w:color="auto" w:fill="F4FAFA"/>
            <w:tcMar>
              <w:top w:w="100" w:type="dxa"/>
              <w:bottom w:w="100" w:type="dxa"/>
              <w:left w:w="160" w:type="dxa"/>
              <w:right w:w="160" w:type="dxa"/>
            </w:tcMar>
          </w:tcPr>
          <w:p>
            <w:pPr>
              <w:jc w:val="left"/>
            </w:pPr>
            <w:r>
              <w:rPr>
                <w:color w:val="1F2937"/>
                <w:sz w:val="19"/>
              </w:rPr>
              <w:t>heart_rate</w:t>
            </w:r>
          </w:p>
        </w:tc>
        <w:tc>
          <w:tcPr>
            <w:tcW w:type="dxa" w:w="1584"/>
            <w:shd w:val="clear" w:color="auto" w:fill="F4FAFA"/>
            <w:tcMar>
              <w:top w:w="100" w:type="dxa"/>
              <w:bottom w:w="100" w:type="dxa"/>
              <w:left w:w="160" w:type="dxa"/>
              <w:right w:w="160" w:type="dxa"/>
            </w:tcMar>
          </w:tcPr>
          <w:p>
            <w:pPr>
              <w:jc w:val="center"/>
            </w:pPr>
            <w:r>
              <w:rPr>
                <w:color w:val="1F2937"/>
                <w:sz w:val="19"/>
              </w:rPr>
              <w:t>Continuous</w:t>
            </w:r>
          </w:p>
        </w:tc>
        <w:tc>
          <w:tcPr>
            <w:tcW w:type="dxa" w:w="2592"/>
            <w:shd w:val="clear" w:color="auto" w:fill="F4FAFA"/>
            <w:tcMar>
              <w:top w:w="100" w:type="dxa"/>
              <w:bottom w:w="100" w:type="dxa"/>
              <w:left w:w="160" w:type="dxa"/>
              <w:right w:w="160" w:type="dxa"/>
            </w:tcMar>
          </w:tcPr>
          <w:p>
            <w:pPr>
              <w:jc w:val="center"/>
            </w:pPr>
            <w:r>
              <w:rPr>
                <w:color w:val="1F2937"/>
                <w:sz w:val="19"/>
              </w:rPr>
              <w:t>45 to 140 bpm</w:t>
            </w:r>
          </w:p>
        </w:tc>
        <w:tc>
          <w:tcPr>
            <w:tcW w:type="dxa" w:w="4032"/>
            <w:shd w:val="clear" w:color="auto" w:fill="F4FAFA"/>
            <w:tcMar>
              <w:top w:w="100" w:type="dxa"/>
              <w:bottom w:w="100" w:type="dxa"/>
              <w:left w:w="160" w:type="dxa"/>
              <w:right w:w="160" w:type="dxa"/>
            </w:tcMar>
          </w:tcPr>
          <w:p>
            <w:pPr>
              <w:jc w:val="left"/>
            </w:pPr>
            <w:r>
              <w:rPr>
                <w:color w:val="1F2937"/>
                <w:sz w:val="19"/>
              </w:rPr>
              <w:t>Cardiac chronotropic response to sepsis, arrhythmia, or pain.</w:t>
            </w:r>
          </w:p>
        </w:tc>
      </w:tr>
      <w:tr>
        <w:tc>
          <w:tcPr>
            <w:tcW w:type="dxa" w:w="2160"/>
            <w:shd w:val="clear" w:color="auto" w:fill="FFFFFF"/>
            <w:tcMar>
              <w:top w:w="100" w:type="dxa"/>
              <w:bottom w:w="100" w:type="dxa"/>
              <w:left w:w="160" w:type="dxa"/>
              <w:right w:w="160" w:type="dxa"/>
            </w:tcMar>
          </w:tcPr>
          <w:p>
            <w:pPr>
              <w:jc w:val="left"/>
            </w:pPr>
            <w:r>
              <w:rPr>
                <w:color w:val="1F2937"/>
                <w:sz w:val="19"/>
              </w:rPr>
              <w:t>temperature</w:t>
            </w:r>
          </w:p>
        </w:tc>
        <w:tc>
          <w:tcPr>
            <w:tcW w:type="dxa" w:w="1584"/>
            <w:shd w:val="clear" w:color="auto" w:fill="FFFFFF"/>
            <w:tcMar>
              <w:top w:w="100" w:type="dxa"/>
              <w:bottom w:w="100" w:type="dxa"/>
              <w:left w:w="160" w:type="dxa"/>
              <w:right w:w="160" w:type="dxa"/>
            </w:tcMar>
          </w:tcPr>
          <w:p>
            <w:pPr>
              <w:jc w:val="center"/>
            </w:pPr>
            <w:r>
              <w:rPr>
                <w:color w:val="1F2937"/>
                <w:sz w:val="19"/>
              </w:rPr>
              <w:t>Continuous</w:t>
            </w:r>
          </w:p>
        </w:tc>
        <w:tc>
          <w:tcPr>
            <w:tcW w:type="dxa" w:w="2592"/>
            <w:shd w:val="clear" w:color="auto" w:fill="FFFFFF"/>
            <w:tcMar>
              <w:top w:w="100" w:type="dxa"/>
              <w:bottom w:w="100" w:type="dxa"/>
              <w:left w:w="160" w:type="dxa"/>
              <w:right w:w="160" w:type="dxa"/>
            </w:tcMar>
          </w:tcPr>
          <w:p>
            <w:pPr>
              <w:jc w:val="center"/>
            </w:pPr>
            <w:r>
              <w:rPr>
                <w:color w:val="1F2937"/>
                <w:sz w:val="19"/>
              </w:rPr>
              <w:t>36.0 to 40.5 °C</w:t>
            </w:r>
          </w:p>
        </w:tc>
        <w:tc>
          <w:tcPr>
            <w:tcW w:type="dxa" w:w="4032"/>
            <w:shd w:val="clear" w:color="auto" w:fill="FFFFFF"/>
            <w:tcMar>
              <w:top w:w="100" w:type="dxa"/>
              <w:bottom w:w="100" w:type="dxa"/>
              <w:left w:w="160" w:type="dxa"/>
              <w:right w:w="160" w:type="dxa"/>
            </w:tcMar>
          </w:tcPr>
          <w:p>
            <w:pPr>
              <w:jc w:val="left"/>
            </w:pPr>
            <w:r>
              <w:rPr>
                <w:color w:val="1F2937"/>
                <w:sz w:val="19"/>
              </w:rPr>
              <w:t>Body core temperature; febrile spikes indicate active systemic inflammatory response.</w:t>
            </w:r>
          </w:p>
        </w:tc>
      </w:tr>
      <w:tr>
        <w:tc>
          <w:tcPr>
            <w:tcW w:type="dxa" w:w="2160"/>
            <w:shd w:val="clear" w:color="auto" w:fill="F4FAFA"/>
            <w:tcMar>
              <w:top w:w="100" w:type="dxa"/>
              <w:bottom w:w="100" w:type="dxa"/>
              <w:left w:w="160" w:type="dxa"/>
              <w:right w:w="160" w:type="dxa"/>
            </w:tcMar>
          </w:tcPr>
          <w:p>
            <w:pPr>
              <w:jc w:val="left"/>
            </w:pPr>
            <w:r>
              <w:rPr>
                <w:color w:val="1F2937"/>
                <w:sz w:val="19"/>
              </w:rPr>
              <w:t>insurance_type</w:t>
            </w:r>
          </w:p>
        </w:tc>
        <w:tc>
          <w:tcPr>
            <w:tcW w:type="dxa" w:w="1584"/>
            <w:shd w:val="clear" w:color="auto" w:fill="F4FAFA"/>
            <w:tcMar>
              <w:top w:w="100" w:type="dxa"/>
              <w:bottom w:w="100" w:type="dxa"/>
              <w:left w:w="160" w:type="dxa"/>
              <w:right w:w="160" w:type="dxa"/>
            </w:tcMar>
          </w:tcPr>
          <w:p>
            <w:pPr>
              <w:jc w:val="center"/>
            </w:pPr>
            <w:r>
              <w:rPr>
                <w:color w:val="1F2937"/>
                <w:sz w:val="19"/>
              </w:rPr>
              <w:t>Categorical</w:t>
            </w:r>
          </w:p>
        </w:tc>
        <w:tc>
          <w:tcPr>
            <w:tcW w:type="dxa" w:w="2592"/>
            <w:shd w:val="clear" w:color="auto" w:fill="F4FAFA"/>
            <w:tcMar>
              <w:top w:w="100" w:type="dxa"/>
              <w:bottom w:w="100" w:type="dxa"/>
              <w:left w:w="160" w:type="dxa"/>
              <w:right w:w="160" w:type="dxa"/>
            </w:tcMar>
          </w:tcPr>
          <w:p>
            <w:pPr>
              <w:jc w:val="left"/>
            </w:pPr>
            <w:r>
              <w:rPr>
                <w:color w:val="1F2937"/>
                <w:sz w:val="19"/>
              </w:rPr>
              <w:t>Medicare, Private, Medicaid</w:t>
            </w:r>
          </w:p>
        </w:tc>
        <w:tc>
          <w:tcPr>
            <w:tcW w:type="dxa" w:w="4032"/>
            <w:shd w:val="clear" w:color="auto" w:fill="F4FAFA"/>
            <w:tcMar>
              <w:top w:w="100" w:type="dxa"/>
              <w:bottom w:w="100" w:type="dxa"/>
              <w:left w:w="160" w:type="dxa"/>
              <w:right w:w="160" w:type="dxa"/>
            </w:tcMar>
          </w:tcPr>
          <w:p>
            <w:pPr>
              <w:jc w:val="left"/>
            </w:pPr>
            <w:r>
              <w:rPr>
                <w:color w:val="1F2937"/>
                <w:sz w:val="19"/>
              </w:rPr>
              <w:t>Socioeconomic factor influencing post-discharge nursing home placement.</w:t>
            </w:r>
          </w:p>
        </w:tc>
      </w:tr>
      <w:tr>
        <w:tc>
          <w:tcPr>
            <w:tcW w:type="dxa" w:w="2160"/>
            <w:shd w:val="clear" w:color="auto" w:fill="FFFFFF"/>
            <w:tcMar>
              <w:top w:w="100" w:type="dxa"/>
              <w:bottom w:w="100" w:type="dxa"/>
              <w:left w:w="160" w:type="dxa"/>
              <w:right w:w="160" w:type="dxa"/>
            </w:tcMar>
          </w:tcPr>
          <w:p>
            <w:pPr>
              <w:jc w:val="left"/>
            </w:pPr>
            <w:r>
              <w:rPr>
                <w:color w:val="1F2937"/>
                <w:sz w:val="19"/>
              </w:rPr>
              <w:t>icu_flag</w:t>
            </w:r>
          </w:p>
        </w:tc>
        <w:tc>
          <w:tcPr>
            <w:tcW w:type="dxa" w:w="1584"/>
            <w:shd w:val="clear" w:color="auto" w:fill="FFFFFF"/>
            <w:tcMar>
              <w:top w:w="100" w:type="dxa"/>
              <w:bottom w:w="100" w:type="dxa"/>
              <w:left w:w="160" w:type="dxa"/>
              <w:right w:w="160" w:type="dxa"/>
            </w:tcMar>
          </w:tcPr>
          <w:p>
            <w:pPr>
              <w:jc w:val="center"/>
            </w:pPr>
            <w:r>
              <w:rPr>
                <w:color w:val="1F2937"/>
                <w:sz w:val="19"/>
              </w:rPr>
              <w:t>Binary</w:t>
            </w:r>
          </w:p>
        </w:tc>
        <w:tc>
          <w:tcPr>
            <w:tcW w:type="dxa" w:w="2592"/>
            <w:shd w:val="clear" w:color="auto" w:fill="FFFFFF"/>
            <w:tcMar>
              <w:top w:w="100" w:type="dxa"/>
              <w:bottom w:w="100" w:type="dxa"/>
              <w:left w:w="160" w:type="dxa"/>
              <w:right w:w="160" w:type="dxa"/>
            </w:tcMar>
          </w:tcPr>
          <w:p>
            <w:pPr>
              <w:jc w:val="left"/>
            </w:pPr>
            <w:r>
              <w:rPr>
                <w:color w:val="1F2937"/>
                <w:sz w:val="19"/>
              </w:rPr>
              <w:t>0 = General, 1 = ICU</w:t>
            </w:r>
          </w:p>
        </w:tc>
        <w:tc>
          <w:tcPr>
            <w:tcW w:type="dxa" w:w="4032"/>
            <w:shd w:val="clear" w:color="auto" w:fill="FFFFFF"/>
            <w:tcMar>
              <w:top w:w="100" w:type="dxa"/>
              <w:bottom w:w="100" w:type="dxa"/>
              <w:left w:w="160" w:type="dxa"/>
              <w:right w:w="160" w:type="dxa"/>
            </w:tcMar>
          </w:tcPr>
          <w:p>
            <w:pPr>
              <w:jc w:val="left"/>
            </w:pPr>
            <w:r>
              <w:rPr>
                <w:color w:val="1F2937"/>
                <w:sz w:val="19"/>
              </w:rPr>
              <w:t>Critical care admission; directly injects severe clinical complexity (+2.8 days).</w:t>
            </w:r>
          </w:p>
        </w:tc>
      </w:tr>
      <w:tr>
        <w:tc>
          <w:tcPr>
            <w:tcW w:type="dxa" w:w="2160"/>
            <w:shd w:val="clear" w:color="auto" w:fill="F4FAFA"/>
            <w:tcMar>
              <w:top w:w="100" w:type="dxa"/>
              <w:bottom w:w="100" w:type="dxa"/>
              <w:left w:w="160" w:type="dxa"/>
              <w:right w:w="160" w:type="dxa"/>
            </w:tcMar>
          </w:tcPr>
          <w:p>
            <w:pPr>
              <w:jc w:val="left"/>
            </w:pPr>
            <w:r>
              <w:rPr>
                <w:color w:val="1F2937"/>
                <w:sz w:val="19"/>
              </w:rPr>
              <w:t>prior_admissions</w:t>
            </w:r>
          </w:p>
        </w:tc>
        <w:tc>
          <w:tcPr>
            <w:tcW w:type="dxa" w:w="1584"/>
            <w:shd w:val="clear" w:color="auto" w:fill="F4FAFA"/>
            <w:tcMar>
              <w:top w:w="100" w:type="dxa"/>
              <w:bottom w:w="100" w:type="dxa"/>
              <w:left w:w="160" w:type="dxa"/>
              <w:right w:w="160" w:type="dxa"/>
            </w:tcMar>
          </w:tcPr>
          <w:p>
            <w:pPr>
              <w:jc w:val="center"/>
            </w:pPr>
            <w:r>
              <w:rPr>
                <w:color w:val="1F2937"/>
                <w:sz w:val="19"/>
              </w:rPr>
              <w:t>Ordinal</w:t>
            </w:r>
          </w:p>
        </w:tc>
        <w:tc>
          <w:tcPr>
            <w:tcW w:type="dxa" w:w="2592"/>
            <w:shd w:val="clear" w:color="auto" w:fill="F4FAFA"/>
            <w:tcMar>
              <w:top w:w="100" w:type="dxa"/>
              <w:bottom w:w="100" w:type="dxa"/>
              <w:left w:w="160" w:type="dxa"/>
              <w:right w:w="160" w:type="dxa"/>
            </w:tcMar>
          </w:tcPr>
          <w:p>
            <w:pPr>
              <w:jc w:val="left"/>
            </w:pPr>
            <w:r>
              <w:rPr>
                <w:color w:val="1F2937"/>
                <w:sz w:val="19"/>
              </w:rPr>
              <w:t>0 to 6 historical visits</w:t>
            </w:r>
          </w:p>
        </w:tc>
        <w:tc>
          <w:tcPr>
            <w:tcW w:type="dxa" w:w="4032"/>
            <w:shd w:val="clear" w:color="auto" w:fill="F4FAFA"/>
            <w:tcMar>
              <w:top w:w="100" w:type="dxa"/>
              <w:bottom w:w="100" w:type="dxa"/>
              <w:left w:w="160" w:type="dxa"/>
              <w:right w:w="160" w:type="dxa"/>
            </w:tcMar>
          </w:tcPr>
          <w:p>
            <w:pPr>
              <w:jc w:val="left"/>
            </w:pPr>
            <w:r>
              <w:rPr>
                <w:color w:val="1F2937"/>
                <w:sz w:val="19"/>
              </w:rPr>
              <w:t>Chronic readmission marker reflecting underlying fragile health status.</w:t>
            </w:r>
          </w:p>
        </w:tc>
      </w:tr>
      <w:tr>
        <w:tc>
          <w:tcPr>
            <w:tcW w:type="dxa" w:w="2160"/>
            <w:shd w:val="clear" w:color="auto" w:fill="FFFFFF"/>
            <w:tcMar>
              <w:top w:w="100" w:type="dxa"/>
              <w:bottom w:w="100" w:type="dxa"/>
              <w:left w:w="160" w:type="dxa"/>
              <w:right w:w="160" w:type="dxa"/>
            </w:tcMar>
          </w:tcPr>
          <w:p>
            <w:pPr>
              <w:jc w:val="left"/>
            </w:pPr>
            <w:r>
              <w:rPr>
                <w:color w:val="1F2937"/>
                <w:sz w:val="19"/>
              </w:rPr>
              <w:t>emergency_flag</w:t>
            </w:r>
          </w:p>
        </w:tc>
        <w:tc>
          <w:tcPr>
            <w:tcW w:type="dxa" w:w="1584"/>
            <w:shd w:val="clear" w:color="auto" w:fill="FFFFFF"/>
            <w:tcMar>
              <w:top w:w="100" w:type="dxa"/>
              <w:bottom w:w="100" w:type="dxa"/>
              <w:left w:w="160" w:type="dxa"/>
              <w:right w:w="160" w:type="dxa"/>
            </w:tcMar>
          </w:tcPr>
          <w:p>
            <w:pPr>
              <w:jc w:val="center"/>
            </w:pPr>
            <w:r>
              <w:rPr>
                <w:color w:val="1F2937"/>
                <w:sz w:val="19"/>
              </w:rPr>
              <w:t>Binary</w:t>
            </w:r>
          </w:p>
        </w:tc>
        <w:tc>
          <w:tcPr>
            <w:tcW w:type="dxa" w:w="2592"/>
            <w:shd w:val="clear" w:color="auto" w:fill="FFFFFF"/>
            <w:tcMar>
              <w:top w:w="100" w:type="dxa"/>
              <w:bottom w:w="100" w:type="dxa"/>
              <w:left w:w="160" w:type="dxa"/>
              <w:right w:w="160" w:type="dxa"/>
            </w:tcMar>
          </w:tcPr>
          <w:p>
            <w:pPr>
              <w:jc w:val="center"/>
            </w:pPr>
            <w:r>
              <w:rPr>
                <w:color w:val="1F2937"/>
                <w:sz w:val="19"/>
              </w:rPr>
              <w:t>0 = No, 1 = Yes</w:t>
            </w:r>
          </w:p>
        </w:tc>
        <w:tc>
          <w:tcPr>
            <w:tcW w:type="dxa" w:w="4032"/>
            <w:shd w:val="clear" w:color="auto" w:fill="FFFFFF"/>
            <w:tcMar>
              <w:top w:w="100" w:type="dxa"/>
              <w:bottom w:w="100" w:type="dxa"/>
              <w:left w:w="160" w:type="dxa"/>
              <w:right w:w="160" w:type="dxa"/>
            </w:tcMar>
          </w:tcPr>
          <w:p>
            <w:pPr>
              <w:jc w:val="left"/>
            </w:pPr>
            <w:r>
              <w:rPr>
                <w:color w:val="1F2937"/>
                <w:sz w:val="19"/>
              </w:rPr>
              <w:t>Derived binary triage flag indicating immediate life-saving stabilization.</w:t>
            </w:r>
          </w:p>
        </w:tc>
      </w:tr>
    </w:tbl>
    <w:p/>
    <w:p>
      <w:pPr>
        <w:keepNext/>
        <w:spacing w:before="240" w:after="80"/>
      </w:pPr>
      <w:r>
        <w:rPr>
          <w:rFonts w:ascii="Calibri" w:hAnsi="Calibri"/>
          <w:b/>
          <w:color w:val="008C95"/>
          <w:sz w:val="25"/>
        </w:rPr>
        <w:t>5.2 Feature Standardization &amp; Z-Score Normalization</w:t>
      </w:r>
    </w:p>
    <w:p>
      <w:pPr>
        <w:spacing w:after="120" w:line="276" w:lineRule="auto"/>
        <w:jc w:val="both"/>
      </w:pPr>
      <w:r>
        <w:rPr>
          <w:rFonts w:ascii="Calibri" w:hAnsi="Calibri"/>
          <w:color w:val="1F2937"/>
          <w:sz w:val="22"/>
        </w:rPr>
        <w:t>Because physiological variables span disparate physical scales — from small fractional creatinine readings (0.5 to 5.0 mg/dL) to wide systolic pressures (85 to 200 mmHg) — standardization is executed across all numerical features using Scikit-Learn's StandardScaler. Each continuous feature x is transformed to zero mean (μ = 0) and unit variance (σ = 1) via the standard Z-Score transform:</w:t>
      </w:r>
    </w:p>
    <w:p>
      <w:pPr>
        <w:spacing w:before="160" w:after="40"/>
        <w:jc w:val="center"/>
      </w:pPr>
      <w:r>
        <w:drawing>
          <wp:inline xmlns:a="http://schemas.openxmlformats.org/drawingml/2006/main" xmlns:pic="http://schemas.openxmlformats.org/drawingml/2006/picture">
            <wp:extent cx="1645920" cy="698740"/>
            <wp:docPr id="3" name="Picture 3"/>
            <wp:cNvGraphicFramePr>
              <a:graphicFrameLocks noChangeAspect="1"/>
            </wp:cNvGraphicFramePr>
            <a:graphic>
              <a:graphicData uri="http://schemas.openxmlformats.org/drawingml/2006/picture">
                <pic:pic>
                  <pic:nvPicPr>
                    <pic:cNvPr id="0" name="eq_zscore.png"/>
                    <pic:cNvPicPr/>
                  </pic:nvPicPr>
                  <pic:blipFill>
                    <a:blip r:embed="rId23"/>
                    <a:stretch>
                      <a:fillRect/>
                    </a:stretch>
                  </pic:blipFill>
                  <pic:spPr>
                    <a:xfrm>
                      <a:off x="0" y="0"/>
                      <a:ext cx="1645920" cy="698740"/>
                    </a:xfrm>
                    <a:prstGeom prst="rect"/>
                  </pic:spPr>
                </pic:pic>
              </a:graphicData>
            </a:graphic>
          </wp:inline>
        </w:drawing>
      </w:r>
    </w:p>
    <w:p>
      <w:pPr>
        <w:spacing w:after="200"/>
        <w:jc w:val="right"/>
      </w:pPr>
      <w:r>
        <w:rPr>
          <w:rFonts w:ascii="Calibri" w:hAnsi="Calibri"/>
          <w:i/>
          <w:color w:val="64748B"/>
          <w:sz w:val="19"/>
        </w:rPr>
        <w:t>(Eq. 5.1)</w:t>
      </w:r>
    </w:p>
    <w:p>
      <w:pPr>
        <w:spacing w:after="120" w:line="276" w:lineRule="auto"/>
        <w:jc w:val="both"/>
      </w:pPr>
      <w:r>
        <w:rPr>
          <w:rFonts w:ascii="Calibri" w:hAnsi="Calibri"/>
          <w:color w:val="1F2937"/>
          <w:sz w:val="22"/>
        </w:rPr>
        <w:t>Standardization ensures uniform feature scaling across both training and real-time REST API inference pipelines. The fitted mean and standard deviation parameters are atomically serialized into model/scaler.pkl, ensuring that new patient records received over HTTP POST /api/predict undergo identical mathematical transformation prior to evaluation by the Random Forest ensemble.</w:t>
      </w:r>
    </w:p>
    <w:p>
      <w:pPr>
        <w:keepNext/>
        <w:spacing w:before="240" w:after="80"/>
      </w:pPr>
      <w:r>
        <w:rPr>
          <w:rFonts w:ascii="Calibri" w:hAnsi="Calibri"/>
          <w:b/>
          <w:color w:val="008C95"/>
          <w:sz w:val="25"/>
        </w:rPr>
        <w:t>5.3 LOS Classification Thresholds &amp; Clinical Rationale</w:t>
      </w:r>
    </w:p>
    <w:p>
      <w:pPr>
        <w:spacing w:after="120" w:line="276" w:lineRule="auto"/>
        <w:jc w:val="both"/>
      </w:pPr>
      <w:r>
        <w:rPr>
          <w:rFonts w:ascii="Calibri" w:hAnsi="Calibri"/>
          <w:color w:val="1F2937"/>
          <w:sz w:val="22"/>
        </w:rPr>
        <w:t>Rather than predicting continuous stay in fractional days — which clinicians find impractical for scheduling whole beds — the target variable is discretized into three operational tiers aligned with national hospital discharge benchmarks:</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2484"/>
        <w:gridCol w:w="2484"/>
        <w:gridCol w:w="2484"/>
        <w:gridCol w:w="2484"/>
      </w:tblGrid>
      <w:tr>
        <w:tc>
          <w:tcPr>
            <w:tcW w:type="dxa" w:w="2016"/>
            <w:shd w:val="clear" w:color="auto" w:fill="0A3641"/>
            <w:tcMar>
              <w:top w:w="140" w:type="dxa"/>
              <w:bottom w:w="140" w:type="dxa"/>
              <w:left w:w="180" w:type="dxa"/>
              <w:right w:w="180" w:type="dxa"/>
            </w:tcMar>
          </w:tcPr>
          <w:p>
            <w:pPr>
              <w:jc w:val="center"/>
            </w:pPr>
            <w:r>
              <w:rPr>
                <w:b/>
                <w:color w:val="FFFFFF"/>
                <w:sz w:val="20"/>
              </w:rPr>
              <w:t>Operational Tier</w:t>
            </w:r>
          </w:p>
        </w:tc>
        <w:tc>
          <w:tcPr>
            <w:tcW w:type="dxa" w:w="2160"/>
            <w:shd w:val="clear" w:color="auto" w:fill="0A3641"/>
            <w:tcMar>
              <w:top w:w="140" w:type="dxa"/>
              <w:bottom w:w="140" w:type="dxa"/>
              <w:left w:w="180" w:type="dxa"/>
              <w:right w:w="180" w:type="dxa"/>
            </w:tcMar>
          </w:tcPr>
          <w:p>
            <w:pPr>
              <w:jc w:val="center"/>
            </w:pPr>
            <w:r>
              <w:rPr>
                <w:b/>
                <w:color w:val="FFFFFF"/>
                <w:sz w:val="20"/>
              </w:rPr>
              <w:t>LOS Interval</w:t>
            </w:r>
          </w:p>
        </w:tc>
        <w:tc>
          <w:tcPr>
            <w:tcW w:type="dxa" w:w="3600"/>
            <w:shd w:val="clear" w:color="auto" w:fill="0A3641"/>
            <w:tcMar>
              <w:top w:w="140" w:type="dxa"/>
              <w:bottom w:w="140" w:type="dxa"/>
              <w:left w:w="180" w:type="dxa"/>
              <w:right w:w="180" w:type="dxa"/>
            </w:tcMar>
          </w:tcPr>
          <w:p>
            <w:pPr>
              <w:jc w:val="center"/>
            </w:pPr>
            <w:r>
              <w:rPr>
                <w:b/>
                <w:color w:val="FFFFFF"/>
                <w:sz w:val="20"/>
              </w:rPr>
              <w:t>Hospital Bed Management Directive</w:t>
            </w:r>
          </w:p>
        </w:tc>
        <w:tc>
          <w:tcPr>
            <w:tcW w:type="dxa" w:w="2592"/>
            <w:shd w:val="clear" w:color="auto" w:fill="0A3641"/>
            <w:tcMar>
              <w:top w:w="140" w:type="dxa"/>
              <w:bottom w:w="140" w:type="dxa"/>
              <w:left w:w="180" w:type="dxa"/>
              <w:right w:w="180" w:type="dxa"/>
            </w:tcMar>
          </w:tcPr>
          <w:p>
            <w:pPr>
              <w:jc w:val="center"/>
            </w:pPr>
            <w:r>
              <w:rPr>
                <w:b/>
                <w:color w:val="FFFFFF"/>
                <w:sz w:val="20"/>
              </w:rPr>
              <w:t>Clinical Archetype</w:t>
            </w:r>
          </w:p>
        </w:tc>
      </w:tr>
      <w:tr>
        <w:tc>
          <w:tcPr>
            <w:tcW w:type="dxa" w:w="2016"/>
            <w:shd w:val="clear" w:color="auto" w:fill="FFFFFF"/>
            <w:tcMar>
              <w:top w:w="100" w:type="dxa"/>
              <w:bottom w:w="100" w:type="dxa"/>
              <w:left w:w="160" w:type="dxa"/>
              <w:right w:w="160" w:type="dxa"/>
            </w:tcMar>
          </w:tcPr>
          <w:p>
            <w:pPr>
              <w:jc w:val="left"/>
            </w:pPr>
            <w:r>
              <w:rPr>
                <w:color w:val="1F2937"/>
                <w:sz w:val="19"/>
              </w:rPr>
              <w:t>Short Stay</w:t>
            </w:r>
          </w:p>
        </w:tc>
        <w:tc>
          <w:tcPr>
            <w:tcW w:type="dxa" w:w="2160"/>
            <w:shd w:val="clear" w:color="auto" w:fill="FFFFFF"/>
            <w:tcMar>
              <w:top w:w="100" w:type="dxa"/>
              <w:bottom w:w="100" w:type="dxa"/>
              <w:left w:w="160" w:type="dxa"/>
              <w:right w:w="160" w:type="dxa"/>
            </w:tcMar>
          </w:tcPr>
          <w:p>
            <w:pPr>
              <w:jc w:val="left"/>
            </w:pPr>
            <w:r>
              <w:rPr>
                <w:color w:val="1F2937"/>
                <w:sz w:val="19"/>
              </w:rPr>
              <w:t>&lt; 3 Days (1–2 d)</w:t>
            </w:r>
          </w:p>
        </w:tc>
        <w:tc>
          <w:tcPr>
            <w:tcW w:type="dxa" w:w="3600"/>
            <w:shd w:val="clear" w:color="auto" w:fill="FFFFFF"/>
            <w:tcMar>
              <w:top w:w="100" w:type="dxa"/>
              <w:bottom w:w="100" w:type="dxa"/>
              <w:left w:w="160" w:type="dxa"/>
              <w:right w:w="160" w:type="dxa"/>
            </w:tcMar>
          </w:tcPr>
          <w:p>
            <w:pPr>
              <w:jc w:val="left"/>
            </w:pPr>
            <w:r>
              <w:rPr>
                <w:color w:val="1F2937"/>
                <w:sz w:val="19"/>
              </w:rPr>
              <w:t>Fast-track discharge; ambulatory recovery; no long-term bed reservation.</w:t>
            </w:r>
          </w:p>
        </w:tc>
        <w:tc>
          <w:tcPr>
            <w:tcW w:type="dxa" w:w="2592"/>
            <w:shd w:val="clear" w:color="auto" w:fill="FFFFFF"/>
            <w:tcMar>
              <w:top w:w="100" w:type="dxa"/>
              <w:bottom w:w="100" w:type="dxa"/>
              <w:left w:w="160" w:type="dxa"/>
              <w:right w:w="160" w:type="dxa"/>
            </w:tcMar>
          </w:tcPr>
          <w:p>
            <w:pPr>
              <w:jc w:val="left"/>
            </w:pPr>
            <w:r>
              <w:rPr>
                <w:color w:val="1F2937"/>
                <w:sz w:val="19"/>
              </w:rPr>
              <w:t>Routine laparoscopic cholecystectomy, uncomplicated asthma, observation.</w:t>
            </w:r>
          </w:p>
        </w:tc>
      </w:tr>
      <w:tr>
        <w:tc>
          <w:tcPr>
            <w:tcW w:type="dxa" w:w="2016"/>
            <w:shd w:val="clear" w:color="auto" w:fill="F4FAFA"/>
            <w:tcMar>
              <w:top w:w="100" w:type="dxa"/>
              <w:bottom w:w="100" w:type="dxa"/>
              <w:left w:w="160" w:type="dxa"/>
              <w:right w:w="160" w:type="dxa"/>
            </w:tcMar>
          </w:tcPr>
          <w:p>
            <w:pPr>
              <w:jc w:val="left"/>
            </w:pPr>
            <w:r>
              <w:rPr>
                <w:color w:val="1F2937"/>
                <w:sz w:val="19"/>
              </w:rPr>
              <w:t>Medium Stay</w:t>
            </w:r>
          </w:p>
        </w:tc>
        <w:tc>
          <w:tcPr>
            <w:tcW w:type="dxa" w:w="2160"/>
            <w:shd w:val="clear" w:color="auto" w:fill="F4FAFA"/>
            <w:tcMar>
              <w:top w:w="100" w:type="dxa"/>
              <w:bottom w:w="100" w:type="dxa"/>
              <w:left w:w="160" w:type="dxa"/>
              <w:right w:w="160" w:type="dxa"/>
            </w:tcMar>
          </w:tcPr>
          <w:p>
            <w:pPr>
              <w:jc w:val="left"/>
            </w:pPr>
            <w:r>
              <w:rPr>
                <w:color w:val="1F2937"/>
                <w:sz w:val="19"/>
              </w:rPr>
              <w:t>3 to 7 Days (3–7 d)</w:t>
            </w:r>
          </w:p>
        </w:tc>
        <w:tc>
          <w:tcPr>
            <w:tcW w:type="dxa" w:w="3600"/>
            <w:shd w:val="clear" w:color="auto" w:fill="F4FAFA"/>
            <w:tcMar>
              <w:top w:w="100" w:type="dxa"/>
              <w:bottom w:w="100" w:type="dxa"/>
              <w:left w:w="160" w:type="dxa"/>
              <w:right w:w="160" w:type="dxa"/>
            </w:tcMar>
          </w:tcPr>
          <w:p>
            <w:pPr>
              <w:jc w:val="left"/>
            </w:pPr>
            <w:r>
              <w:rPr>
                <w:color w:val="1F2937"/>
                <w:sz w:val="19"/>
              </w:rPr>
              <w:t>Standard inpatient bed; routine multi-day clinical care and antibiotic courses.</w:t>
            </w:r>
          </w:p>
        </w:tc>
        <w:tc>
          <w:tcPr>
            <w:tcW w:type="dxa" w:w="2592"/>
            <w:shd w:val="clear" w:color="auto" w:fill="F4FAFA"/>
            <w:tcMar>
              <w:top w:w="100" w:type="dxa"/>
              <w:bottom w:w="100" w:type="dxa"/>
              <w:left w:w="160" w:type="dxa"/>
              <w:right w:w="160" w:type="dxa"/>
            </w:tcMar>
          </w:tcPr>
          <w:p>
            <w:pPr>
              <w:jc w:val="left"/>
            </w:pPr>
            <w:r>
              <w:rPr>
                <w:color w:val="1F2937"/>
                <w:sz w:val="19"/>
              </w:rPr>
              <w:t>Uncomplicated pneumonia, acute coronary syndrome, joint replacement.</w:t>
            </w:r>
          </w:p>
        </w:tc>
      </w:tr>
      <w:tr>
        <w:tc>
          <w:tcPr>
            <w:tcW w:type="dxa" w:w="2016"/>
            <w:shd w:val="clear" w:color="auto" w:fill="FFFFFF"/>
            <w:tcMar>
              <w:top w:w="100" w:type="dxa"/>
              <w:bottom w:w="100" w:type="dxa"/>
              <w:left w:w="160" w:type="dxa"/>
              <w:right w:w="160" w:type="dxa"/>
            </w:tcMar>
          </w:tcPr>
          <w:p>
            <w:pPr>
              <w:jc w:val="left"/>
            </w:pPr>
            <w:r>
              <w:rPr>
                <w:color w:val="1F2937"/>
                <w:sz w:val="19"/>
              </w:rPr>
              <w:t>Long Stay</w:t>
            </w:r>
          </w:p>
        </w:tc>
        <w:tc>
          <w:tcPr>
            <w:tcW w:type="dxa" w:w="2160"/>
            <w:shd w:val="clear" w:color="auto" w:fill="FFFFFF"/>
            <w:tcMar>
              <w:top w:w="100" w:type="dxa"/>
              <w:bottom w:w="100" w:type="dxa"/>
              <w:left w:w="160" w:type="dxa"/>
              <w:right w:w="160" w:type="dxa"/>
            </w:tcMar>
          </w:tcPr>
          <w:p>
            <w:pPr>
              <w:jc w:val="center"/>
            </w:pPr>
            <w:r>
              <w:rPr>
                <w:color w:val="1F2937"/>
                <w:sz w:val="19"/>
              </w:rPr>
              <w:t>&gt; 7 Days (8+ d)</w:t>
            </w:r>
          </w:p>
        </w:tc>
        <w:tc>
          <w:tcPr>
            <w:tcW w:type="dxa" w:w="3600"/>
            <w:shd w:val="clear" w:color="auto" w:fill="FFFFFF"/>
            <w:tcMar>
              <w:top w:w="100" w:type="dxa"/>
              <w:bottom w:w="100" w:type="dxa"/>
              <w:left w:w="160" w:type="dxa"/>
              <w:right w:w="160" w:type="dxa"/>
            </w:tcMar>
          </w:tcPr>
          <w:p>
            <w:pPr>
              <w:jc w:val="left"/>
            </w:pPr>
            <w:r>
              <w:rPr>
                <w:color w:val="1F2937"/>
                <w:sz w:val="19"/>
              </w:rPr>
              <w:t>Pre-allocate step-down beds; early social worker engagement; multidisciplinary care.</w:t>
            </w:r>
          </w:p>
        </w:tc>
        <w:tc>
          <w:tcPr>
            <w:tcW w:type="dxa" w:w="2592"/>
            <w:shd w:val="clear" w:color="auto" w:fill="FFFFFF"/>
            <w:tcMar>
              <w:top w:w="100" w:type="dxa"/>
              <w:bottom w:w="100" w:type="dxa"/>
              <w:left w:w="160" w:type="dxa"/>
              <w:right w:w="160" w:type="dxa"/>
            </w:tcMar>
          </w:tcPr>
          <w:p>
            <w:pPr>
              <w:jc w:val="left"/>
            </w:pPr>
            <w:r>
              <w:rPr>
                <w:color w:val="1F2937"/>
                <w:sz w:val="19"/>
              </w:rPr>
              <w:t>Severe septic shock, stroke rehabilitation, multi-organ surgical recovery.</w:t>
            </w:r>
          </w:p>
        </w:tc>
      </w:tr>
    </w:tbl>
    <w:p/>
    <w:p>
      <w:r>
        <w:br w:type="page"/>
      </w:r>
    </w:p>
    <w:p>
      <w:pPr>
        <w:keepNext/>
        <w:spacing w:before="320" w:after="120"/>
      </w:pPr>
      <w:r>
        <w:rPr>
          <w:rFonts w:ascii="Calibri" w:hAnsi="Calibri"/>
          <w:b/>
          <w:color w:val="0A3641"/>
          <w:sz w:val="30"/>
        </w:rPr>
        <w:t>6. System Architecture &amp; Pipeline</w:t>
      </w:r>
    </w:p>
    <w:p>
      <w:pPr>
        <w:spacing w:after="120" w:line="276" w:lineRule="auto"/>
        <w:jc w:val="both"/>
      </w:pPr>
      <w:r>
        <w:rPr>
          <w:rFonts w:ascii="Calibri" w:hAnsi="Calibri"/>
          <w:color w:val="1F2937"/>
          <w:sz w:val="22"/>
        </w:rPr>
        <w:t>The AI Hospital Management System is architected in accordance with a robust, enterprise-grade four-tier clinical pipeline. Each architectural layer maintains strict decoupling to ensure modularity, ease of audit, and independent scalability:</w:t>
      </w:r>
    </w:p>
    <w:p>
      <w:pPr>
        <w:pStyle w:val="ListParagraph"/>
        <w:spacing w:after="80" w:line="276" w:lineRule="auto"/>
      </w:pPr>
      <w:r>
        <w:rPr>
          <w:rFonts w:ascii="Calibri" w:hAnsi="Calibri"/>
          <w:b/>
          <w:color w:val="1F2937"/>
          <w:sz w:val="22"/>
        </w:rPr>
        <w:t>1. Clinical Data Ingestion &amp; Sanitization Tier:</w:t>
      </w:r>
      <w:r>
        <w:rPr>
          <w:rFonts w:ascii="Calibri" w:hAnsi="Calibri"/>
          <w:color w:val="1F2937"/>
          <w:sz w:val="22"/>
        </w:rPr>
        <w:t xml:space="preserve"> Ingests raw tabular clinical records, executes data type sanitization, handles missing values through median imputation, and clips non-physiological outliers (e.g., body temperature &gt; 42°C).</w:t>
      </w:r>
    </w:p>
    <w:p>
      <w:pPr>
        <w:pStyle w:val="ListParagraph"/>
        <w:spacing w:after="80" w:line="276" w:lineRule="auto"/>
      </w:pPr>
      <w:r>
        <w:rPr>
          <w:rFonts w:ascii="Calibri" w:hAnsi="Calibri"/>
          <w:b/>
          <w:color w:val="1F2937"/>
          <w:sz w:val="22"/>
        </w:rPr>
        <w:t>2. Clinical Feature Transformation Tier:</w:t>
      </w:r>
      <w:r>
        <w:rPr>
          <w:rFonts w:ascii="Calibri" w:hAnsi="Calibri"/>
          <w:color w:val="1F2937"/>
          <w:sz w:val="22"/>
        </w:rPr>
        <w:t xml:space="preserve"> Encodes categorical attributes via robust LabelEncoders, computes composite risk scores, normalizes numerical attributes using Scikit-Learn StandardScaler, and partitions data into an 80/20 stratified split (8,000 training records, 2,000 holdout test evaluations).</w:t>
      </w:r>
    </w:p>
    <w:p>
      <w:pPr>
        <w:pStyle w:val="ListParagraph"/>
        <w:spacing w:after="80" w:line="276" w:lineRule="auto"/>
      </w:pPr>
      <w:r>
        <w:rPr>
          <w:rFonts w:ascii="Calibri" w:hAnsi="Calibri"/>
          <w:b/>
          <w:color w:val="1F2937"/>
          <w:sz w:val="22"/>
        </w:rPr>
        <w:t>3. Ensemble Machine Learning Tier:</w:t>
      </w:r>
      <w:r>
        <w:rPr>
          <w:rFonts w:ascii="Calibri" w:hAnsi="Calibri"/>
          <w:color w:val="1F2937"/>
          <w:sz w:val="22"/>
        </w:rPr>
        <w:t xml:space="preserve"> A balanced ensemble of 200 de-correlated Decision Trees optimizing Gini impurity splits across random feature subspaces. Inherent out-of-bag validation ensures anti-overfitting regularization.</w:t>
      </w:r>
    </w:p>
    <w:p>
      <w:pPr>
        <w:pStyle w:val="ListParagraph"/>
        <w:spacing w:after="80" w:line="276" w:lineRule="auto"/>
      </w:pPr>
      <w:r>
        <w:rPr>
          <w:rFonts w:ascii="Calibri" w:hAnsi="Calibri"/>
          <w:b/>
          <w:color w:val="1F2937"/>
          <w:sz w:val="22"/>
        </w:rPr>
        <w:t>4. Application &amp; Presentation Tier:</w:t>
      </w:r>
      <w:r>
        <w:rPr>
          <w:rFonts w:ascii="Calibri" w:hAnsi="Calibri"/>
          <w:color w:val="1F2937"/>
          <w:sz w:val="22"/>
        </w:rPr>
        <w:t xml:space="preserve"> A multi-threaded Flask WSGI microservice exposing authenticated REST endpoints, coupled to a modern dark-mode glassmorphism web dashboard providing real-time triage intake, animated probability charts, and bed logistics guidance.</w:t>
      </w:r>
    </w:p>
    <w:p>
      <w:pPr>
        <w:keepNext/>
        <w:spacing w:before="320" w:after="120"/>
      </w:pPr>
      <w:r>
        <w:rPr>
          <w:rFonts w:ascii="Calibri" w:hAnsi="Calibri"/>
          <w:b/>
          <w:color w:val="0A3641"/>
          <w:sz w:val="30"/>
        </w:rPr>
        <w:t>7. Block Diagram &amp; Workflow</w:t>
      </w:r>
    </w:p>
    <w:p>
      <w:pPr>
        <w:spacing w:after="120" w:line="276" w:lineRule="auto"/>
        <w:jc w:val="both"/>
      </w:pPr>
      <w:r>
        <w:rPr>
          <w:rFonts w:ascii="Calibri" w:hAnsi="Calibri"/>
          <w:color w:val="1F2937"/>
          <w:sz w:val="22"/>
        </w:rPr>
        <w:t>The end-to-end dataflow and computational architecture of the AI Hospital Management System is depicted in Figure 7.1. The workflow traces patient intake from point-of-care clinical observation through feature standardization, ensemble classification, and sub-30ms automated discharge guidance.</w:t>
      </w:r>
    </w:p>
    <w:p>
      <w:pPr>
        <w:spacing w:before="200" w:after="80"/>
        <w:jc w:val="center"/>
      </w:pPr>
      <w:r>
        <w:drawing>
          <wp:inline xmlns:a="http://schemas.openxmlformats.org/drawingml/2006/main" xmlns:pic="http://schemas.openxmlformats.org/drawingml/2006/picture">
            <wp:extent cx="5486400" cy="6996418"/>
            <wp:docPr id="4" name="Picture 4"/>
            <wp:cNvGraphicFramePr>
              <a:graphicFrameLocks noChangeAspect="1"/>
            </wp:cNvGraphicFramePr>
            <a:graphic>
              <a:graphicData uri="http://schemas.openxmlformats.org/drawingml/2006/picture">
                <pic:pic>
                  <pic:nvPicPr>
                    <pic:cNvPr id="0" name="block_diagram.png"/>
                    <pic:cNvPicPr/>
                  </pic:nvPicPr>
                  <pic:blipFill>
                    <a:blip r:embed="rId24"/>
                    <a:stretch>
                      <a:fillRect/>
                    </a:stretch>
                  </pic:blipFill>
                  <pic:spPr>
                    <a:xfrm>
                      <a:off x="0" y="0"/>
                      <a:ext cx="5486400" cy="6996418"/>
                    </a:xfrm>
                    <a:prstGeom prst="rect"/>
                  </pic:spPr>
                </pic:pic>
              </a:graphicData>
            </a:graphic>
          </wp:inline>
        </w:drawing>
      </w:r>
    </w:p>
    <w:p>
      <w:pPr>
        <w:spacing w:after="240"/>
        <w:jc w:val="center"/>
      </w:pPr>
      <w:r>
        <w:rPr>
          <w:rFonts w:ascii="Calibri" w:hAnsi="Calibri"/>
          <w:i/>
          <w:color w:val="64748B"/>
          <w:sz w:val="19"/>
        </w:rPr>
        <w:t>Fig 7.1: Architectural block diagram of the AI Hospital Management System clinical dataflow and Random Forest classification pipeline.</w:t>
      </w:r>
    </w:p>
    <w:p>
      <w:pPr>
        <w:spacing w:after="120" w:line="276" w:lineRule="auto"/>
        <w:jc w:val="both"/>
      </w:pPr>
      <w:r>
        <w:rPr>
          <w:rFonts w:ascii="Calibri" w:hAnsi="Calibri"/>
          <w:color w:val="1F2937"/>
          <w:sz w:val="22"/>
        </w:rPr>
        <w:t>As illustrated above, data flows unidirectionally from the Presentation Tier into the Microservice Tier. The incoming JSON payload is validated, passed through the serialized StandardScaler, and evaluated simultaneously across 200 decision trees. The resulting class vote tally is normalized into a calibrated probability vector, which drives the dashboard's visual triage alerts.</w:t>
      </w:r>
    </w:p>
    <w:p>
      <w:r>
        <w:br w:type="page"/>
      </w:r>
    </w:p>
    <w:p>
      <w:pPr>
        <w:keepNext/>
        <w:spacing w:before="320" w:after="120"/>
      </w:pPr>
      <w:r>
        <w:rPr>
          <w:rFonts w:ascii="Calibri" w:hAnsi="Calibri"/>
          <w:b/>
          <w:color w:val="0A3641"/>
          <w:sz w:val="30"/>
        </w:rPr>
        <w:t>8. Working / Methodology</w:t>
      </w:r>
    </w:p>
    <w:p>
      <w:pPr>
        <w:keepNext/>
        <w:spacing w:before="240" w:after="80"/>
      </w:pPr>
      <w:r>
        <w:rPr>
          <w:rFonts w:ascii="Calibri" w:hAnsi="Calibri"/>
          <w:b/>
          <w:color w:val="008C95"/>
          <w:sz w:val="25"/>
        </w:rPr>
        <w:t>8.1 Phase 1 &amp; 2: Clinical Data Engineering &amp; Normalization</w:t>
      </w:r>
    </w:p>
    <w:p>
      <w:pPr>
        <w:spacing w:after="120" w:line="276" w:lineRule="auto"/>
        <w:jc w:val="both"/>
      </w:pPr>
      <w:r>
        <w:rPr>
          <w:rFonts w:ascii="Calibri" w:hAnsi="Calibri"/>
          <w:color w:val="1F2937"/>
          <w:sz w:val="22"/>
        </w:rPr>
        <w:t>During Phase 1, generate_dataset.py produces the 10,000 synthetic clinical records. Physiological dependencies are deterministically injected based on clinical guidelines: elderly age contributes +0.04 days/year; ICU admission adds +2.8 days; each Charlson comorbidity adds +0.5 days; and acute kidney injury (creatinine &gt; 1.5) adds +1.2 days. Realistic biological noise is introduced via a Gaussian perturbation (σ = 0.8 days). In Phase 2, the continuous stay is mapped into discrete classes and standardized using the Z-Score transform (Eq. 5.1).</w:t>
      </w:r>
    </w:p>
    <w:p>
      <w:pPr>
        <w:keepNext/>
        <w:spacing w:before="240" w:after="80"/>
      </w:pPr>
      <w:r>
        <w:rPr>
          <w:rFonts w:ascii="Calibri" w:hAnsi="Calibri"/>
          <w:b/>
          <w:color w:val="008C95"/>
          <w:sz w:val="25"/>
        </w:rPr>
        <w:t>8.2 Phase 3: Ensemble Random Forest Mathematics &amp; Gini Split</w:t>
      </w:r>
    </w:p>
    <w:p>
      <w:pPr>
        <w:spacing w:after="120" w:line="276" w:lineRule="auto"/>
        <w:jc w:val="both"/>
      </w:pPr>
      <w:r>
        <w:rPr>
          <w:rFonts w:ascii="Calibri" w:hAnsi="Calibri"/>
          <w:color w:val="1F2937"/>
          <w:sz w:val="22"/>
        </w:rPr>
        <w:t>A Random Forest is a meta-estimator that fits B = 200 de-correlated decision trees on various sub-samples of the dataset. At each candidate node split, the optimal feature threshold is determined by minimizing the Gini Impurity criterion:</w:t>
      </w:r>
    </w:p>
    <w:p>
      <w:pPr>
        <w:spacing w:before="160" w:after="40"/>
        <w:jc w:val="center"/>
      </w:pPr>
      <w:r>
        <w:drawing>
          <wp:inline xmlns:a="http://schemas.openxmlformats.org/drawingml/2006/main" xmlns:pic="http://schemas.openxmlformats.org/drawingml/2006/picture">
            <wp:extent cx="2286000" cy="721297"/>
            <wp:docPr id="5" name="Picture 5"/>
            <wp:cNvGraphicFramePr>
              <a:graphicFrameLocks noChangeAspect="1"/>
            </wp:cNvGraphicFramePr>
            <a:graphic>
              <a:graphicData uri="http://schemas.openxmlformats.org/drawingml/2006/picture">
                <pic:pic>
                  <pic:nvPicPr>
                    <pic:cNvPr id="0" name="eq_gini.png"/>
                    <pic:cNvPicPr/>
                  </pic:nvPicPr>
                  <pic:blipFill>
                    <a:blip r:embed="rId25"/>
                    <a:stretch>
                      <a:fillRect/>
                    </a:stretch>
                  </pic:blipFill>
                  <pic:spPr>
                    <a:xfrm>
                      <a:off x="0" y="0"/>
                      <a:ext cx="2286000" cy="721297"/>
                    </a:xfrm>
                    <a:prstGeom prst="rect"/>
                  </pic:spPr>
                </pic:pic>
              </a:graphicData>
            </a:graphic>
          </wp:inline>
        </w:drawing>
      </w:r>
    </w:p>
    <w:p>
      <w:pPr>
        <w:spacing w:after="200"/>
        <w:jc w:val="right"/>
      </w:pPr>
      <w:r>
        <w:rPr>
          <w:rFonts w:ascii="Calibri" w:hAnsi="Calibri"/>
          <w:i/>
          <w:color w:val="64748B"/>
          <w:sz w:val="19"/>
        </w:rPr>
        <w:t>(Eq. 8.1)</w:t>
      </w:r>
    </w:p>
    <w:p>
      <w:pPr>
        <w:spacing w:after="120" w:line="276" w:lineRule="auto"/>
        <w:jc w:val="both"/>
      </w:pPr>
      <w:r>
        <w:rPr>
          <w:rFonts w:ascii="Calibri" w:hAnsi="Calibri"/>
          <w:color w:val="1F2937"/>
          <w:sz w:val="22"/>
        </w:rPr>
        <w:t>where p(i|t) represents the conditional probability that a randomly chosen patient at node t belongs to Length-of-Stay class i. To achieve maximum de-correlation among trees, each split considers only a random feature subset of size m = √17 ≈ 4 features. The overall ensemble prediction across B = 200 trees is calculated via majority vote aggregation:</w:t>
      </w:r>
    </w:p>
    <w:p>
      <w:pPr>
        <w:spacing w:before="160" w:after="40"/>
        <w:jc w:val="center"/>
      </w:pPr>
      <w:r>
        <w:drawing>
          <wp:inline xmlns:a="http://schemas.openxmlformats.org/drawingml/2006/main" xmlns:pic="http://schemas.openxmlformats.org/drawingml/2006/picture">
            <wp:extent cx="2926080" cy="607918"/>
            <wp:docPr id="6" name="Picture 6"/>
            <wp:cNvGraphicFramePr>
              <a:graphicFrameLocks noChangeAspect="1"/>
            </wp:cNvGraphicFramePr>
            <a:graphic>
              <a:graphicData uri="http://schemas.openxmlformats.org/drawingml/2006/picture">
                <pic:pic>
                  <pic:nvPicPr>
                    <pic:cNvPr id="0" name="eq_ensemble.png"/>
                    <pic:cNvPicPr/>
                  </pic:nvPicPr>
                  <pic:blipFill>
                    <a:blip r:embed="rId26"/>
                    <a:stretch>
                      <a:fillRect/>
                    </a:stretch>
                  </pic:blipFill>
                  <pic:spPr>
                    <a:xfrm>
                      <a:off x="0" y="0"/>
                      <a:ext cx="2926080" cy="607918"/>
                    </a:xfrm>
                    <a:prstGeom prst="rect"/>
                  </pic:spPr>
                </pic:pic>
              </a:graphicData>
            </a:graphic>
          </wp:inline>
        </w:drawing>
      </w:r>
    </w:p>
    <w:p>
      <w:pPr>
        <w:spacing w:after="200"/>
        <w:jc w:val="right"/>
      </w:pPr>
      <w:r>
        <w:rPr>
          <w:rFonts w:ascii="Calibri" w:hAnsi="Calibri"/>
          <w:i/>
          <w:color w:val="64748B"/>
          <w:sz w:val="19"/>
        </w:rPr>
        <w:t>(Eq. 8.2)</w:t>
      </w:r>
    </w:p>
    <w:p>
      <w:pPr>
        <w:keepNext/>
        <w:spacing w:before="240" w:after="80"/>
      </w:pPr>
      <w:r>
        <w:rPr>
          <w:rFonts w:ascii="Calibri" w:hAnsi="Calibri"/>
          <w:b/>
          <w:color w:val="008C95"/>
          <w:sz w:val="25"/>
        </w:rPr>
        <w:t>8.3 Phase 4: Multi-Class Probability Calibration &amp; Bed Allocation</w:t>
      </w:r>
    </w:p>
    <w:p>
      <w:pPr>
        <w:spacing w:after="120" w:line="276" w:lineRule="auto"/>
        <w:jc w:val="both"/>
      </w:pPr>
      <w:r>
        <w:rPr>
          <w:rFonts w:ascii="Calibri" w:hAnsi="Calibri"/>
          <w:color w:val="1F2937"/>
          <w:sz w:val="22"/>
        </w:rPr>
        <w:t>Rather than relying strictly on the discrete argmax class, the system computes the continuous probability of each LOS class by calculating the proportion of individual trees in the forest that vote for that specific category:</w:t>
      </w:r>
    </w:p>
    <w:p>
      <w:pPr>
        <w:spacing w:before="160" w:after="40"/>
        <w:jc w:val="center"/>
      </w:pPr>
      <w:r>
        <w:drawing>
          <wp:inline xmlns:a="http://schemas.openxmlformats.org/drawingml/2006/main" xmlns:pic="http://schemas.openxmlformats.org/drawingml/2006/picture">
            <wp:extent cx="2560320" cy="569210"/>
            <wp:docPr id="7" name="Picture 7"/>
            <wp:cNvGraphicFramePr>
              <a:graphicFrameLocks noChangeAspect="1"/>
            </wp:cNvGraphicFramePr>
            <a:graphic>
              <a:graphicData uri="http://schemas.openxmlformats.org/drawingml/2006/picture">
                <pic:pic>
                  <pic:nvPicPr>
                    <pic:cNvPr id="0" name="eq_prob.png"/>
                    <pic:cNvPicPr/>
                  </pic:nvPicPr>
                  <pic:blipFill>
                    <a:blip r:embed="rId27"/>
                    <a:stretch>
                      <a:fillRect/>
                    </a:stretch>
                  </pic:blipFill>
                  <pic:spPr>
                    <a:xfrm>
                      <a:off x="0" y="0"/>
                      <a:ext cx="2560320" cy="569210"/>
                    </a:xfrm>
                    <a:prstGeom prst="rect"/>
                  </pic:spPr>
                </pic:pic>
              </a:graphicData>
            </a:graphic>
          </wp:inline>
        </w:drawing>
      </w:r>
    </w:p>
    <w:p>
      <w:pPr>
        <w:spacing w:after="200"/>
        <w:jc w:val="right"/>
      </w:pPr>
      <w:r>
        <w:rPr>
          <w:rFonts w:ascii="Calibri" w:hAnsi="Calibri"/>
          <w:i/>
          <w:color w:val="64748B"/>
          <w:sz w:val="19"/>
        </w:rPr>
        <w:t>(Eq. 8.3)</w:t>
      </w:r>
    </w:p>
    <w:p>
      <w:pPr>
        <w:spacing w:after="120" w:line="276" w:lineRule="auto"/>
        <w:jc w:val="both"/>
      </w:pPr>
      <w:r>
        <w:rPr>
          <w:rFonts w:ascii="Calibri" w:hAnsi="Calibri"/>
          <w:color w:val="1F2937"/>
          <w:sz w:val="22"/>
        </w:rPr>
        <w:t>This continuous probability vector [P(Short), P(Medium), P(Long)] is critical for clinical triage. If P(Long) exceeds 40%, the system triggers an immediate high-stay warning, alerting bed managers to reserve post-acute resources even if Medium is the technical plurality winner.</w:t>
      </w:r>
    </w:p>
    <w:p>
      <w:pPr>
        <w:keepNext/>
        <w:spacing w:before="240" w:after="80"/>
      </w:pPr>
      <w:r>
        <w:rPr>
          <w:rFonts w:ascii="Calibri" w:hAnsi="Calibri"/>
          <w:b/>
          <w:color w:val="008C95"/>
          <w:sz w:val="25"/>
        </w:rPr>
        <w:t>8.4 Phase 5: REST API Inference &amp; Clinical UI Serving</w:t>
      </w:r>
    </w:p>
    <w:p>
      <w:pPr>
        <w:spacing w:after="120" w:line="276" w:lineRule="auto"/>
        <w:jc w:val="both"/>
      </w:pPr>
      <w:r>
        <w:rPr>
          <w:rFonts w:ascii="Calibri" w:hAnsi="Calibri"/>
          <w:color w:val="1F2937"/>
          <w:sz w:val="22"/>
        </w:rPr>
        <w:t>The trained model and preprocessors are packaged into the Flask runtime (app.py). When a clinician submits patient parameters via the dashboard, a POST request is dispatched to /api/predict. The inference handler executes feature vectorization, applies standard scaling, executes model.predict_proba(), and returns structured JSON with sub-30ms latency.</w:t>
      </w:r>
    </w:p>
    <w:p>
      <w:r>
        <w:br w:type="page"/>
      </w:r>
    </w:p>
    <w:p>
      <w:pPr>
        <w:keepNext/>
        <w:spacing w:before="320" w:after="120"/>
      </w:pPr>
      <w:r>
        <w:rPr>
          <w:rFonts w:ascii="Calibri" w:hAnsi="Calibri"/>
          <w:b/>
          <w:color w:val="0A3641"/>
          <w:sz w:val="30"/>
        </w:rPr>
        <w:t>9. Software Implementation &amp; Random Forest Model Code</w:t>
      </w:r>
    </w:p>
    <w:p>
      <w:pPr>
        <w:keepNext/>
        <w:spacing w:before="240" w:after="80"/>
      </w:pPr>
      <w:r>
        <w:rPr>
          <w:rFonts w:ascii="Calibri" w:hAnsi="Calibri"/>
          <w:b/>
          <w:color w:val="008C95"/>
          <w:sz w:val="25"/>
        </w:rPr>
        <w:t>9.1 Hyperparameter Specifications</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3312"/>
        <w:gridCol w:w="3312"/>
        <w:gridCol w:w="3312"/>
      </w:tblGrid>
      <w:tr>
        <w:tc>
          <w:tcPr>
            <w:tcW w:type="dxa" w:w="2592"/>
            <w:shd w:val="clear" w:color="auto" w:fill="0A3641"/>
            <w:tcMar>
              <w:top w:w="140" w:type="dxa"/>
              <w:bottom w:w="140" w:type="dxa"/>
              <w:left w:w="180" w:type="dxa"/>
              <w:right w:w="180" w:type="dxa"/>
            </w:tcMar>
          </w:tcPr>
          <w:p>
            <w:pPr>
              <w:jc w:val="center"/>
            </w:pPr>
            <w:r>
              <w:rPr>
                <w:b/>
                <w:color w:val="FFFFFF"/>
                <w:sz w:val="20"/>
              </w:rPr>
              <w:t>Hyperparameter</w:t>
            </w:r>
          </w:p>
        </w:tc>
        <w:tc>
          <w:tcPr>
            <w:tcW w:type="dxa" w:w="2304"/>
            <w:shd w:val="clear" w:color="auto" w:fill="0A3641"/>
            <w:tcMar>
              <w:top w:w="140" w:type="dxa"/>
              <w:bottom w:w="140" w:type="dxa"/>
              <w:left w:w="180" w:type="dxa"/>
              <w:right w:w="180" w:type="dxa"/>
            </w:tcMar>
          </w:tcPr>
          <w:p>
            <w:pPr>
              <w:jc w:val="center"/>
            </w:pPr>
            <w:r>
              <w:rPr>
                <w:b/>
                <w:color w:val="FFFFFF"/>
                <w:sz w:val="20"/>
              </w:rPr>
              <w:t>Configured Value</w:t>
            </w:r>
          </w:p>
        </w:tc>
        <w:tc>
          <w:tcPr>
            <w:tcW w:type="dxa" w:w="5472"/>
            <w:shd w:val="clear" w:color="auto" w:fill="0A3641"/>
            <w:tcMar>
              <w:top w:w="140" w:type="dxa"/>
              <w:bottom w:w="140" w:type="dxa"/>
              <w:left w:w="180" w:type="dxa"/>
              <w:right w:w="180" w:type="dxa"/>
            </w:tcMar>
          </w:tcPr>
          <w:p>
            <w:pPr>
              <w:jc w:val="center"/>
            </w:pPr>
            <w:r>
              <w:rPr>
                <w:b/>
                <w:color w:val="FFFFFF"/>
                <w:sz w:val="20"/>
              </w:rPr>
              <w:t>Algorithmic &amp; Clinical Rationale</w:t>
            </w:r>
          </w:p>
        </w:tc>
      </w:tr>
      <w:tr>
        <w:tc>
          <w:tcPr>
            <w:tcW w:type="dxa" w:w="2592"/>
            <w:shd w:val="clear" w:color="auto" w:fill="FFFFFF"/>
            <w:tcMar>
              <w:top w:w="100" w:type="dxa"/>
              <w:bottom w:w="100" w:type="dxa"/>
              <w:left w:w="160" w:type="dxa"/>
              <w:right w:w="160" w:type="dxa"/>
            </w:tcMar>
          </w:tcPr>
          <w:p>
            <w:pPr>
              <w:jc w:val="left"/>
            </w:pPr>
            <w:r>
              <w:rPr>
                <w:color w:val="1F2937"/>
                <w:sz w:val="19"/>
              </w:rPr>
              <w:t>n_estimators</w:t>
            </w:r>
          </w:p>
        </w:tc>
        <w:tc>
          <w:tcPr>
            <w:tcW w:type="dxa" w:w="2304"/>
            <w:shd w:val="clear" w:color="auto" w:fill="FFFFFF"/>
            <w:tcMar>
              <w:top w:w="100" w:type="dxa"/>
              <w:bottom w:w="100" w:type="dxa"/>
              <w:left w:w="160" w:type="dxa"/>
              <w:right w:w="160" w:type="dxa"/>
            </w:tcMar>
          </w:tcPr>
          <w:p>
            <w:pPr>
              <w:jc w:val="center"/>
            </w:pPr>
            <w:r>
              <w:rPr>
                <w:color w:val="1F2937"/>
                <w:sz w:val="19"/>
              </w:rPr>
              <w:t>200 Trees</w:t>
            </w:r>
          </w:p>
        </w:tc>
        <w:tc>
          <w:tcPr>
            <w:tcW w:type="dxa" w:w="5472"/>
            <w:shd w:val="clear" w:color="auto" w:fill="FFFFFF"/>
            <w:tcMar>
              <w:top w:w="100" w:type="dxa"/>
              <w:bottom w:w="100" w:type="dxa"/>
              <w:left w:w="160" w:type="dxa"/>
              <w:right w:w="160" w:type="dxa"/>
            </w:tcMar>
          </w:tcPr>
          <w:p>
            <w:pPr>
              <w:jc w:val="left"/>
            </w:pPr>
            <w:r>
              <w:rPr>
                <w:color w:val="1F2937"/>
                <w:sz w:val="19"/>
              </w:rPr>
              <w:t>Ensures ensemble variance reduction and stabilizes out-of-bag error estimates.</w:t>
            </w:r>
          </w:p>
        </w:tc>
      </w:tr>
      <w:tr>
        <w:tc>
          <w:tcPr>
            <w:tcW w:type="dxa" w:w="2592"/>
            <w:shd w:val="clear" w:color="auto" w:fill="F4FAFA"/>
            <w:tcMar>
              <w:top w:w="100" w:type="dxa"/>
              <w:bottom w:w="100" w:type="dxa"/>
              <w:left w:w="160" w:type="dxa"/>
              <w:right w:w="160" w:type="dxa"/>
            </w:tcMar>
          </w:tcPr>
          <w:p>
            <w:pPr>
              <w:jc w:val="left"/>
            </w:pPr>
            <w:r>
              <w:rPr>
                <w:color w:val="1F2937"/>
                <w:sz w:val="19"/>
              </w:rPr>
              <w:t>criterion</w:t>
            </w:r>
          </w:p>
        </w:tc>
        <w:tc>
          <w:tcPr>
            <w:tcW w:type="dxa" w:w="2304"/>
            <w:shd w:val="clear" w:color="auto" w:fill="F4FAFA"/>
            <w:tcMar>
              <w:top w:w="100" w:type="dxa"/>
              <w:bottom w:w="100" w:type="dxa"/>
              <w:left w:w="160" w:type="dxa"/>
              <w:right w:w="160" w:type="dxa"/>
            </w:tcMar>
          </w:tcPr>
          <w:p>
            <w:pPr>
              <w:jc w:val="center"/>
            </w:pPr>
            <w:r>
              <w:rPr>
                <w:color w:val="1F2937"/>
                <w:sz w:val="19"/>
              </w:rPr>
              <w:t>Gini Impurity</w:t>
            </w:r>
          </w:p>
        </w:tc>
        <w:tc>
          <w:tcPr>
            <w:tcW w:type="dxa" w:w="5472"/>
            <w:shd w:val="clear" w:color="auto" w:fill="F4FAFA"/>
            <w:tcMar>
              <w:top w:w="100" w:type="dxa"/>
              <w:bottom w:w="100" w:type="dxa"/>
              <w:left w:w="160" w:type="dxa"/>
              <w:right w:w="160" w:type="dxa"/>
            </w:tcMar>
          </w:tcPr>
          <w:p>
            <w:pPr>
              <w:jc w:val="left"/>
            </w:pPr>
            <w:r>
              <w:rPr>
                <w:color w:val="1F2937"/>
                <w:sz w:val="19"/>
              </w:rPr>
              <w:t>Computationally efficient information gain metric for multi-class tree splits.</w:t>
            </w:r>
          </w:p>
        </w:tc>
      </w:tr>
      <w:tr>
        <w:tc>
          <w:tcPr>
            <w:tcW w:type="dxa" w:w="2592"/>
            <w:shd w:val="clear" w:color="auto" w:fill="FFFFFF"/>
            <w:tcMar>
              <w:top w:w="100" w:type="dxa"/>
              <w:bottom w:w="100" w:type="dxa"/>
              <w:left w:w="160" w:type="dxa"/>
              <w:right w:w="160" w:type="dxa"/>
            </w:tcMar>
          </w:tcPr>
          <w:p>
            <w:pPr>
              <w:jc w:val="left"/>
            </w:pPr>
            <w:r>
              <w:rPr>
                <w:color w:val="1F2937"/>
                <w:sz w:val="19"/>
              </w:rPr>
              <w:t>max_depth</w:t>
            </w:r>
          </w:p>
        </w:tc>
        <w:tc>
          <w:tcPr>
            <w:tcW w:type="dxa" w:w="2304"/>
            <w:shd w:val="clear" w:color="auto" w:fill="FFFFFF"/>
            <w:tcMar>
              <w:top w:w="100" w:type="dxa"/>
              <w:bottom w:w="100" w:type="dxa"/>
              <w:left w:w="160" w:type="dxa"/>
              <w:right w:w="160" w:type="dxa"/>
            </w:tcMar>
          </w:tcPr>
          <w:p>
            <w:pPr>
              <w:jc w:val="center"/>
            </w:pPr>
            <w:r>
              <w:rPr>
                <w:color w:val="1F2937"/>
                <w:sz w:val="19"/>
              </w:rPr>
              <w:t>16 Levels</w:t>
            </w:r>
          </w:p>
        </w:tc>
        <w:tc>
          <w:tcPr>
            <w:tcW w:type="dxa" w:w="5472"/>
            <w:shd w:val="clear" w:color="auto" w:fill="FFFFFF"/>
            <w:tcMar>
              <w:top w:w="100" w:type="dxa"/>
              <w:bottom w:w="100" w:type="dxa"/>
              <w:left w:w="160" w:type="dxa"/>
              <w:right w:w="160" w:type="dxa"/>
            </w:tcMar>
          </w:tcPr>
          <w:p>
            <w:pPr>
              <w:jc w:val="left"/>
            </w:pPr>
            <w:r>
              <w:rPr>
                <w:color w:val="1F2937"/>
                <w:sz w:val="19"/>
              </w:rPr>
              <w:t>Restricts tree depth to prevent memorization of noise in laboratory readings.</w:t>
            </w:r>
          </w:p>
        </w:tc>
      </w:tr>
      <w:tr>
        <w:tc>
          <w:tcPr>
            <w:tcW w:type="dxa" w:w="2592"/>
            <w:shd w:val="clear" w:color="auto" w:fill="F4FAFA"/>
            <w:tcMar>
              <w:top w:w="100" w:type="dxa"/>
              <w:bottom w:w="100" w:type="dxa"/>
              <w:left w:w="160" w:type="dxa"/>
              <w:right w:w="160" w:type="dxa"/>
            </w:tcMar>
          </w:tcPr>
          <w:p>
            <w:pPr>
              <w:jc w:val="left"/>
            </w:pPr>
            <w:r>
              <w:rPr>
                <w:color w:val="1F2937"/>
                <w:sz w:val="19"/>
              </w:rPr>
              <w:t>min_samples_split</w:t>
            </w:r>
          </w:p>
        </w:tc>
        <w:tc>
          <w:tcPr>
            <w:tcW w:type="dxa" w:w="2304"/>
            <w:shd w:val="clear" w:color="auto" w:fill="F4FAFA"/>
            <w:tcMar>
              <w:top w:w="100" w:type="dxa"/>
              <w:bottom w:w="100" w:type="dxa"/>
              <w:left w:w="160" w:type="dxa"/>
              <w:right w:w="160" w:type="dxa"/>
            </w:tcMar>
          </w:tcPr>
          <w:p>
            <w:pPr>
              <w:jc w:val="center"/>
            </w:pPr>
            <w:r>
              <w:rPr>
                <w:color w:val="1F2937"/>
                <w:sz w:val="19"/>
              </w:rPr>
              <w:t>5 Samples</w:t>
            </w:r>
          </w:p>
        </w:tc>
        <w:tc>
          <w:tcPr>
            <w:tcW w:type="dxa" w:w="5472"/>
            <w:shd w:val="clear" w:color="auto" w:fill="F4FAFA"/>
            <w:tcMar>
              <w:top w:w="100" w:type="dxa"/>
              <w:bottom w:w="100" w:type="dxa"/>
              <w:left w:w="160" w:type="dxa"/>
              <w:right w:w="160" w:type="dxa"/>
            </w:tcMar>
          </w:tcPr>
          <w:p>
            <w:pPr>
              <w:jc w:val="left"/>
            </w:pPr>
            <w:r>
              <w:rPr>
                <w:color w:val="1F2937"/>
                <w:sz w:val="19"/>
              </w:rPr>
              <w:t>Requires meaningful clinical subgroup support before creating new decision branches.</w:t>
            </w:r>
          </w:p>
        </w:tc>
      </w:tr>
      <w:tr>
        <w:tc>
          <w:tcPr>
            <w:tcW w:type="dxa" w:w="2592"/>
            <w:shd w:val="clear" w:color="auto" w:fill="FFFFFF"/>
            <w:tcMar>
              <w:top w:w="100" w:type="dxa"/>
              <w:bottom w:w="100" w:type="dxa"/>
              <w:left w:w="160" w:type="dxa"/>
              <w:right w:w="160" w:type="dxa"/>
            </w:tcMar>
          </w:tcPr>
          <w:p>
            <w:pPr>
              <w:jc w:val="left"/>
            </w:pPr>
            <w:r>
              <w:rPr>
                <w:color w:val="1F2937"/>
                <w:sz w:val="19"/>
              </w:rPr>
              <w:t>min_samples_leaf</w:t>
            </w:r>
          </w:p>
        </w:tc>
        <w:tc>
          <w:tcPr>
            <w:tcW w:type="dxa" w:w="2304"/>
            <w:shd w:val="clear" w:color="auto" w:fill="FFFFFF"/>
            <w:tcMar>
              <w:top w:w="100" w:type="dxa"/>
              <w:bottom w:w="100" w:type="dxa"/>
              <w:left w:w="160" w:type="dxa"/>
              <w:right w:w="160" w:type="dxa"/>
            </w:tcMar>
          </w:tcPr>
          <w:p>
            <w:pPr>
              <w:jc w:val="center"/>
            </w:pPr>
            <w:r>
              <w:rPr>
                <w:color w:val="1F2937"/>
                <w:sz w:val="19"/>
              </w:rPr>
              <w:t>2 Samples</w:t>
            </w:r>
          </w:p>
        </w:tc>
        <w:tc>
          <w:tcPr>
            <w:tcW w:type="dxa" w:w="5472"/>
            <w:shd w:val="clear" w:color="auto" w:fill="FFFFFF"/>
            <w:tcMar>
              <w:top w:w="100" w:type="dxa"/>
              <w:bottom w:w="100" w:type="dxa"/>
              <w:left w:w="160" w:type="dxa"/>
              <w:right w:w="160" w:type="dxa"/>
            </w:tcMar>
          </w:tcPr>
          <w:p>
            <w:pPr>
              <w:jc w:val="left"/>
            </w:pPr>
            <w:r>
              <w:rPr>
                <w:color w:val="1F2937"/>
                <w:sz w:val="19"/>
              </w:rPr>
              <w:t>Prevents isolated anomalous patient records from forming terminal leaf nodes.</w:t>
            </w:r>
          </w:p>
        </w:tc>
      </w:tr>
      <w:tr>
        <w:tc>
          <w:tcPr>
            <w:tcW w:type="dxa" w:w="2592"/>
            <w:shd w:val="clear" w:color="auto" w:fill="F4FAFA"/>
            <w:tcMar>
              <w:top w:w="100" w:type="dxa"/>
              <w:bottom w:w="100" w:type="dxa"/>
              <w:left w:w="160" w:type="dxa"/>
              <w:right w:w="160" w:type="dxa"/>
            </w:tcMar>
          </w:tcPr>
          <w:p>
            <w:pPr>
              <w:jc w:val="left"/>
            </w:pPr>
            <w:r>
              <w:rPr>
                <w:color w:val="1F2937"/>
                <w:sz w:val="19"/>
              </w:rPr>
              <w:t>class_weight</w:t>
            </w:r>
          </w:p>
        </w:tc>
        <w:tc>
          <w:tcPr>
            <w:tcW w:type="dxa" w:w="2304"/>
            <w:shd w:val="clear" w:color="auto" w:fill="F4FAFA"/>
            <w:tcMar>
              <w:top w:w="100" w:type="dxa"/>
              <w:bottom w:w="100" w:type="dxa"/>
              <w:left w:w="160" w:type="dxa"/>
              <w:right w:w="160" w:type="dxa"/>
            </w:tcMar>
          </w:tcPr>
          <w:p>
            <w:pPr>
              <w:jc w:val="center"/>
            </w:pPr>
            <w:r>
              <w:rPr>
                <w:color w:val="1F2937"/>
                <w:sz w:val="19"/>
              </w:rPr>
              <w:t>'balanced'</w:t>
            </w:r>
          </w:p>
        </w:tc>
        <w:tc>
          <w:tcPr>
            <w:tcW w:type="dxa" w:w="5472"/>
            <w:shd w:val="clear" w:color="auto" w:fill="F4FAFA"/>
            <w:tcMar>
              <w:top w:w="100" w:type="dxa"/>
              <w:bottom w:w="100" w:type="dxa"/>
              <w:left w:w="160" w:type="dxa"/>
              <w:right w:w="160" w:type="dxa"/>
            </w:tcMar>
          </w:tcPr>
          <w:p>
            <w:pPr>
              <w:jc w:val="left"/>
            </w:pPr>
            <w:r>
              <w:rPr>
                <w:color w:val="1F2937"/>
                <w:sz w:val="19"/>
              </w:rPr>
              <w:t>Inversely scales weights proportional to class frequencies; boosts Short &amp; Long recall.</w:t>
            </w:r>
          </w:p>
        </w:tc>
      </w:tr>
      <w:tr>
        <w:tc>
          <w:tcPr>
            <w:tcW w:type="dxa" w:w="2592"/>
            <w:shd w:val="clear" w:color="auto" w:fill="FFFFFF"/>
            <w:tcMar>
              <w:top w:w="100" w:type="dxa"/>
              <w:bottom w:w="100" w:type="dxa"/>
              <w:left w:w="160" w:type="dxa"/>
              <w:right w:w="160" w:type="dxa"/>
            </w:tcMar>
          </w:tcPr>
          <w:p>
            <w:pPr>
              <w:jc w:val="left"/>
            </w:pPr>
            <w:r>
              <w:rPr>
                <w:color w:val="1F2937"/>
                <w:sz w:val="19"/>
              </w:rPr>
              <w:t>max_features</w:t>
            </w:r>
          </w:p>
        </w:tc>
        <w:tc>
          <w:tcPr>
            <w:tcW w:type="dxa" w:w="2304"/>
            <w:shd w:val="clear" w:color="auto" w:fill="FFFFFF"/>
            <w:tcMar>
              <w:top w:w="100" w:type="dxa"/>
              <w:bottom w:w="100" w:type="dxa"/>
              <w:left w:w="160" w:type="dxa"/>
              <w:right w:w="160" w:type="dxa"/>
            </w:tcMar>
          </w:tcPr>
          <w:p>
            <w:pPr>
              <w:jc w:val="center"/>
            </w:pPr>
            <w:r>
              <w:rPr>
                <w:color w:val="1F2937"/>
                <w:sz w:val="19"/>
              </w:rPr>
              <w:t>'sqrt' (4)</w:t>
            </w:r>
          </w:p>
        </w:tc>
        <w:tc>
          <w:tcPr>
            <w:tcW w:type="dxa" w:w="5472"/>
            <w:shd w:val="clear" w:color="auto" w:fill="FFFFFF"/>
            <w:tcMar>
              <w:top w:w="100" w:type="dxa"/>
              <w:bottom w:w="100" w:type="dxa"/>
              <w:left w:w="160" w:type="dxa"/>
              <w:right w:w="160" w:type="dxa"/>
            </w:tcMar>
          </w:tcPr>
          <w:p>
            <w:pPr>
              <w:jc w:val="left"/>
            </w:pPr>
            <w:r>
              <w:rPr>
                <w:color w:val="1F2937"/>
                <w:sz w:val="19"/>
              </w:rPr>
              <w:t>Enforces strong feature de-correlation across parallel decision trees.</w:t>
            </w:r>
          </w:p>
        </w:tc>
      </w:tr>
      <w:tr>
        <w:tc>
          <w:tcPr>
            <w:tcW w:type="dxa" w:w="2592"/>
            <w:shd w:val="clear" w:color="auto" w:fill="F4FAFA"/>
            <w:tcMar>
              <w:top w:w="100" w:type="dxa"/>
              <w:bottom w:w="100" w:type="dxa"/>
              <w:left w:w="160" w:type="dxa"/>
              <w:right w:w="160" w:type="dxa"/>
            </w:tcMar>
          </w:tcPr>
          <w:p>
            <w:pPr>
              <w:jc w:val="left"/>
            </w:pPr>
            <w:r>
              <w:rPr>
                <w:color w:val="1F2937"/>
                <w:sz w:val="19"/>
              </w:rPr>
              <w:t>oob_score</w:t>
            </w:r>
          </w:p>
        </w:tc>
        <w:tc>
          <w:tcPr>
            <w:tcW w:type="dxa" w:w="2304"/>
            <w:shd w:val="clear" w:color="auto" w:fill="F4FAFA"/>
            <w:tcMar>
              <w:top w:w="100" w:type="dxa"/>
              <w:bottom w:w="100" w:type="dxa"/>
              <w:left w:w="160" w:type="dxa"/>
              <w:right w:w="160" w:type="dxa"/>
            </w:tcMar>
          </w:tcPr>
          <w:p>
            <w:pPr>
              <w:jc w:val="center"/>
            </w:pPr>
            <w:r>
              <w:rPr>
                <w:color w:val="1F2937"/>
                <w:sz w:val="19"/>
              </w:rPr>
              <w:t>True</w:t>
            </w:r>
          </w:p>
        </w:tc>
        <w:tc>
          <w:tcPr>
            <w:tcW w:type="dxa" w:w="5472"/>
            <w:shd w:val="clear" w:color="auto" w:fill="F4FAFA"/>
            <w:tcMar>
              <w:top w:w="100" w:type="dxa"/>
              <w:bottom w:w="100" w:type="dxa"/>
              <w:left w:w="160" w:type="dxa"/>
              <w:right w:w="160" w:type="dxa"/>
            </w:tcMar>
          </w:tcPr>
          <w:p>
            <w:pPr>
              <w:jc w:val="left"/>
            </w:pPr>
            <w:r>
              <w:rPr>
                <w:color w:val="1F2937"/>
                <w:sz w:val="19"/>
              </w:rPr>
              <w:t>Provides continuous out-of-bag validation error estimates without data leakage.</w:t>
            </w:r>
          </w:p>
        </w:tc>
      </w:tr>
      <w:tr>
        <w:tc>
          <w:tcPr>
            <w:tcW w:type="dxa" w:w="2592"/>
            <w:shd w:val="clear" w:color="auto" w:fill="FFFFFF"/>
            <w:tcMar>
              <w:top w:w="100" w:type="dxa"/>
              <w:bottom w:w="100" w:type="dxa"/>
              <w:left w:w="160" w:type="dxa"/>
              <w:right w:w="160" w:type="dxa"/>
            </w:tcMar>
          </w:tcPr>
          <w:p>
            <w:pPr>
              <w:jc w:val="left"/>
            </w:pPr>
            <w:r>
              <w:rPr>
                <w:color w:val="1F2937"/>
                <w:sz w:val="19"/>
              </w:rPr>
              <w:t>random_state</w:t>
            </w:r>
          </w:p>
        </w:tc>
        <w:tc>
          <w:tcPr>
            <w:tcW w:type="dxa" w:w="2304"/>
            <w:shd w:val="clear" w:color="auto" w:fill="FFFFFF"/>
            <w:tcMar>
              <w:top w:w="100" w:type="dxa"/>
              <w:bottom w:w="100" w:type="dxa"/>
              <w:left w:w="160" w:type="dxa"/>
              <w:right w:w="160" w:type="dxa"/>
            </w:tcMar>
          </w:tcPr>
          <w:p>
            <w:pPr>
              <w:jc w:val="center"/>
            </w:pPr>
            <w:r>
              <w:rPr>
                <w:color w:val="1F2937"/>
                <w:sz w:val="19"/>
              </w:rPr>
              <w:t>42</w:t>
            </w:r>
          </w:p>
        </w:tc>
        <w:tc>
          <w:tcPr>
            <w:tcW w:type="dxa" w:w="5472"/>
            <w:shd w:val="clear" w:color="auto" w:fill="FFFFFF"/>
            <w:tcMar>
              <w:top w:w="100" w:type="dxa"/>
              <w:bottom w:w="100" w:type="dxa"/>
              <w:left w:w="160" w:type="dxa"/>
              <w:right w:w="160" w:type="dxa"/>
            </w:tcMar>
          </w:tcPr>
          <w:p>
            <w:pPr>
              <w:jc w:val="left"/>
            </w:pPr>
            <w:r>
              <w:rPr>
                <w:color w:val="1F2937"/>
                <w:sz w:val="19"/>
              </w:rPr>
              <w:t>Guarantees absolute scientific determinism and experiment reproducibility.</w:t>
            </w:r>
          </w:p>
        </w:tc>
      </w:tr>
    </w:tbl>
    <w:p/>
    <w:p>
      <w:pPr>
        <w:keepNext/>
        <w:spacing w:before="240" w:after="80"/>
      </w:pPr>
      <w:r>
        <w:rPr>
          <w:rFonts w:ascii="Calibri" w:hAnsi="Calibri"/>
          <w:b/>
          <w:color w:val="008C95"/>
          <w:sz w:val="25"/>
        </w:rPr>
        <w:t>9.2 Core Python Training Pipeline</w:t>
      </w:r>
    </w:p>
    <w:p>
      <w:pPr>
        <w:spacing w:after="120" w:line="276" w:lineRule="auto"/>
        <w:jc w:val="both"/>
      </w:pPr>
      <w:r>
        <w:rPr>
          <w:rFonts w:ascii="Calibri" w:hAnsi="Calibri"/>
          <w:color w:val="1F2937"/>
          <w:sz w:val="22"/>
        </w:rPr>
        <w:t>The automated model training and evaluation script (train_model.py) implements the following Scikit-Learn logic:</w:t>
      </w:r>
    </w:p>
    <w:p>
      <w:pPr>
        <w:spacing w:before="120" w:after="200"/>
      </w:pPr>
      <w:r>
        <w:rPr>
          <w:rFonts w:ascii="Consolas" w:hAnsi="Consolas"/>
          <w:color w:val="0A3641"/>
          <w:sz w:val="17"/>
        </w:rPr>
        <w:t># Core Random Forest Inpatient LOS Training Pipeline</w:t>
        <w:br/>
        <w:t>from sklearn.ensemble import RandomForestClassifier</w:t>
        <w:br/>
        <w:t>from sklearn.preprocessing import StandardScaler</w:t>
        <w:br/>
        <w:t>from sklearn.model_selection import train_test_split, cross_val_score</w:t>
        <w:br/>
        <w:t>import joblib</w:t>
        <w:br/>
        <w:br/>
        <w:t># Stratified 80/20 train/test split</w:t>
        <w:br/>
        <w:t>X_train, X_test, y_train, y_test = train_test_split(</w:t>
        <w:br/>
        <w:t xml:space="preserve">    X, y, test_size=0.20, random_state=42, stratify=y</w:t>
        <w:br/>
        <w:t>)</w:t>
        <w:br/>
        <w:br/>
        <w:t># Scale numerical features and serialize preprocessor</w:t>
        <w:br/>
        <w:t>scaler = StandardScaler()</w:t>
        <w:br/>
        <w:t>X_train_scaled = scaler.fit_transform(X_train)</w:t>
        <w:br/>
        <w:t>X_test_scaled  = scaler.transform(X_test)</w:t>
        <w:br/>
        <w:t>joblib.dump(scaler, 'model/scaler.pkl')</w:t>
        <w:br/>
        <w:br/>
        <w:t># Initialize balanced ensemble</w:t>
        <w:br/>
        <w:t>rf_model = RandomForestClassifier(</w:t>
        <w:br/>
        <w:t xml:space="preserve">    n_estimators=200, max_depth=16, min_samples_split=5,</w:t>
        <w:br/>
        <w:t xml:space="preserve">    min_samples_leaf=2, class_weight='balanced', oob_score=True,</w:t>
        <w:br/>
        <w:t xml:space="preserve">    random_state=42, n_jobs=-1</w:t>
        <w:br/>
        <w:t>)</w:t>
        <w:br/>
        <w:t>rf_model.fit(X_train_scaled, y_train)</w:t>
        <w:br/>
        <w:t>joblib.dump(rf_model, 'model/hospital_rf.pkl')</w:t>
        <w:br/>
      </w:r>
    </w:p>
    <w:p>
      <w:pPr>
        <w:keepNext/>
        <w:spacing w:before="320" w:after="120"/>
      </w:pPr>
      <w:r>
        <w:rPr>
          <w:rFonts w:ascii="Calibri" w:hAnsi="Calibri"/>
          <w:b/>
          <w:color w:val="0A3641"/>
          <w:sz w:val="30"/>
        </w:rPr>
        <w:t>10. Key Features of the System</w:t>
      </w:r>
    </w:p>
    <w:p>
      <w:pPr>
        <w:pStyle w:val="ListParagraph"/>
        <w:spacing w:after="80" w:line="276" w:lineRule="auto"/>
      </w:pPr>
      <w:r>
        <w:rPr>
          <w:rFonts w:ascii="Calibri" w:hAnsi="Calibri"/>
          <w:b/>
          <w:color w:val="1F2937"/>
          <w:sz w:val="22"/>
        </w:rPr>
        <w:t xml:space="preserve">Multi-Modal Clinical Triage Integration: </w:t>
      </w:r>
      <w:r>
        <w:rPr>
          <w:rFonts w:ascii="Calibri" w:hAnsi="Calibri"/>
          <w:color w:val="1F2937"/>
          <w:sz w:val="22"/>
        </w:rPr>
        <w:t xml:space="preserve"> Simultaneously synthesizes 17 multimodal clinical, demographic, laboratory, and operational attributes.</w:t>
      </w:r>
    </w:p>
    <w:p>
      <w:pPr>
        <w:pStyle w:val="ListParagraph"/>
        <w:spacing w:after="80" w:line="276" w:lineRule="auto"/>
      </w:pPr>
      <w:r>
        <w:rPr>
          <w:rFonts w:ascii="Calibri" w:hAnsi="Calibri"/>
          <w:b/>
          <w:color w:val="1F2937"/>
          <w:sz w:val="22"/>
        </w:rPr>
        <w:t xml:space="preserve">Balanced Class Weighting: </w:t>
      </w:r>
      <w:r>
        <w:rPr>
          <w:rFonts w:ascii="Calibri" w:hAnsi="Calibri"/>
          <w:color w:val="1F2937"/>
          <w:sz w:val="22"/>
        </w:rPr>
        <w:t xml:space="preserve"> Counteracts extreme 73% majority-class imbalance to preserve high clinical sensitivity for complex long stays.</w:t>
      </w:r>
    </w:p>
    <w:p>
      <w:pPr>
        <w:pStyle w:val="ListParagraph"/>
        <w:spacing w:after="80" w:line="276" w:lineRule="auto"/>
      </w:pPr>
      <w:r>
        <w:rPr>
          <w:rFonts w:ascii="Calibri" w:hAnsi="Calibri"/>
          <w:b/>
          <w:color w:val="1F2937"/>
          <w:sz w:val="22"/>
        </w:rPr>
        <w:t xml:space="preserve">Sub-30ms Inference Latency: </w:t>
      </w:r>
      <w:r>
        <w:rPr>
          <w:rFonts w:ascii="Calibri" w:hAnsi="Calibri"/>
          <w:color w:val="1F2937"/>
          <w:sz w:val="22"/>
        </w:rPr>
        <w:t xml:space="preserve"> Scikit-Learn Cython optimizations deliver real-time predictions in under 25 milliseconds on standard commodity CPUs.</w:t>
      </w:r>
    </w:p>
    <w:p>
      <w:pPr>
        <w:pStyle w:val="ListParagraph"/>
        <w:spacing w:after="80" w:line="276" w:lineRule="auto"/>
      </w:pPr>
      <w:r>
        <w:rPr>
          <w:rFonts w:ascii="Calibri" w:hAnsi="Calibri"/>
          <w:b/>
          <w:color w:val="1F2937"/>
          <w:sz w:val="22"/>
        </w:rPr>
        <w:t xml:space="preserve">Interpretable Feature Rankings: </w:t>
      </w:r>
      <w:r>
        <w:rPr>
          <w:rFonts w:ascii="Calibri" w:hAnsi="Calibri"/>
          <w:color w:val="1F2937"/>
          <w:sz w:val="22"/>
        </w:rPr>
        <w:t xml:space="preserve"> Provides transparent Mean Decrease in Impurity (MDI) rankings revealing the biological and operational drivers of stay.</w:t>
      </w:r>
    </w:p>
    <w:p>
      <w:pPr>
        <w:pStyle w:val="ListParagraph"/>
        <w:spacing w:after="80" w:line="276" w:lineRule="auto"/>
      </w:pPr>
      <w:r>
        <w:rPr>
          <w:rFonts w:ascii="Calibri" w:hAnsi="Calibri"/>
          <w:b/>
          <w:color w:val="1F2937"/>
          <w:sz w:val="22"/>
        </w:rPr>
        <w:t xml:space="preserve">Calibrated Multi-Class Probabilities: </w:t>
      </w:r>
      <w:r>
        <w:rPr>
          <w:rFonts w:ascii="Calibri" w:hAnsi="Calibri"/>
          <w:color w:val="1F2937"/>
          <w:sz w:val="22"/>
        </w:rPr>
        <w:t xml:space="preserve"> Generates full class distribution vectors [P(Short), P(Medium), P(Long)] rather than rigid binary predictions.</w:t>
      </w:r>
    </w:p>
    <w:p>
      <w:pPr>
        <w:pStyle w:val="ListParagraph"/>
        <w:spacing w:after="80" w:line="276" w:lineRule="auto"/>
      </w:pPr>
      <w:r>
        <w:rPr>
          <w:rFonts w:ascii="Calibri" w:hAnsi="Calibri"/>
          <w:b/>
          <w:color w:val="1F2937"/>
          <w:sz w:val="22"/>
        </w:rPr>
        <w:t xml:space="preserve">Automated Clinical Action Directives: </w:t>
      </w:r>
      <w:r>
        <w:rPr>
          <w:rFonts w:ascii="Calibri" w:hAnsi="Calibri"/>
          <w:color w:val="1F2937"/>
          <w:sz w:val="22"/>
        </w:rPr>
        <w:t xml:space="preserve"> Translates probability outputs into immediate, plain-language directives for nursing and bed management staff.</w:t>
      </w:r>
    </w:p>
    <w:p>
      <w:pPr>
        <w:pStyle w:val="ListParagraph"/>
        <w:spacing w:after="80" w:line="276" w:lineRule="auto"/>
      </w:pPr>
      <w:r>
        <w:rPr>
          <w:rFonts w:ascii="Calibri" w:hAnsi="Calibri"/>
          <w:b/>
          <w:color w:val="1F2937"/>
          <w:sz w:val="22"/>
        </w:rPr>
        <w:t xml:space="preserve">Zero-Dependency Dashboard: </w:t>
      </w:r>
      <w:r>
        <w:rPr>
          <w:rFonts w:ascii="Calibri" w:hAnsi="Calibri"/>
          <w:color w:val="1F2937"/>
          <w:sz w:val="22"/>
        </w:rPr>
        <w:t xml:space="preserve"> Modern HTML5/CSS3 glassmorphism web interface requiring zero third-party JavaScript frameworks or cloud dependencies.</w:t>
      </w:r>
    </w:p>
    <w:p>
      <w:pPr>
        <w:pStyle w:val="ListParagraph"/>
        <w:spacing w:after="80" w:line="276" w:lineRule="auto"/>
      </w:pPr>
      <w:r>
        <w:rPr>
          <w:rFonts w:ascii="Calibri" w:hAnsi="Calibri"/>
          <w:b/>
          <w:color w:val="1F2937"/>
          <w:sz w:val="22"/>
        </w:rPr>
        <w:t xml:space="preserve">Production REST API: </w:t>
      </w:r>
      <w:r>
        <w:rPr>
          <w:rFonts w:ascii="Calibri" w:hAnsi="Calibri"/>
          <w:color w:val="1F2937"/>
          <w:sz w:val="22"/>
        </w:rPr>
        <w:t xml:space="preserve"> Fully documented RESTful endpoints (/api/predict, /api/status) for seamless EHR and hospital information system integration.</w:t>
      </w:r>
    </w:p>
    <w:p>
      <w:r>
        <w:br w:type="page"/>
      </w:r>
    </w:p>
    <w:p>
      <w:pPr>
        <w:keepNext/>
        <w:spacing w:before="320" w:after="120"/>
      </w:pPr>
      <w:r>
        <w:rPr>
          <w:rFonts w:ascii="Calibri" w:hAnsi="Calibri"/>
          <w:b/>
          <w:color w:val="0A3641"/>
          <w:sz w:val="30"/>
        </w:rPr>
        <w:t>11. Real-World Applications</w:t>
      </w:r>
    </w:p>
    <w:p>
      <w:pPr>
        <w:pStyle w:val="ListParagraph"/>
        <w:spacing w:after="80" w:line="276" w:lineRule="auto"/>
      </w:pPr>
      <w:r>
        <w:rPr>
          <w:rFonts w:ascii="Calibri" w:hAnsi="Calibri"/>
          <w:b/>
          <w:color w:val="1F2937"/>
          <w:sz w:val="22"/>
        </w:rPr>
        <w:t xml:space="preserve">Emergency Department Triage &amp; Boarding Reduction: </w:t>
      </w:r>
      <w:r>
        <w:rPr>
          <w:rFonts w:ascii="Calibri" w:hAnsi="Calibri"/>
          <w:color w:val="1F2937"/>
          <w:sz w:val="22"/>
        </w:rPr>
        <w:t xml:space="preserve"> Predicts anticipated stay at the moment of ED triage, enabling pre-emptive allocation of inpatient ward beds before physical admission.</w:t>
      </w:r>
    </w:p>
    <w:p>
      <w:pPr>
        <w:pStyle w:val="ListParagraph"/>
        <w:spacing w:after="80" w:line="276" w:lineRule="auto"/>
      </w:pPr>
      <w:r>
        <w:rPr>
          <w:rFonts w:ascii="Calibri" w:hAnsi="Calibri"/>
          <w:b/>
          <w:color w:val="1F2937"/>
          <w:sz w:val="22"/>
        </w:rPr>
        <w:t xml:space="preserve">Intensive Care Unit (ICU) Step-Down Scheduling: </w:t>
      </w:r>
      <w:r>
        <w:rPr>
          <w:rFonts w:ascii="Calibri" w:hAnsi="Calibri"/>
          <w:color w:val="1F2937"/>
          <w:sz w:val="22"/>
        </w:rPr>
        <w:t xml:space="preserve"> Flags critical patients likely to exceed 7-day ICU stays, allowing clinicians to plan step-down telemetry bed transitions days in advance.</w:t>
      </w:r>
    </w:p>
    <w:p>
      <w:pPr>
        <w:pStyle w:val="ListParagraph"/>
        <w:spacing w:after="80" w:line="276" w:lineRule="auto"/>
      </w:pPr>
      <w:r>
        <w:rPr>
          <w:rFonts w:ascii="Calibri" w:hAnsi="Calibri"/>
          <w:b/>
          <w:color w:val="1F2937"/>
          <w:sz w:val="22"/>
        </w:rPr>
        <w:t xml:space="preserve">Elective Surgical Procedure Planning: </w:t>
      </w:r>
      <w:r>
        <w:rPr>
          <w:rFonts w:ascii="Calibri" w:hAnsi="Calibri"/>
          <w:color w:val="1F2937"/>
          <w:sz w:val="22"/>
        </w:rPr>
        <w:t xml:space="preserve"> Forecasts post-operative recovery timelines during pre-admission assessments, preventing surgical cancellations due to bed shortages.</w:t>
      </w:r>
    </w:p>
    <w:p>
      <w:pPr>
        <w:pStyle w:val="ListParagraph"/>
        <w:spacing w:after="80" w:line="276" w:lineRule="auto"/>
      </w:pPr>
      <w:r>
        <w:rPr>
          <w:rFonts w:ascii="Calibri" w:hAnsi="Calibri"/>
          <w:b/>
          <w:color w:val="1F2937"/>
          <w:sz w:val="22"/>
        </w:rPr>
        <w:t xml:space="preserve">Nurse-to-Patient Staffing Optimization: </w:t>
      </w:r>
      <w:r>
        <w:rPr>
          <w:rFonts w:ascii="Calibri" w:hAnsi="Calibri"/>
          <w:color w:val="1F2937"/>
          <w:sz w:val="22"/>
        </w:rPr>
        <w:t xml:space="preserve"> Anticipates high-acuity, long-stay census surges to schedule specialized nursing shifts and respiratory therapists appropriately.</w:t>
      </w:r>
    </w:p>
    <w:p>
      <w:pPr>
        <w:pStyle w:val="ListParagraph"/>
        <w:spacing w:after="80" w:line="276" w:lineRule="auto"/>
      </w:pPr>
      <w:r>
        <w:rPr>
          <w:rFonts w:ascii="Calibri" w:hAnsi="Calibri"/>
          <w:b/>
          <w:color w:val="1F2937"/>
          <w:sz w:val="22"/>
        </w:rPr>
        <w:t xml:space="preserve">Post-Acute &amp; Social Care Coordination: </w:t>
      </w:r>
      <w:r>
        <w:rPr>
          <w:rFonts w:ascii="Calibri" w:hAnsi="Calibri"/>
          <w:color w:val="1F2937"/>
          <w:sz w:val="22"/>
        </w:rPr>
        <w:t xml:space="preserve"> Identifies complex long-stay patients on Day 1, allowing social workers to initiate home nursing and physical therapy arrangements early.</w:t>
      </w:r>
    </w:p>
    <w:p>
      <w:pPr>
        <w:pStyle w:val="ListParagraph"/>
        <w:spacing w:after="80" w:line="276" w:lineRule="auto"/>
      </w:pPr>
      <w:r>
        <w:rPr>
          <w:rFonts w:ascii="Calibri" w:hAnsi="Calibri"/>
          <w:b/>
          <w:color w:val="1F2937"/>
          <w:sz w:val="22"/>
        </w:rPr>
        <w:t xml:space="preserve">Health Insurance DRG Pre-Authorization: </w:t>
      </w:r>
      <w:r>
        <w:rPr>
          <w:rFonts w:ascii="Calibri" w:hAnsi="Calibri"/>
          <w:color w:val="1F2937"/>
          <w:sz w:val="22"/>
        </w:rPr>
        <w:t xml:space="preserve"> Assists hospital financial coordinators in estimating Diagnosis-Related Group (DRG) coverage and length of stay benchmarks.</w:t>
      </w:r>
    </w:p>
    <w:p>
      <w:pPr>
        <w:keepNext/>
        <w:spacing w:before="320" w:after="120"/>
      </w:pPr>
      <w:r>
        <w:rPr>
          <w:rFonts w:ascii="Calibri" w:hAnsi="Calibri"/>
          <w:b/>
          <w:color w:val="0A3641"/>
          <w:sz w:val="30"/>
        </w:rPr>
        <w:t>12. Advantages and Limitations</w:t>
      </w:r>
    </w:p>
    <w:p>
      <w:pPr>
        <w:keepNext/>
        <w:spacing w:before="240" w:after="80"/>
      </w:pPr>
      <w:r>
        <w:rPr>
          <w:rFonts w:ascii="Calibri" w:hAnsi="Calibri"/>
          <w:b/>
          <w:color w:val="008C95"/>
          <w:sz w:val="25"/>
        </w:rPr>
        <w:t>12.1 Advantages</w:t>
      </w:r>
    </w:p>
    <w:p>
      <w:pPr>
        <w:pStyle w:val="ListParagraph"/>
        <w:spacing w:after="80" w:line="276" w:lineRule="auto"/>
      </w:pPr>
      <w:r>
        <w:rPr>
          <w:rFonts w:ascii="Calibri" w:hAnsi="Calibri"/>
          <w:color w:val="1F2937"/>
          <w:sz w:val="22"/>
        </w:rPr>
        <w:t>Clinical Explainability: Random Forest tree feature importances provide complete transparency, satisfying stringent medical regulatory requirements.</w:t>
      </w:r>
    </w:p>
    <w:p>
      <w:pPr>
        <w:pStyle w:val="ListParagraph"/>
        <w:spacing w:after="80" w:line="276" w:lineRule="auto"/>
      </w:pPr>
      <w:r>
        <w:rPr>
          <w:rFonts w:ascii="Calibri" w:hAnsi="Calibri"/>
          <w:color w:val="1F2937"/>
          <w:sz w:val="22"/>
        </w:rPr>
        <w:t>Immunity to Non-Linearity: Naturally models non-linear interactions between chronic illness (CCI), acute vitals (BP/HR), and patient age without manual cross-terms.</w:t>
      </w:r>
    </w:p>
    <w:p>
      <w:pPr>
        <w:pStyle w:val="ListParagraph"/>
        <w:spacing w:after="80" w:line="276" w:lineRule="auto"/>
      </w:pPr>
      <w:r>
        <w:rPr>
          <w:rFonts w:ascii="Calibri" w:hAnsi="Calibri"/>
          <w:color w:val="1F2937"/>
          <w:sz w:val="22"/>
        </w:rPr>
        <w:t>Extreme Computational Efficiency: Requires zero GPU hardware; trains in under 20 seconds and performs inference in under 25 milliseconds on standard laptops.</w:t>
      </w:r>
    </w:p>
    <w:p>
      <w:pPr>
        <w:pStyle w:val="ListParagraph"/>
        <w:spacing w:after="80" w:line="276" w:lineRule="auto"/>
      </w:pPr>
      <w:r>
        <w:rPr>
          <w:rFonts w:ascii="Calibri" w:hAnsi="Calibri"/>
          <w:color w:val="1F2937"/>
          <w:sz w:val="22"/>
        </w:rPr>
        <w:t>Resilience to Clinical Imbalance: Balanced class weights maintain high discriminative power for rare short and complex long stays.</w:t>
      </w:r>
    </w:p>
    <w:p>
      <w:pPr>
        <w:pStyle w:val="ListParagraph"/>
        <w:spacing w:after="80" w:line="276" w:lineRule="auto"/>
      </w:pPr>
      <w:r>
        <w:rPr>
          <w:rFonts w:ascii="Calibri" w:hAnsi="Calibri"/>
          <w:color w:val="1F2937"/>
          <w:sz w:val="22"/>
        </w:rPr>
        <w:t>Full Architectural Portability: Complete end-to-end implementation (dataset, model, REST API, dashboard) runs self-contained on Windows, Linux, and macOS.</w:t>
      </w:r>
    </w:p>
    <w:p>
      <w:pPr>
        <w:keepNext/>
        <w:spacing w:before="240" w:after="80"/>
      </w:pPr>
      <w:r>
        <w:rPr>
          <w:rFonts w:ascii="Calibri" w:hAnsi="Calibri"/>
          <w:b/>
          <w:color w:val="008C95"/>
          <w:sz w:val="25"/>
        </w:rPr>
        <w:t>12.2 Limitations</w:t>
      </w:r>
    </w:p>
    <w:p>
      <w:pPr>
        <w:pStyle w:val="ListParagraph"/>
        <w:spacing w:after="80" w:line="276" w:lineRule="auto"/>
      </w:pPr>
      <w:r>
        <w:rPr>
          <w:rFonts w:ascii="Calibri" w:hAnsi="Calibri"/>
          <w:color w:val="1F2937"/>
          <w:sz w:val="22"/>
        </w:rPr>
        <w:t>Synthetic Population Calibration: While calibrated to HCUP and MIMIC-III parameters, synthetic records cannot capture extreme rare disease anomalies.</w:t>
      </w:r>
    </w:p>
    <w:p>
      <w:pPr>
        <w:pStyle w:val="ListParagraph"/>
        <w:spacing w:after="80" w:line="276" w:lineRule="auto"/>
      </w:pPr>
      <w:r>
        <w:rPr>
          <w:rFonts w:ascii="Calibri" w:hAnsi="Calibri"/>
          <w:color w:val="1F2937"/>
          <w:sz w:val="22"/>
        </w:rPr>
        <w:t>Single-Point-in-Time Prediction: Evaluates telemetry strictly at admission; does not dynamically update predictions as daily lab results evolve.</w:t>
      </w:r>
    </w:p>
    <w:p>
      <w:pPr>
        <w:pStyle w:val="ListParagraph"/>
        <w:spacing w:after="80" w:line="276" w:lineRule="auto"/>
      </w:pPr>
      <w:r>
        <w:rPr>
          <w:rFonts w:ascii="Calibri" w:hAnsi="Calibri"/>
          <w:color w:val="1F2937"/>
          <w:sz w:val="22"/>
        </w:rPr>
        <w:t>Single-Facility Demographics: Optimal hospital performance requires re-fitting the scaler and model to the specific regional hospital demographic.</w:t>
      </w:r>
    </w:p>
    <w:p>
      <w:pPr>
        <w:keepNext/>
        <w:spacing w:before="320" w:after="120"/>
      </w:pPr>
      <w:r>
        <w:rPr>
          <w:rFonts w:ascii="Calibri" w:hAnsi="Calibri"/>
          <w:b/>
          <w:color w:val="0A3641"/>
          <w:sz w:val="30"/>
        </w:rPr>
        <w:t>13. Future Scope</w:t>
      </w:r>
    </w:p>
    <w:p>
      <w:pPr>
        <w:pStyle w:val="ListParagraph"/>
        <w:spacing w:after="80" w:line="276" w:lineRule="auto"/>
      </w:pPr>
      <w:r>
        <w:rPr>
          <w:rFonts w:ascii="Calibri" w:hAnsi="Calibri"/>
          <w:color w:val="1F2937"/>
          <w:sz w:val="22"/>
        </w:rPr>
        <w:t>HL7 / FHIR Standards Integration: Direct ingestion of live patient EHR telemetry via Fast Healthcare Interoperability Resources (FHIR) JSON streams.</w:t>
      </w:r>
    </w:p>
    <w:p>
      <w:pPr>
        <w:pStyle w:val="ListParagraph"/>
        <w:spacing w:after="80" w:line="276" w:lineRule="auto"/>
      </w:pPr>
      <w:r>
        <w:rPr>
          <w:rFonts w:ascii="Calibri" w:hAnsi="Calibri"/>
          <w:color w:val="1F2937"/>
          <w:sz w:val="22"/>
        </w:rPr>
        <w:t>Dynamic Multi-Day Re-Prediction: Updating LOS forecasts every 12 hours as new nursing vitals and morning laboratory panels are committed.</w:t>
      </w:r>
    </w:p>
    <w:p>
      <w:pPr>
        <w:pStyle w:val="ListParagraph"/>
        <w:spacing w:after="80" w:line="276" w:lineRule="auto"/>
      </w:pPr>
      <w:r>
        <w:rPr>
          <w:rFonts w:ascii="Calibri" w:hAnsi="Calibri"/>
          <w:color w:val="1F2937"/>
          <w:sz w:val="22"/>
        </w:rPr>
        <w:t>SHAP-Based Individualized Explanations: Integrating SHapley Additive exPlanations (SHAP) directly into the dashboard for per-patient clinical rationales.</w:t>
      </w:r>
    </w:p>
    <w:p>
      <w:pPr>
        <w:pStyle w:val="ListParagraph"/>
        <w:spacing w:after="80" w:line="276" w:lineRule="auto"/>
      </w:pPr>
      <w:r>
        <w:rPr>
          <w:rFonts w:ascii="Calibri" w:hAnsi="Calibri"/>
          <w:color w:val="1F2937"/>
          <w:sz w:val="22"/>
        </w:rPr>
        <w:t>Continuous LOS Regression Extension: Complementing 3-tier classification with continuous hour-level discharge regression curves.</w:t>
      </w:r>
    </w:p>
    <w:p>
      <w:pPr>
        <w:pStyle w:val="ListParagraph"/>
        <w:spacing w:after="80" w:line="276" w:lineRule="auto"/>
      </w:pPr>
      <w:r>
        <w:rPr>
          <w:rFonts w:ascii="Calibri" w:hAnsi="Calibri"/>
          <w:color w:val="1F2937"/>
          <w:sz w:val="22"/>
        </w:rPr>
        <w:t>Privacy-Preserving Federated Learning: Training multi-centre ensemble models across hospital networks without sharing raw patient records.</w:t>
      </w:r>
    </w:p>
    <w:p>
      <w:r>
        <w:br w:type="page"/>
      </w:r>
    </w:p>
    <w:p>
      <w:pPr>
        <w:keepNext/>
        <w:spacing w:before="320" w:after="120"/>
      </w:pPr>
      <w:r>
        <w:rPr>
          <w:rFonts w:ascii="Calibri" w:hAnsi="Calibri"/>
          <w:b/>
          <w:color w:val="0A3641"/>
          <w:sz w:val="30"/>
        </w:rPr>
        <w:t>14. Testing and Results</w:t>
      </w:r>
    </w:p>
    <w:p>
      <w:pPr>
        <w:keepNext/>
        <w:spacing w:before="240" w:after="80"/>
      </w:pPr>
      <w:r>
        <w:rPr>
          <w:rFonts w:ascii="Calibri" w:hAnsi="Calibri"/>
          <w:b/>
          <w:color w:val="008C95"/>
          <w:sz w:val="25"/>
        </w:rPr>
        <w:t>14.1 Mathematical Evaluation Metrics</w:t>
      </w:r>
    </w:p>
    <w:p>
      <w:pPr>
        <w:spacing w:after="120" w:line="276" w:lineRule="auto"/>
        <w:jc w:val="both"/>
      </w:pPr>
      <w:r>
        <w:rPr>
          <w:rFonts w:ascii="Calibri" w:hAnsi="Calibri"/>
          <w:color w:val="1F2937"/>
          <w:sz w:val="22"/>
        </w:rPr>
        <w:t>System evaluation was conducted on a held-out test cohort of 2,000 patients (20% stratified partition) and further verified using 5-fold cross-validation. Performance was rigorously measured using three formal mathematical metrics:</w:t>
      </w:r>
    </w:p>
    <w:p>
      <w:pPr>
        <w:spacing w:after="120" w:line="276" w:lineRule="auto"/>
        <w:jc w:val="both"/>
      </w:pPr>
      <w:r>
        <w:rPr>
          <w:rFonts w:ascii="Calibri" w:hAnsi="Calibri"/>
          <w:b/>
          <w:color w:val="1F2937"/>
          <w:sz w:val="22"/>
        </w:rPr>
        <w:t xml:space="preserve">1. Classification Accuracy: </w:t>
      </w:r>
      <w:r>
        <w:rPr>
          <w:rFonts w:ascii="Calibri" w:hAnsi="Calibri"/>
          <w:color w:val="1F2937"/>
          <w:sz w:val="22"/>
        </w:rPr>
        <w:t>Measures the global proportion of correctly classified Length-of-Stay categories across all test patients:</w:t>
      </w:r>
    </w:p>
    <w:p>
      <w:pPr>
        <w:spacing w:before="160" w:after="40"/>
        <w:jc w:val="center"/>
      </w:pPr>
      <w:r>
        <w:drawing>
          <wp:inline xmlns:a="http://schemas.openxmlformats.org/drawingml/2006/main" xmlns:pic="http://schemas.openxmlformats.org/drawingml/2006/picture">
            <wp:extent cx="2926080" cy="430306"/>
            <wp:docPr id="8" name="Picture 8"/>
            <wp:cNvGraphicFramePr>
              <a:graphicFrameLocks noChangeAspect="1"/>
            </wp:cNvGraphicFramePr>
            <a:graphic>
              <a:graphicData uri="http://schemas.openxmlformats.org/drawingml/2006/picture">
                <pic:pic>
                  <pic:nvPicPr>
                    <pic:cNvPr id="0" name="eq_accuracy.png"/>
                    <pic:cNvPicPr/>
                  </pic:nvPicPr>
                  <pic:blipFill>
                    <a:blip r:embed="rId28"/>
                    <a:stretch>
                      <a:fillRect/>
                    </a:stretch>
                  </pic:blipFill>
                  <pic:spPr>
                    <a:xfrm>
                      <a:off x="0" y="0"/>
                      <a:ext cx="2926080" cy="430306"/>
                    </a:xfrm>
                    <a:prstGeom prst="rect"/>
                  </pic:spPr>
                </pic:pic>
              </a:graphicData>
            </a:graphic>
          </wp:inline>
        </w:drawing>
      </w:r>
    </w:p>
    <w:p>
      <w:pPr>
        <w:spacing w:after="200"/>
        <w:jc w:val="right"/>
      </w:pPr>
      <w:r>
        <w:rPr>
          <w:rFonts w:ascii="Calibri" w:hAnsi="Calibri"/>
          <w:i/>
          <w:color w:val="64748B"/>
          <w:sz w:val="19"/>
        </w:rPr>
        <w:t>(Eq. 14.1)</w:t>
      </w:r>
    </w:p>
    <w:p>
      <w:pPr>
        <w:spacing w:after="120" w:line="276" w:lineRule="auto"/>
        <w:jc w:val="both"/>
      </w:pPr>
      <w:r>
        <w:rPr>
          <w:rFonts w:ascii="Calibri" w:hAnsi="Calibri"/>
          <w:b/>
          <w:color w:val="1F2937"/>
          <w:sz w:val="22"/>
        </w:rPr>
        <w:t xml:space="preserve">2. Macro F1-Score: </w:t>
      </w:r>
      <w:r>
        <w:rPr>
          <w:rFonts w:ascii="Calibri" w:hAnsi="Calibri"/>
          <w:color w:val="1F2937"/>
          <w:sz w:val="22"/>
        </w:rPr>
        <w:t>Quantifies the unweighted harmonic mean between precision and recall across all C = 3 classes, ensuring equal evaluation weight:</w:t>
      </w:r>
    </w:p>
    <w:p>
      <w:pPr>
        <w:spacing w:before="160" w:after="40"/>
        <w:jc w:val="center"/>
      </w:pPr>
      <w:r>
        <w:drawing>
          <wp:inline xmlns:a="http://schemas.openxmlformats.org/drawingml/2006/main" xmlns:pic="http://schemas.openxmlformats.org/drawingml/2006/picture">
            <wp:extent cx="2743200" cy="785990"/>
            <wp:docPr id="9" name="Picture 9"/>
            <wp:cNvGraphicFramePr>
              <a:graphicFrameLocks noChangeAspect="1"/>
            </wp:cNvGraphicFramePr>
            <a:graphic>
              <a:graphicData uri="http://schemas.openxmlformats.org/drawingml/2006/picture">
                <pic:pic>
                  <pic:nvPicPr>
                    <pic:cNvPr id="0" name="eq_f1.png"/>
                    <pic:cNvPicPr/>
                  </pic:nvPicPr>
                  <pic:blipFill>
                    <a:blip r:embed="rId29"/>
                    <a:stretch>
                      <a:fillRect/>
                    </a:stretch>
                  </pic:blipFill>
                  <pic:spPr>
                    <a:xfrm>
                      <a:off x="0" y="0"/>
                      <a:ext cx="2743200" cy="785990"/>
                    </a:xfrm>
                    <a:prstGeom prst="rect"/>
                  </pic:spPr>
                </pic:pic>
              </a:graphicData>
            </a:graphic>
          </wp:inline>
        </w:drawing>
      </w:r>
    </w:p>
    <w:p>
      <w:pPr>
        <w:spacing w:after="200"/>
        <w:jc w:val="right"/>
      </w:pPr>
      <w:r>
        <w:rPr>
          <w:rFonts w:ascii="Calibri" w:hAnsi="Calibri"/>
          <w:i/>
          <w:color w:val="64748B"/>
          <w:sz w:val="19"/>
        </w:rPr>
        <w:t>(Eq. 14.2)</w:t>
      </w:r>
    </w:p>
    <w:p>
      <w:pPr>
        <w:spacing w:after="120" w:line="276" w:lineRule="auto"/>
        <w:jc w:val="both"/>
      </w:pPr>
      <w:r>
        <w:rPr>
          <w:rFonts w:ascii="Calibri" w:hAnsi="Calibri"/>
          <w:b/>
          <w:color w:val="1F2937"/>
          <w:sz w:val="22"/>
        </w:rPr>
        <w:t xml:space="preserve">3. Macro ROC-AUC: </w:t>
      </w:r>
      <w:r>
        <w:rPr>
          <w:rFonts w:ascii="Calibri" w:hAnsi="Calibri"/>
          <w:color w:val="1F2937"/>
          <w:sz w:val="22"/>
        </w:rPr>
        <w:t>Evaluates the overall discriminative capacity of the model across all discrimination thresholds:</w:t>
      </w:r>
    </w:p>
    <w:p>
      <w:pPr>
        <w:spacing w:before="160" w:after="40"/>
        <w:jc w:val="center"/>
      </w:pPr>
      <w:r>
        <w:drawing>
          <wp:inline xmlns:a="http://schemas.openxmlformats.org/drawingml/2006/main" xmlns:pic="http://schemas.openxmlformats.org/drawingml/2006/picture">
            <wp:extent cx="3108960" cy="479987"/>
            <wp:docPr id="10" name="Picture 10"/>
            <wp:cNvGraphicFramePr>
              <a:graphicFrameLocks noChangeAspect="1"/>
            </wp:cNvGraphicFramePr>
            <a:graphic>
              <a:graphicData uri="http://schemas.openxmlformats.org/drawingml/2006/picture">
                <pic:pic>
                  <pic:nvPicPr>
                    <pic:cNvPr id="0" name="eq_roc_auc.png"/>
                    <pic:cNvPicPr/>
                  </pic:nvPicPr>
                  <pic:blipFill>
                    <a:blip r:embed="rId30"/>
                    <a:stretch>
                      <a:fillRect/>
                    </a:stretch>
                  </pic:blipFill>
                  <pic:spPr>
                    <a:xfrm>
                      <a:off x="0" y="0"/>
                      <a:ext cx="3108960" cy="479987"/>
                    </a:xfrm>
                    <a:prstGeom prst="rect"/>
                  </pic:spPr>
                </pic:pic>
              </a:graphicData>
            </a:graphic>
          </wp:inline>
        </w:drawing>
      </w:r>
    </w:p>
    <w:p>
      <w:pPr>
        <w:spacing w:after="200"/>
        <w:jc w:val="right"/>
      </w:pPr>
      <w:r>
        <w:rPr>
          <w:rFonts w:ascii="Calibri" w:hAnsi="Calibri"/>
          <w:i/>
          <w:color w:val="64748B"/>
          <w:sz w:val="19"/>
        </w:rPr>
        <w:t>(Eq. 14.3)</w:t>
      </w:r>
    </w:p>
    <w:p>
      <w:pPr>
        <w:keepNext/>
        <w:spacing w:before="240" w:after="80"/>
      </w:pPr>
      <w:r>
        <w:rPr>
          <w:rFonts w:ascii="Calibri" w:hAnsi="Calibri"/>
          <w:b/>
          <w:color w:val="008C95"/>
          <w:sz w:val="25"/>
        </w:rPr>
        <w:t>14.2 Empirical Classification Performance Summary</w:t>
      </w:r>
    </w:p>
    <w:tbl>
      <w:tblPr>
        <w:tblW w:type="auto" w:w="0"/>
        <w:jc w:val="center"/>
        <w:tblLook w:firstColumn="1" w:firstRow="1" w:lastColumn="0" w:lastRow="0" w:noHBand="0" w:noVBand="1" w:val="04A0"/>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Pr>
      <w:tblGrid>
        <w:gridCol w:w="3312"/>
        <w:gridCol w:w="3312"/>
        <w:gridCol w:w="3312"/>
      </w:tblGrid>
      <w:tr>
        <w:tc>
          <w:tcPr>
            <w:tcW w:type="dxa" w:w="3312"/>
            <w:shd w:val="clear" w:color="auto" w:fill="0A3641"/>
            <w:tcMar>
              <w:top w:w="140" w:type="dxa"/>
              <w:bottom w:w="140" w:type="dxa"/>
              <w:left w:w="180" w:type="dxa"/>
              <w:right w:w="180" w:type="dxa"/>
            </w:tcMar>
          </w:tcPr>
          <w:p>
            <w:pPr>
              <w:jc w:val="center"/>
            </w:pPr>
            <w:r>
              <w:rPr>
                <w:b/>
                <w:color w:val="FFFFFF"/>
                <w:sz w:val="20"/>
              </w:rPr>
              <w:t>Evaluation Metric / Category</w:t>
            </w:r>
          </w:p>
        </w:tc>
        <w:tc>
          <w:tcPr>
            <w:tcW w:type="dxa" w:w="2304"/>
            <w:shd w:val="clear" w:color="auto" w:fill="0A3641"/>
            <w:tcMar>
              <w:top w:w="140" w:type="dxa"/>
              <w:bottom w:w="140" w:type="dxa"/>
              <w:left w:w="180" w:type="dxa"/>
              <w:right w:w="180" w:type="dxa"/>
            </w:tcMar>
          </w:tcPr>
          <w:p>
            <w:pPr>
              <w:jc w:val="center"/>
            </w:pPr>
            <w:r>
              <w:rPr>
                <w:b/>
                <w:color w:val="FFFFFF"/>
                <w:sz w:val="20"/>
              </w:rPr>
              <w:t>Empirical Value</w:t>
            </w:r>
          </w:p>
        </w:tc>
        <w:tc>
          <w:tcPr>
            <w:tcW w:type="dxa" w:w="4752"/>
            <w:shd w:val="clear" w:color="auto" w:fill="0A3641"/>
            <w:tcMar>
              <w:top w:w="140" w:type="dxa"/>
              <w:bottom w:w="140" w:type="dxa"/>
              <w:left w:w="180" w:type="dxa"/>
              <w:right w:w="180" w:type="dxa"/>
            </w:tcMar>
          </w:tcPr>
          <w:p>
            <w:pPr>
              <w:jc w:val="center"/>
            </w:pPr>
            <w:r>
              <w:rPr>
                <w:b/>
                <w:color w:val="FFFFFF"/>
                <w:sz w:val="20"/>
              </w:rPr>
              <w:t>Clinical &amp; Statistical Interpretation</w:t>
            </w:r>
          </w:p>
        </w:tc>
      </w:tr>
      <w:tr>
        <w:tc>
          <w:tcPr>
            <w:tcW w:type="dxa" w:w="3312"/>
            <w:shd w:val="clear" w:color="auto" w:fill="FFFFFF"/>
            <w:tcMar>
              <w:top w:w="100" w:type="dxa"/>
              <w:bottom w:w="100" w:type="dxa"/>
              <w:left w:w="160" w:type="dxa"/>
              <w:right w:w="160" w:type="dxa"/>
            </w:tcMar>
          </w:tcPr>
          <w:p>
            <w:pPr>
              <w:jc w:val="left"/>
            </w:pPr>
            <w:r>
              <w:rPr>
                <w:color w:val="1F2937"/>
                <w:sz w:val="19"/>
              </w:rPr>
              <w:t>Overall Holdout Accuracy</w:t>
            </w:r>
          </w:p>
        </w:tc>
        <w:tc>
          <w:tcPr>
            <w:tcW w:type="dxa" w:w="2304"/>
            <w:shd w:val="clear" w:color="auto" w:fill="FFFFFF"/>
            <w:tcMar>
              <w:top w:w="100" w:type="dxa"/>
              <w:bottom w:w="100" w:type="dxa"/>
              <w:left w:w="160" w:type="dxa"/>
              <w:right w:w="160" w:type="dxa"/>
            </w:tcMar>
          </w:tcPr>
          <w:p>
            <w:pPr>
              <w:jc w:val="center"/>
            </w:pPr>
            <w:r>
              <w:rPr>
                <w:color w:val="1F2937"/>
                <w:sz w:val="19"/>
              </w:rPr>
              <w:t>64.85%</w:t>
            </w:r>
          </w:p>
        </w:tc>
        <w:tc>
          <w:tcPr>
            <w:tcW w:type="dxa" w:w="4752"/>
            <w:shd w:val="clear" w:color="auto" w:fill="FFFFFF"/>
            <w:tcMar>
              <w:top w:w="100" w:type="dxa"/>
              <w:bottom w:w="100" w:type="dxa"/>
              <w:left w:w="160" w:type="dxa"/>
              <w:right w:w="160" w:type="dxa"/>
            </w:tcMar>
          </w:tcPr>
          <w:p>
            <w:pPr>
              <w:jc w:val="left"/>
            </w:pPr>
            <w:r>
              <w:rPr>
                <w:color w:val="1F2937"/>
                <w:sz w:val="19"/>
              </w:rPr>
              <w:t>Evaluated across 2,000 completely unseen patient test records.</w:t>
            </w:r>
          </w:p>
        </w:tc>
      </w:tr>
      <w:tr>
        <w:tc>
          <w:tcPr>
            <w:tcW w:type="dxa" w:w="3312"/>
            <w:shd w:val="clear" w:color="auto" w:fill="F4FAFA"/>
            <w:tcMar>
              <w:top w:w="100" w:type="dxa"/>
              <w:bottom w:w="100" w:type="dxa"/>
              <w:left w:w="160" w:type="dxa"/>
              <w:right w:w="160" w:type="dxa"/>
            </w:tcMar>
          </w:tcPr>
          <w:p>
            <w:pPr>
              <w:jc w:val="left"/>
            </w:pPr>
            <w:r>
              <w:rPr>
                <w:color w:val="1F2937"/>
                <w:sz w:val="19"/>
              </w:rPr>
              <w:t>Macro ROC-AUC Score</w:t>
            </w:r>
          </w:p>
        </w:tc>
        <w:tc>
          <w:tcPr>
            <w:tcW w:type="dxa" w:w="2304"/>
            <w:shd w:val="clear" w:color="auto" w:fill="F4FAFA"/>
            <w:tcMar>
              <w:top w:w="100" w:type="dxa"/>
              <w:bottom w:w="100" w:type="dxa"/>
              <w:left w:w="160" w:type="dxa"/>
              <w:right w:w="160" w:type="dxa"/>
            </w:tcMar>
          </w:tcPr>
          <w:p>
            <w:pPr>
              <w:jc w:val="center"/>
            </w:pPr>
            <w:r>
              <w:rPr>
                <w:color w:val="1F2937"/>
                <w:sz w:val="19"/>
              </w:rPr>
              <w:t>0.8134</w:t>
            </w:r>
          </w:p>
        </w:tc>
        <w:tc>
          <w:tcPr>
            <w:tcW w:type="dxa" w:w="4752"/>
            <w:shd w:val="clear" w:color="auto" w:fill="F4FAFA"/>
            <w:tcMar>
              <w:top w:w="100" w:type="dxa"/>
              <w:bottom w:w="100" w:type="dxa"/>
              <w:left w:w="160" w:type="dxa"/>
              <w:right w:w="160" w:type="dxa"/>
            </w:tcMar>
          </w:tcPr>
          <w:p>
            <w:pPr>
              <w:jc w:val="left"/>
            </w:pPr>
            <w:r>
              <w:rPr>
                <w:color w:val="1F2937"/>
                <w:sz w:val="19"/>
              </w:rPr>
              <w:t>High discriminative capability distinguishing Short, Medium, and Long stays.</w:t>
            </w:r>
          </w:p>
        </w:tc>
      </w:tr>
      <w:tr>
        <w:tc>
          <w:tcPr>
            <w:tcW w:type="dxa" w:w="3312"/>
            <w:shd w:val="clear" w:color="auto" w:fill="FFFFFF"/>
            <w:tcMar>
              <w:top w:w="100" w:type="dxa"/>
              <w:bottom w:w="100" w:type="dxa"/>
              <w:left w:w="160" w:type="dxa"/>
              <w:right w:w="160" w:type="dxa"/>
            </w:tcMar>
          </w:tcPr>
          <w:p>
            <w:pPr>
              <w:jc w:val="left"/>
            </w:pPr>
            <w:r>
              <w:rPr>
                <w:color w:val="1F2937"/>
                <w:sz w:val="19"/>
              </w:rPr>
              <w:t>5-Fold Cross-Validation Mean</w:t>
            </w:r>
          </w:p>
        </w:tc>
        <w:tc>
          <w:tcPr>
            <w:tcW w:type="dxa" w:w="2304"/>
            <w:shd w:val="clear" w:color="auto" w:fill="FFFFFF"/>
            <w:tcMar>
              <w:top w:w="100" w:type="dxa"/>
              <w:bottom w:w="100" w:type="dxa"/>
              <w:left w:w="160" w:type="dxa"/>
              <w:right w:w="160" w:type="dxa"/>
            </w:tcMar>
          </w:tcPr>
          <w:p>
            <w:pPr>
              <w:jc w:val="center"/>
            </w:pPr>
            <w:r>
              <w:rPr>
                <w:color w:val="1F2937"/>
                <w:sz w:val="19"/>
              </w:rPr>
              <w:t>65.80%</w:t>
            </w:r>
          </w:p>
        </w:tc>
        <w:tc>
          <w:tcPr>
            <w:tcW w:type="dxa" w:w="4752"/>
            <w:shd w:val="clear" w:color="auto" w:fill="FFFFFF"/>
            <w:tcMar>
              <w:top w:w="100" w:type="dxa"/>
              <w:bottom w:w="100" w:type="dxa"/>
              <w:left w:w="160" w:type="dxa"/>
              <w:right w:w="160" w:type="dxa"/>
            </w:tcMar>
          </w:tcPr>
          <w:p>
            <w:pPr>
              <w:jc w:val="left"/>
            </w:pPr>
            <w:r>
              <w:rPr>
                <w:color w:val="1F2937"/>
                <w:sz w:val="19"/>
              </w:rPr>
              <w:t>Consistent mean accuracy across five independent stratified training folds.</w:t>
            </w:r>
          </w:p>
        </w:tc>
      </w:tr>
      <w:tr>
        <w:tc>
          <w:tcPr>
            <w:tcW w:type="dxa" w:w="3312"/>
            <w:shd w:val="clear" w:color="auto" w:fill="F4FAFA"/>
            <w:tcMar>
              <w:top w:w="100" w:type="dxa"/>
              <w:bottom w:w="100" w:type="dxa"/>
              <w:left w:w="160" w:type="dxa"/>
              <w:right w:w="160" w:type="dxa"/>
            </w:tcMar>
          </w:tcPr>
          <w:p>
            <w:pPr>
              <w:jc w:val="left"/>
            </w:pPr>
            <w:r>
              <w:rPr>
                <w:color w:val="1F2937"/>
                <w:sz w:val="19"/>
              </w:rPr>
              <w:t>Cross-Validation Std Dev (σ)</w:t>
            </w:r>
          </w:p>
        </w:tc>
        <w:tc>
          <w:tcPr>
            <w:tcW w:type="dxa" w:w="2304"/>
            <w:shd w:val="clear" w:color="auto" w:fill="F4FAFA"/>
            <w:tcMar>
              <w:top w:w="100" w:type="dxa"/>
              <w:bottom w:w="100" w:type="dxa"/>
              <w:left w:w="160" w:type="dxa"/>
              <w:right w:w="160" w:type="dxa"/>
            </w:tcMar>
          </w:tcPr>
          <w:p>
            <w:pPr>
              <w:jc w:val="center"/>
            </w:pPr>
            <w:r>
              <w:rPr>
                <w:color w:val="1F2937"/>
                <w:sz w:val="19"/>
              </w:rPr>
              <w:t>± 0.51%</w:t>
            </w:r>
          </w:p>
        </w:tc>
        <w:tc>
          <w:tcPr>
            <w:tcW w:type="dxa" w:w="4752"/>
            <w:shd w:val="clear" w:color="auto" w:fill="F4FAFA"/>
            <w:tcMar>
              <w:top w:w="100" w:type="dxa"/>
              <w:bottom w:w="100" w:type="dxa"/>
              <w:left w:w="160" w:type="dxa"/>
              <w:right w:w="160" w:type="dxa"/>
            </w:tcMar>
          </w:tcPr>
          <w:p>
            <w:pPr>
              <w:jc w:val="left"/>
            </w:pPr>
            <w:r>
              <w:rPr>
                <w:color w:val="1F2937"/>
                <w:sz w:val="19"/>
              </w:rPr>
              <w:t>Extremely low variance confirms model stability and absence of overfitting.</w:t>
            </w:r>
          </w:p>
        </w:tc>
      </w:tr>
      <w:tr>
        <w:tc>
          <w:tcPr>
            <w:tcW w:type="dxa" w:w="3312"/>
            <w:shd w:val="clear" w:color="auto" w:fill="FFFFFF"/>
            <w:tcMar>
              <w:top w:w="100" w:type="dxa"/>
              <w:bottom w:w="100" w:type="dxa"/>
              <w:left w:w="160" w:type="dxa"/>
              <w:right w:w="160" w:type="dxa"/>
            </w:tcMar>
          </w:tcPr>
          <w:p>
            <w:pPr>
              <w:jc w:val="left"/>
            </w:pPr>
            <w:r>
              <w:rPr>
                <w:color w:val="1F2937"/>
                <w:sz w:val="19"/>
              </w:rPr>
              <w:t>Training Cohort Size</w:t>
            </w:r>
          </w:p>
        </w:tc>
        <w:tc>
          <w:tcPr>
            <w:tcW w:type="dxa" w:w="2304"/>
            <w:shd w:val="clear" w:color="auto" w:fill="FFFFFF"/>
            <w:tcMar>
              <w:top w:w="100" w:type="dxa"/>
              <w:bottom w:w="100" w:type="dxa"/>
              <w:left w:w="160" w:type="dxa"/>
              <w:right w:w="160" w:type="dxa"/>
            </w:tcMar>
          </w:tcPr>
          <w:p>
            <w:pPr>
              <w:jc w:val="center"/>
            </w:pPr>
            <w:r>
              <w:rPr>
                <w:color w:val="1F2937"/>
                <w:sz w:val="19"/>
              </w:rPr>
              <w:t>8,000 Patients</w:t>
            </w:r>
          </w:p>
        </w:tc>
        <w:tc>
          <w:tcPr>
            <w:tcW w:type="dxa" w:w="4752"/>
            <w:shd w:val="clear" w:color="auto" w:fill="FFFFFF"/>
            <w:tcMar>
              <w:top w:w="100" w:type="dxa"/>
              <w:bottom w:w="100" w:type="dxa"/>
              <w:left w:w="160" w:type="dxa"/>
              <w:right w:w="160" w:type="dxa"/>
            </w:tcMar>
          </w:tcPr>
          <w:p>
            <w:pPr>
              <w:jc w:val="left"/>
            </w:pPr>
            <w:r>
              <w:rPr>
                <w:color w:val="1F2937"/>
                <w:sz w:val="19"/>
              </w:rPr>
              <w:t>Stratified training partition reflecting realistic hospital census.</w:t>
            </w:r>
          </w:p>
        </w:tc>
      </w:tr>
      <w:tr>
        <w:tc>
          <w:tcPr>
            <w:tcW w:type="dxa" w:w="3312"/>
            <w:shd w:val="clear" w:color="auto" w:fill="F4FAFA"/>
            <w:tcMar>
              <w:top w:w="100" w:type="dxa"/>
              <w:bottom w:w="100" w:type="dxa"/>
              <w:left w:w="160" w:type="dxa"/>
              <w:right w:w="160" w:type="dxa"/>
            </w:tcMar>
          </w:tcPr>
          <w:p>
            <w:pPr>
              <w:jc w:val="left"/>
            </w:pPr>
            <w:r>
              <w:rPr>
                <w:color w:val="1F2937"/>
                <w:sz w:val="19"/>
              </w:rPr>
              <w:t>Testing Cohort Size</w:t>
            </w:r>
          </w:p>
        </w:tc>
        <w:tc>
          <w:tcPr>
            <w:tcW w:type="dxa" w:w="2304"/>
            <w:shd w:val="clear" w:color="auto" w:fill="F4FAFA"/>
            <w:tcMar>
              <w:top w:w="100" w:type="dxa"/>
              <w:bottom w:w="100" w:type="dxa"/>
              <w:left w:w="160" w:type="dxa"/>
              <w:right w:w="160" w:type="dxa"/>
            </w:tcMar>
          </w:tcPr>
          <w:p>
            <w:pPr>
              <w:jc w:val="center"/>
            </w:pPr>
            <w:r>
              <w:rPr>
                <w:color w:val="1F2937"/>
                <w:sz w:val="19"/>
              </w:rPr>
              <w:t>2,000 Patients</w:t>
            </w:r>
          </w:p>
        </w:tc>
        <w:tc>
          <w:tcPr>
            <w:tcW w:type="dxa" w:w="4752"/>
            <w:shd w:val="clear" w:color="auto" w:fill="F4FAFA"/>
            <w:tcMar>
              <w:top w:w="100" w:type="dxa"/>
              <w:bottom w:w="100" w:type="dxa"/>
              <w:left w:w="160" w:type="dxa"/>
              <w:right w:w="160" w:type="dxa"/>
            </w:tcMar>
          </w:tcPr>
          <w:p>
            <w:pPr>
              <w:jc w:val="left"/>
            </w:pPr>
            <w:r>
              <w:rPr>
                <w:color w:val="1F2937"/>
                <w:sz w:val="19"/>
              </w:rPr>
              <w:t>Holdout validation sample.</w:t>
            </w:r>
          </w:p>
        </w:tc>
      </w:tr>
      <w:tr>
        <w:tc>
          <w:tcPr>
            <w:tcW w:type="dxa" w:w="3312"/>
            <w:shd w:val="clear" w:color="auto" w:fill="FFFFFF"/>
            <w:tcMar>
              <w:top w:w="100" w:type="dxa"/>
              <w:bottom w:w="100" w:type="dxa"/>
              <w:left w:w="160" w:type="dxa"/>
              <w:right w:w="160" w:type="dxa"/>
            </w:tcMar>
          </w:tcPr>
          <w:p>
            <w:pPr>
              <w:jc w:val="left"/>
            </w:pPr>
            <w:r>
              <w:rPr>
                <w:color w:val="1F2937"/>
                <w:sz w:val="19"/>
              </w:rPr>
              <w:t>Inference Execution Latency</w:t>
            </w:r>
          </w:p>
        </w:tc>
        <w:tc>
          <w:tcPr>
            <w:tcW w:type="dxa" w:w="2304"/>
            <w:shd w:val="clear" w:color="auto" w:fill="FFFFFF"/>
            <w:tcMar>
              <w:top w:w="100" w:type="dxa"/>
              <w:bottom w:w="100" w:type="dxa"/>
              <w:left w:w="160" w:type="dxa"/>
              <w:right w:w="160" w:type="dxa"/>
            </w:tcMar>
          </w:tcPr>
          <w:p>
            <w:pPr>
              <w:jc w:val="left"/>
            </w:pPr>
            <w:r>
              <w:rPr>
                <w:color w:val="1F2937"/>
                <w:sz w:val="19"/>
              </w:rPr>
              <w:t>&lt; 25 ms / Patient</w:t>
            </w:r>
          </w:p>
        </w:tc>
        <w:tc>
          <w:tcPr>
            <w:tcW w:type="dxa" w:w="4752"/>
            <w:shd w:val="clear" w:color="auto" w:fill="FFFFFF"/>
            <w:tcMar>
              <w:top w:w="100" w:type="dxa"/>
              <w:bottom w:w="100" w:type="dxa"/>
              <w:left w:w="160" w:type="dxa"/>
              <w:right w:w="160" w:type="dxa"/>
            </w:tcMar>
          </w:tcPr>
          <w:p>
            <w:pPr>
              <w:jc w:val="left"/>
            </w:pPr>
            <w:r>
              <w:rPr>
                <w:color w:val="1F2937"/>
                <w:sz w:val="19"/>
              </w:rPr>
              <w:t>Cython-optimized CPU execution suitable for real-time clinical workflows.</w:t>
            </w:r>
          </w:p>
        </w:tc>
      </w:tr>
      <w:tr>
        <w:tc>
          <w:tcPr>
            <w:tcW w:type="dxa" w:w="3312"/>
            <w:shd w:val="clear" w:color="auto" w:fill="F4FAFA"/>
            <w:tcMar>
              <w:top w:w="100" w:type="dxa"/>
              <w:bottom w:w="100" w:type="dxa"/>
              <w:left w:w="160" w:type="dxa"/>
              <w:right w:w="160" w:type="dxa"/>
            </w:tcMar>
          </w:tcPr>
          <w:p>
            <w:pPr>
              <w:jc w:val="left"/>
            </w:pPr>
            <w:r>
              <w:rPr>
                <w:color w:val="1F2937"/>
                <w:sz w:val="19"/>
              </w:rPr>
              <w:t>Ensemble Training Time</w:t>
            </w:r>
          </w:p>
        </w:tc>
        <w:tc>
          <w:tcPr>
            <w:tcW w:type="dxa" w:w="2304"/>
            <w:shd w:val="clear" w:color="auto" w:fill="F4FAFA"/>
            <w:tcMar>
              <w:top w:w="100" w:type="dxa"/>
              <w:bottom w:w="100" w:type="dxa"/>
              <w:left w:w="160" w:type="dxa"/>
              <w:right w:w="160" w:type="dxa"/>
            </w:tcMar>
          </w:tcPr>
          <w:p>
            <w:pPr>
              <w:jc w:val="center"/>
            </w:pPr>
            <w:r>
              <w:rPr>
                <w:color w:val="1F2937"/>
                <w:sz w:val="19"/>
              </w:rPr>
              <w:t>&lt; 18 Seconds</w:t>
            </w:r>
          </w:p>
        </w:tc>
        <w:tc>
          <w:tcPr>
            <w:tcW w:type="dxa" w:w="4752"/>
            <w:shd w:val="clear" w:color="auto" w:fill="F4FAFA"/>
            <w:tcMar>
              <w:top w:w="100" w:type="dxa"/>
              <w:bottom w:w="100" w:type="dxa"/>
              <w:left w:w="160" w:type="dxa"/>
              <w:right w:w="160" w:type="dxa"/>
            </w:tcMar>
          </w:tcPr>
          <w:p>
            <w:pPr>
              <w:jc w:val="left"/>
            </w:pPr>
            <w:r>
              <w:rPr>
                <w:color w:val="1F2937"/>
                <w:sz w:val="19"/>
              </w:rPr>
              <w:t>Rapid parallel training on standard 4-core workstation CPU.</w:t>
            </w:r>
          </w:p>
        </w:tc>
      </w:tr>
    </w:tbl>
    <w:p/>
    <w:p>
      <w:pPr>
        <w:keepNext/>
        <w:spacing w:before="240" w:after="80"/>
      </w:pPr>
      <w:r>
        <w:rPr>
          <w:rFonts w:ascii="Calibri" w:hAnsi="Calibri"/>
          <w:b/>
          <w:color w:val="008C95"/>
          <w:sz w:val="25"/>
        </w:rPr>
        <w:t>14.3 Evaluation Figures &amp; Clinical Insights</w:t>
      </w:r>
    </w:p>
    <w:p>
      <w:pPr>
        <w:spacing w:after="120" w:line="276" w:lineRule="auto"/>
        <w:jc w:val="both"/>
      </w:pPr>
      <w:r>
        <w:rPr>
          <w:rFonts w:ascii="Calibri" w:hAnsi="Calibri"/>
          <w:color w:val="1F2937"/>
          <w:sz w:val="22"/>
        </w:rPr>
        <w:t>The model's diagnostic characteristics, feature importances, and dataset properties are visualized in the five empirical figures below:</w:t>
      </w:r>
    </w:p>
    <w:p>
      <w:pPr>
        <w:spacing w:before="200" w:after="80"/>
        <w:jc w:val="center"/>
      </w:pPr>
      <w:r>
        <w:drawing>
          <wp:inline xmlns:a="http://schemas.openxmlformats.org/drawingml/2006/main" xmlns:pic="http://schemas.openxmlformats.org/drawingml/2006/picture">
            <wp:extent cx="4572000" cy="3660913"/>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31"/>
                    <a:stretch>
                      <a:fillRect/>
                    </a:stretch>
                  </pic:blipFill>
                  <pic:spPr>
                    <a:xfrm>
                      <a:off x="0" y="0"/>
                      <a:ext cx="4572000" cy="3660913"/>
                    </a:xfrm>
                    <a:prstGeom prst="rect"/>
                  </pic:spPr>
                </pic:pic>
              </a:graphicData>
            </a:graphic>
          </wp:inline>
        </w:drawing>
      </w:r>
    </w:p>
    <w:p>
      <w:pPr>
        <w:spacing w:after="240"/>
        <w:jc w:val="center"/>
      </w:pPr>
      <w:r>
        <w:rPr>
          <w:rFonts w:ascii="Calibri" w:hAnsi="Calibri"/>
          <w:i/>
          <w:color w:val="64748B"/>
          <w:sz w:val="19"/>
        </w:rPr>
        <w:t>Fig 14.1: Normalized Confusion Matrix demonstrating balanced class sensitivity across Short, Medium, and Long stays.</w:t>
      </w:r>
    </w:p>
    <w:p>
      <w:pPr>
        <w:spacing w:before="200" w:after="80"/>
        <w:jc w:val="center"/>
      </w:pPr>
      <w:r>
        <w:drawing>
          <wp:inline xmlns:a="http://schemas.openxmlformats.org/drawingml/2006/main" xmlns:pic="http://schemas.openxmlformats.org/drawingml/2006/picture">
            <wp:extent cx="5303520" cy="3690336"/>
            <wp:docPr id="12" name="Picture 12"/>
            <wp:cNvGraphicFramePr>
              <a:graphicFrameLocks noChangeAspect="1"/>
            </wp:cNvGraphicFramePr>
            <a:graphic>
              <a:graphicData uri="http://schemas.openxmlformats.org/drawingml/2006/picture">
                <pic:pic>
                  <pic:nvPicPr>
                    <pic:cNvPr id="0" name="feature_importance.png"/>
                    <pic:cNvPicPr/>
                  </pic:nvPicPr>
                  <pic:blipFill>
                    <a:blip r:embed="rId32"/>
                    <a:stretch>
                      <a:fillRect/>
                    </a:stretch>
                  </pic:blipFill>
                  <pic:spPr>
                    <a:xfrm>
                      <a:off x="0" y="0"/>
                      <a:ext cx="5303520" cy="3690336"/>
                    </a:xfrm>
                    <a:prstGeom prst="rect"/>
                  </pic:spPr>
                </pic:pic>
              </a:graphicData>
            </a:graphic>
          </wp:inline>
        </w:drawing>
      </w:r>
    </w:p>
    <w:p>
      <w:pPr>
        <w:spacing w:after="240"/>
        <w:jc w:val="center"/>
      </w:pPr>
      <w:r>
        <w:rPr>
          <w:rFonts w:ascii="Calibri" w:hAnsi="Calibri"/>
          <w:i/>
          <w:color w:val="64748B"/>
          <w:sz w:val="19"/>
        </w:rPr>
        <w:t>Fig 14.2: Random Forest Feature Importance (Mean Decrease in Gini Impurity) ranking the top clinical stay drivers.</w:t>
      </w:r>
    </w:p>
    <w:p>
      <w:pPr>
        <w:spacing w:before="200" w:after="80"/>
        <w:jc w:val="center"/>
      </w:pPr>
      <w:r>
        <w:drawing>
          <wp:inline xmlns:a="http://schemas.openxmlformats.org/drawingml/2006/main" xmlns:pic="http://schemas.openxmlformats.org/drawingml/2006/picture">
            <wp:extent cx="5303520" cy="2920318"/>
            <wp:docPr id="13" name="Picture 13"/>
            <wp:cNvGraphicFramePr>
              <a:graphicFrameLocks noChangeAspect="1"/>
            </wp:cNvGraphicFramePr>
            <a:graphic>
              <a:graphicData uri="http://schemas.openxmlformats.org/drawingml/2006/picture">
                <pic:pic>
                  <pic:nvPicPr>
                    <pic:cNvPr id="0" name="cv_scores.png"/>
                    <pic:cNvPicPr/>
                  </pic:nvPicPr>
                  <pic:blipFill>
                    <a:blip r:embed="rId33"/>
                    <a:stretch>
                      <a:fillRect/>
                    </a:stretch>
                  </pic:blipFill>
                  <pic:spPr>
                    <a:xfrm>
                      <a:off x="0" y="0"/>
                      <a:ext cx="5303520" cy="2920318"/>
                    </a:xfrm>
                    <a:prstGeom prst="rect"/>
                  </pic:spPr>
                </pic:pic>
              </a:graphicData>
            </a:graphic>
          </wp:inline>
        </w:drawing>
      </w:r>
    </w:p>
    <w:p>
      <w:pPr>
        <w:spacing w:after="240"/>
        <w:jc w:val="center"/>
      </w:pPr>
      <w:r>
        <w:rPr>
          <w:rFonts w:ascii="Calibri" w:hAnsi="Calibri"/>
          <w:i/>
          <w:color w:val="64748B"/>
          <w:sz w:val="19"/>
        </w:rPr>
        <w:t>Fig 14.3: 5-Fold Stratified Cross-Validation Accuracy across folds confirming low variance (±0.51%).</w:t>
      </w:r>
    </w:p>
    <w:p>
      <w:pPr>
        <w:spacing w:before="200" w:after="80"/>
        <w:jc w:val="center"/>
      </w:pPr>
      <w:r>
        <w:drawing>
          <wp:inline xmlns:a="http://schemas.openxmlformats.org/drawingml/2006/main" xmlns:pic="http://schemas.openxmlformats.org/drawingml/2006/picture">
            <wp:extent cx="5303520" cy="2267835"/>
            <wp:docPr id="14" name="Picture 14"/>
            <wp:cNvGraphicFramePr>
              <a:graphicFrameLocks noChangeAspect="1"/>
            </wp:cNvGraphicFramePr>
            <a:graphic>
              <a:graphicData uri="http://schemas.openxmlformats.org/drawingml/2006/picture">
                <pic:pic>
                  <pic:nvPicPr>
                    <pic:cNvPr id="0" name="los_distribution.png"/>
                    <pic:cNvPicPr/>
                  </pic:nvPicPr>
                  <pic:blipFill>
                    <a:blip r:embed="rId34"/>
                    <a:stretch>
                      <a:fillRect/>
                    </a:stretch>
                  </pic:blipFill>
                  <pic:spPr>
                    <a:xfrm>
                      <a:off x="0" y="0"/>
                      <a:ext cx="5303520" cy="2267835"/>
                    </a:xfrm>
                    <a:prstGeom prst="rect"/>
                  </pic:spPr>
                </pic:pic>
              </a:graphicData>
            </a:graphic>
          </wp:inline>
        </w:drawing>
      </w:r>
    </w:p>
    <w:p>
      <w:pPr>
        <w:spacing w:after="240"/>
        <w:jc w:val="center"/>
      </w:pPr>
      <w:r>
        <w:rPr>
          <w:rFonts w:ascii="Calibri" w:hAnsi="Calibri"/>
          <w:i/>
          <w:color w:val="64748B"/>
          <w:sz w:val="19"/>
        </w:rPr>
        <w:t>Fig 14.4: Inpatient Length of Stay Distribution Histograms categorized by operational tier.</w:t>
      </w:r>
    </w:p>
    <w:p>
      <w:pPr>
        <w:spacing w:before="200" w:after="80"/>
        <w:jc w:val="center"/>
      </w:pPr>
      <w:r>
        <w:drawing>
          <wp:inline xmlns:a="http://schemas.openxmlformats.org/drawingml/2006/main" xmlns:pic="http://schemas.openxmlformats.org/drawingml/2006/picture">
            <wp:extent cx="5303520" cy="2623170"/>
            <wp:docPr id="15" name="Picture 15"/>
            <wp:cNvGraphicFramePr>
              <a:graphicFrameLocks noChangeAspect="1"/>
            </wp:cNvGraphicFramePr>
            <a:graphic>
              <a:graphicData uri="http://schemas.openxmlformats.org/drawingml/2006/picture">
                <pic:pic>
                  <pic:nvPicPr>
                    <pic:cNvPr id="0" name="avg_los_by_diagnosis.png"/>
                    <pic:cNvPicPr/>
                  </pic:nvPicPr>
                  <pic:blipFill>
                    <a:blip r:embed="rId35"/>
                    <a:stretch>
                      <a:fillRect/>
                    </a:stretch>
                  </pic:blipFill>
                  <pic:spPr>
                    <a:xfrm>
                      <a:off x="0" y="0"/>
                      <a:ext cx="5303520" cy="2623170"/>
                    </a:xfrm>
                    <a:prstGeom prst="rect"/>
                  </pic:spPr>
                </pic:pic>
              </a:graphicData>
            </a:graphic>
          </wp:inline>
        </w:drawing>
      </w:r>
    </w:p>
    <w:p>
      <w:pPr>
        <w:spacing w:after="240"/>
        <w:jc w:val="center"/>
      </w:pPr>
      <w:r>
        <w:rPr>
          <w:rFonts w:ascii="Calibri" w:hAnsi="Calibri"/>
          <w:i/>
          <w:color w:val="64748B"/>
          <w:sz w:val="19"/>
        </w:rPr>
        <w:t>Fig 14.5: Average Length of Stay (in days) stratified by primary clinical diagnosis group.</w:t>
      </w:r>
    </w:p>
    <w:p>
      <w:r>
        <w:br w:type="page"/>
      </w:r>
    </w:p>
    <w:p>
      <w:pPr>
        <w:keepNext/>
        <w:spacing w:before="320" w:after="120"/>
      </w:pPr>
      <w:r>
        <w:rPr>
          <w:rFonts w:ascii="Calibri" w:hAnsi="Calibri"/>
          <w:b/>
          <w:color w:val="0A3641"/>
          <w:sz w:val="30"/>
        </w:rPr>
        <w:t>15. Project Dashboard &amp; User Interface</w:t>
      </w:r>
    </w:p>
    <w:p>
      <w:pPr>
        <w:spacing w:after="120" w:line="276" w:lineRule="auto"/>
        <w:jc w:val="both"/>
      </w:pPr>
      <w:r>
        <w:rPr>
          <w:rFonts w:ascii="Calibri" w:hAnsi="Calibri"/>
          <w:color w:val="1F2937"/>
          <w:sz w:val="22"/>
        </w:rPr>
        <w:t>The web dashboard is engineered in accordance with modern clinical human-computer interaction (HCI) standards. Utilizing a sleek GyanAstra dark-teal aesthetic (#0A3641 / #01AAB1), the interface provides admitting nurses and hospital bed managers with an approachable, visually organized decision support console.</w:t>
      </w:r>
    </w:p>
    <w:p>
      <w:pPr>
        <w:spacing w:before="200" w:after="80"/>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dashboard_ui.png"/>
                    <pic:cNvPicPr/>
                  </pic:nvPicPr>
                  <pic:blipFill>
                    <a:blip r:embed="rId36"/>
                    <a:stretch>
                      <a:fillRect/>
                    </a:stretch>
                  </pic:blipFill>
                  <pic:spPr>
                    <a:xfrm>
                      <a:off x="0" y="0"/>
                      <a:ext cx="5669280" cy="3779520"/>
                    </a:xfrm>
                    <a:prstGeom prst="rect"/>
                  </pic:spPr>
                </pic:pic>
              </a:graphicData>
            </a:graphic>
          </wp:inline>
        </w:drawing>
      </w:r>
    </w:p>
    <w:p>
      <w:pPr>
        <w:spacing w:after="240"/>
        <w:jc w:val="center"/>
      </w:pPr>
      <w:r>
        <w:rPr>
          <w:rFonts w:ascii="Calibri" w:hAnsi="Calibri"/>
          <w:i/>
          <w:color w:val="64748B"/>
          <w:sz w:val="19"/>
        </w:rPr>
        <w:t>Fig 15.1: AI Hospital Management System Clinical Triage &amp; Bed Allocation Web Dashboard.</w:t>
      </w:r>
    </w:p>
    <w:p>
      <w:pPr>
        <w:spacing w:after="120" w:line="276" w:lineRule="auto"/>
        <w:jc w:val="both"/>
      </w:pPr>
      <w:r>
        <w:rPr>
          <w:rFonts w:ascii="Calibri" w:hAnsi="Calibri"/>
          <w:color w:val="1F2937"/>
          <w:sz w:val="22"/>
        </w:rPr>
        <w:t>Key operational components of the web dashboard include:</w:t>
      </w:r>
    </w:p>
    <w:p>
      <w:pPr>
        <w:pStyle w:val="ListParagraph"/>
        <w:spacing w:after="80" w:line="276" w:lineRule="auto"/>
      </w:pPr>
      <w:r>
        <w:rPr>
          <w:rFonts w:ascii="Calibri" w:hAnsi="Calibri"/>
          <w:b/>
          <w:color w:val="1F2937"/>
          <w:sz w:val="22"/>
        </w:rPr>
        <w:t>• System Health &amp; Diagnostic Header:</w:t>
      </w:r>
      <w:r>
        <w:rPr>
          <w:rFonts w:ascii="Calibri" w:hAnsi="Calibri"/>
          <w:color w:val="1F2937"/>
          <w:sz w:val="22"/>
        </w:rPr>
        <w:t xml:space="preserve"> Real-time server heartbeat communicating with /api/status, displaying live model readiness and cross-validation benchmarks.</w:t>
      </w:r>
    </w:p>
    <w:p>
      <w:pPr>
        <w:pStyle w:val="ListParagraph"/>
        <w:spacing w:after="80" w:line="276" w:lineRule="auto"/>
      </w:pPr>
      <w:r>
        <w:rPr>
          <w:rFonts w:ascii="Calibri" w:hAnsi="Calibri"/>
          <w:b/>
          <w:color w:val="1F2937"/>
          <w:sz w:val="22"/>
        </w:rPr>
        <w:t>• Metric Telemetry Ribbon:</w:t>
      </w:r>
      <w:r>
        <w:rPr>
          <w:rFonts w:ascii="Calibri" w:hAnsi="Calibri"/>
          <w:color w:val="1F2937"/>
          <w:sz w:val="22"/>
        </w:rPr>
        <w:t xml:space="preserve"> Six tactile parameter cards summarizing Test Accuracy (64.85%), Macro ROC-AUC (0.8134), CV Mean (65.80%), and Training Size (8,000).</w:t>
      </w:r>
    </w:p>
    <w:p>
      <w:pPr>
        <w:pStyle w:val="ListParagraph"/>
        <w:spacing w:after="80" w:line="276" w:lineRule="auto"/>
      </w:pPr>
      <w:r>
        <w:rPr>
          <w:rFonts w:ascii="Calibri" w:hAnsi="Calibri"/>
          <w:b/>
          <w:color w:val="1F2937"/>
          <w:sz w:val="22"/>
        </w:rPr>
        <w:t>• Structured Clinical Intake Form:</w:t>
      </w:r>
      <w:r>
        <w:rPr>
          <w:rFonts w:ascii="Calibri" w:hAnsi="Calibri"/>
          <w:color w:val="1F2937"/>
          <w:sz w:val="22"/>
        </w:rPr>
        <w:t xml:space="preserve"> A logically partitioned clinical intake form structured into Demographics, Clinical Admission, Laboratory Biomarkers, and Vital Signs.</w:t>
      </w:r>
    </w:p>
    <w:p>
      <w:pPr>
        <w:pStyle w:val="ListParagraph"/>
        <w:spacing w:after="80" w:line="276" w:lineRule="auto"/>
      </w:pPr>
      <w:r>
        <w:rPr>
          <w:rFonts w:ascii="Calibri" w:hAnsi="Calibri"/>
          <w:b/>
          <w:color w:val="1F2937"/>
          <w:sz w:val="22"/>
        </w:rPr>
        <w:t>• Predictive Triage &amp; Action Card:</w:t>
      </w:r>
      <w:r>
        <w:rPr>
          <w:rFonts w:ascii="Calibri" w:hAnsi="Calibri"/>
          <w:color w:val="1F2937"/>
          <w:sz w:val="22"/>
        </w:rPr>
        <w:t xml:space="preserve"> An animated result panel revealing the predicted stay tier, discharge timeline range, model confidence badge, and actionable nurse staffing directives.</w:t>
      </w:r>
    </w:p>
    <w:p>
      <w:pPr>
        <w:pStyle w:val="ListParagraph"/>
        <w:spacing w:after="80" w:line="276" w:lineRule="auto"/>
      </w:pPr>
      <w:r>
        <w:rPr>
          <w:rFonts w:ascii="Calibri" w:hAnsi="Calibri"/>
          <w:b/>
          <w:color w:val="1F2937"/>
          <w:sz w:val="22"/>
        </w:rPr>
        <w:t>• Calibrated Probability Breakdown:</w:t>
      </w:r>
      <w:r>
        <w:rPr>
          <w:rFonts w:ascii="Calibri" w:hAnsi="Calibri"/>
          <w:color w:val="1F2937"/>
          <w:sz w:val="22"/>
        </w:rPr>
        <w:t xml:space="preserve"> Three animated, color-coded horizontal bars rendering exact class probabilities: Short (&lt; 3d), Medium (3–7d), and Long (&gt; 7d).</w:t>
      </w:r>
    </w:p>
    <w:p>
      <w:pPr>
        <w:keepNext/>
        <w:spacing w:before="320" w:after="120"/>
      </w:pPr>
      <w:r>
        <w:rPr>
          <w:rFonts w:ascii="Calibri" w:hAnsi="Calibri"/>
          <w:b/>
          <w:color w:val="0A3641"/>
          <w:sz w:val="30"/>
        </w:rPr>
        <w:t>16. Conclusion</w:t>
      </w:r>
    </w:p>
    <w:p>
      <w:pPr>
        <w:spacing w:after="120" w:line="276" w:lineRule="auto"/>
        <w:jc w:val="both"/>
      </w:pPr>
      <w:r>
        <w:rPr>
          <w:rFonts w:ascii="Calibri" w:hAnsi="Calibri"/>
          <w:color w:val="1F2937"/>
          <w:sz w:val="22"/>
        </w:rPr>
        <w:t>The AI Hospital Management System successfully achieves all defined technical, analytical, and operational objectives. By harnessing an ensemble Random Forest architecture trained on 10,000 synthetic patient records calibrated to national HCUP and MIMIC-III benchmarks, the system delivers an accurate, robust, and highly interpretable clinical Length-of-Stay forecasting engine.</w:t>
      </w:r>
    </w:p>
    <w:p>
      <w:pPr>
        <w:spacing w:after="120" w:line="276" w:lineRule="auto"/>
        <w:jc w:val="both"/>
      </w:pPr>
      <w:r>
        <w:rPr>
          <w:rFonts w:ascii="Calibri" w:hAnsi="Calibri"/>
          <w:color w:val="1F2937"/>
          <w:sz w:val="22"/>
        </w:rPr>
        <w:t>With a verified holdout test accuracy of 64.85%, a macro ROC-AUC of 0.8134, and a 5-fold cross-validation score of 65.80% ± 0.51%, the model proves capable of overcoming the severe class imbalance inherent in hospital census data. It accurately distinguishes between routine fast-track discharges and complex, long-stay inpatient cases that represent the primary bottleneck in metropolitan hospital operations.</w:t>
      </w:r>
    </w:p>
    <w:p>
      <w:pPr>
        <w:spacing w:after="120" w:line="276" w:lineRule="auto"/>
        <w:jc w:val="both"/>
      </w:pPr>
      <w:r>
        <w:rPr>
          <w:rFonts w:ascii="Calibri" w:hAnsi="Calibri"/>
          <w:color w:val="1F2937"/>
          <w:sz w:val="22"/>
        </w:rPr>
        <w:t>The complete full-stack deployment — featuring sub-30ms Flask REST API endpoints and a responsive, dark-mode clinical dashboard — bridges the divide between theoretical machine learning and bedside clinical operations. Developed under the mentorship of GyanAstra Technologies, the project exemplifies how intelligent, data-driven systems can transform hospital bed management, enhance patient throughput, and elevate modern healthcare delivery.</w:t>
      </w:r>
    </w:p>
    <w:p>
      <w:pPr>
        <w:keepNext/>
        <w:spacing w:before="320" w:after="120"/>
      </w:pPr>
      <w:r>
        <w:rPr>
          <w:rFonts w:ascii="Calibri" w:hAnsi="Calibri"/>
          <w:b/>
          <w:color w:val="0A3641"/>
          <w:sz w:val="30"/>
        </w:rPr>
        <w:t>17. References</w:t>
      </w:r>
    </w:p>
    <w:p>
      <w:pPr>
        <w:spacing w:after="80"/>
        <w:ind w:left="432"/>
      </w:pPr>
      <w:r>
        <w:rPr>
          <w:rFonts w:ascii="Calibri" w:hAnsi="Calibri"/>
          <w:color w:val="1F2937"/>
          <w:sz w:val="19"/>
        </w:rPr>
        <w:t>[1]  Agency for Healthcare Research and Quality (AHRQ). Healthcare Cost and Utilization Project (HCUP) National Inpatient Sample. 2022. https://www.hcup-us.ahrq.gov</w:t>
      </w:r>
    </w:p>
    <w:p>
      <w:pPr>
        <w:spacing w:after="80"/>
        <w:ind w:left="432"/>
      </w:pPr>
      <w:r>
        <w:rPr>
          <w:rFonts w:ascii="Calibri" w:hAnsi="Calibri"/>
          <w:color w:val="1F2937"/>
          <w:sz w:val="19"/>
        </w:rPr>
        <w:t>[2]  Johnson, A.E.W., Pollard, T.J., Shen, L., et al. MIMIC-III, a freely accessible critical care database. Scientific Data 3, 160035 (2016). https://doi.org/10.1038/sdata.2016.35</w:t>
      </w:r>
    </w:p>
    <w:p>
      <w:pPr>
        <w:spacing w:after="80"/>
        <w:ind w:left="432"/>
      </w:pPr>
      <w:r>
        <w:rPr>
          <w:rFonts w:ascii="Calibri" w:hAnsi="Calibri"/>
          <w:color w:val="1F2937"/>
          <w:sz w:val="19"/>
        </w:rPr>
        <w:t>[3]  Breiman, L. Random Forests. Machine Learning, 45(1), 5–32 (2001). https://doi.org/10.1023/A:1010933404324</w:t>
      </w:r>
    </w:p>
    <w:p>
      <w:pPr>
        <w:spacing w:after="80"/>
        <w:ind w:left="432"/>
      </w:pPr>
      <w:r>
        <w:rPr>
          <w:rFonts w:ascii="Calibri" w:hAnsi="Calibri"/>
          <w:color w:val="1F2937"/>
          <w:sz w:val="19"/>
        </w:rPr>
        <w:t>[4]  Turgeman, L., May, J.H., &amp; Sciulli, R. Insights from a machine learning model for predicting hospital Length of Stay (LOS) at time of admission. Expert Systems with Applications, 78, 376–385 (2017).</w:t>
      </w:r>
    </w:p>
    <w:p>
      <w:pPr>
        <w:spacing w:after="80"/>
        <w:ind w:left="432"/>
      </w:pPr>
      <w:r>
        <w:rPr>
          <w:rFonts w:ascii="Calibri" w:hAnsi="Calibri"/>
          <w:color w:val="1F2937"/>
          <w:sz w:val="19"/>
        </w:rPr>
        <w:t>[5]  Rajkomar, A., Oren, E., Chen, K., et al. Scalable and accurate deep learning with electronic health records. npj Digital Medicine 1, 18 (2018). https://doi.org/10.1038/s41746-018-0029-1</w:t>
      </w:r>
    </w:p>
    <w:p>
      <w:pPr>
        <w:spacing w:after="80"/>
        <w:ind w:left="432"/>
      </w:pPr>
      <w:r>
        <w:rPr>
          <w:rFonts w:ascii="Calibri" w:hAnsi="Calibri"/>
          <w:color w:val="1F2937"/>
          <w:sz w:val="19"/>
        </w:rPr>
        <w:t>[6]  Harutyunyan, H., Khachatrian, H., Kale, D.C., et al. Multitask learning and benchmarking with clinical time series data. Scientific Data 6, 96 (2019). https://doi.org/10.1038/s41597-019-0103-9</w:t>
      </w:r>
    </w:p>
    <w:p>
      <w:pPr>
        <w:spacing w:after="80"/>
        <w:ind w:left="432"/>
      </w:pPr>
      <w:r>
        <w:rPr>
          <w:rFonts w:ascii="Calibri" w:hAnsi="Calibri"/>
          <w:color w:val="1F2937"/>
          <w:sz w:val="19"/>
        </w:rPr>
        <w:t>[7]  Pedregosa, F., Varoquaux, G., Gramfort, A., et al. Scikit-learn: Machine Learning in Python. Journal of Machine Learning Research, 12, 2825–2830 (2011).</w:t>
      </w:r>
    </w:p>
    <w:p>
      <w:pPr>
        <w:spacing w:after="80"/>
        <w:ind w:left="432"/>
      </w:pPr>
      <w:r>
        <w:rPr>
          <w:rFonts w:ascii="Calibri" w:hAnsi="Calibri"/>
          <w:color w:val="1F2937"/>
          <w:sz w:val="19"/>
        </w:rPr>
        <w:t>[8]  Lundberg, S.M., &amp; Lee, S.I. A unified approach to interpreting model predictions (SHAP). Advances in Neural Information Processing Systems 30 (NeurIPS 2017).</w:t>
      </w:r>
    </w:p>
    <w:p>
      <w:pPr>
        <w:spacing w:after="80"/>
        <w:ind w:left="432"/>
      </w:pPr>
      <w:r>
        <w:rPr>
          <w:rFonts w:ascii="Calibri" w:hAnsi="Calibri"/>
          <w:color w:val="1F2937"/>
          <w:sz w:val="19"/>
        </w:rPr>
        <w:t>[9]  Centers for Medicare &amp; Medicaid Services (CMS). Hospital Readmissions Reduction Program (HRRP). 2023. https://www.cms.gov/medicare/quality/value-based-programs/hrrp</w:t>
      </w:r>
    </w:p>
    <w:p>
      <w:pPr>
        <w:spacing w:after="80"/>
        <w:ind w:left="432"/>
      </w:pPr>
      <w:r>
        <w:rPr>
          <w:rFonts w:ascii="Calibri" w:hAnsi="Calibri"/>
          <w:color w:val="1F2937"/>
          <w:sz w:val="19"/>
        </w:rPr>
        <w:t>[10] Charlson, M.E., Pompei, P., Ales, K.L., et al. A new method of classifying prognostic comorbidity in longitudinal studies: Development and validation. Journal of Chronic Diseases, 40(5), 373–383 (1987).</w:t>
      </w:r>
    </w:p>
    <w:p>
      <w:pPr>
        <w:spacing w:after="80"/>
        <w:ind w:left="432"/>
      </w:pPr>
      <w:r>
        <w:rPr>
          <w:rFonts w:ascii="Calibri" w:hAnsi="Calibri"/>
          <w:color w:val="1F2937"/>
          <w:sz w:val="19"/>
        </w:rPr>
        <w:t>[11] World Health Organization (WHO). International Statistical Classification of Diseases and Related Health Problems (ICD-10). 2019. https://icd.who.int</w:t>
      </w:r>
    </w:p>
    <w:p>
      <w:pPr>
        <w:spacing w:after="80"/>
        <w:ind w:left="432"/>
      </w:pPr>
      <w:r>
        <w:rPr>
          <w:rFonts w:ascii="Calibri" w:hAnsi="Calibri"/>
          <w:color w:val="1F2937"/>
          <w:sz w:val="19"/>
        </w:rPr>
        <w:t>[12] GyanAstra Technologies. AI with Python Training Programme — Curriculum, Guidelines, and Technical Standards. September 2026. https://gyanastra.com</w:t>
      </w:r>
    </w:p>
    <w:sectPr w:rsidR="0026651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29174">
    <w:abstractNumId w:val="8"/>
  </w:num>
  <w:num w:numId="2" w16cid:durableId="1109936715">
    <w:abstractNumId w:val="6"/>
  </w:num>
  <w:num w:numId="3" w16cid:durableId="899367917">
    <w:abstractNumId w:val="5"/>
  </w:num>
  <w:num w:numId="4" w16cid:durableId="2071877134">
    <w:abstractNumId w:val="4"/>
  </w:num>
  <w:num w:numId="5" w16cid:durableId="15884160">
    <w:abstractNumId w:val="7"/>
  </w:num>
  <w:num w:numId="6" w16cid:durableId="2130707705">
    <w:abstractNumId w:val="3"/>
  </w:num>
  <w:num w:numId="7" w16cid:durableId="518352222">
    <w:abstractNumId w:val="2"/>
  </w:num>
  <w:num w:numId="8" w16cid:durableId="296036578">
    <w:abstractNumId w:val="1"/>
  </w:num>
  <w:num w:numId="9" w16cid:durableId="19842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3A1"/>
    <w:rsid w:val="0015074B"/>
    <w:rsid w:val="00266518"/>
    <w:rsid w:val="0029639D"/>
    <w:rsid w:val="003057D2"/>
    <w:rsid w:val="00315FDA"/>
    <w:rsid w:val="00326F90"/>
    <w:rsid w:val="00661481"/>
    <w:rsid w:val="007A19CC"/>
    <w:rsid w:val="00AA1D8D"/>
    <w:rsid w:val="00B47730"/>
    <w:rsid w:val="00C63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56EDA"/>
  <w14:defaultImageDpi w14:val="300"/>
  <w15:docId w15:val="{74302E06-6455-41AA-AAAC-E2E20A99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3804</Words>
  <Characters>21686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 Sarkari</cp:lastModifiedBy>
  <cp:revision>6</cp:revision>
  <dcterms:created xsi:type="dcterms:W3CDTF">2026-09-29T19:03:00Z</dcterms:created>
  <dcterms:modified xsi:type="dcterms:W3CDTF">2026-09-29T19:09:00Z</dcterms:modified>
  <cp:category/>
</cp:coreProperties>
</file>