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6D0F" w14:textId="0A3E024E" w:rsidR="00D16F37" w:rsidRPr="00C42F5C" w:rsidRDefault="00BA61CB" w:rsidP="00966EEE">
      <w:pPr>
        <w:spacing w:line="276" w:lineRule="auto"/>
        <w:jc w:val="both"/>
        <w:rPr>
          <w:rFonts w:ascii="Arial" w:hAnsi="Arial" w:cs="Arial"/>
          <w:b/>
          <w:bCs/>
        </w:rPr>
      </w:pPr>
      <w:r w:rsidRPr="00C42F5C">
        <w:rPr>
          <w:rFonts w:ascii="Arial" w:hAnsi="Arial" w:cs="Arial"/>
          <w:b/>
          <w:bCs/>
        </w:rPr>
        <w:t>DISPARITIES IN SUSPECT IDENTIFICATION: ANALYSING DEMOGRAPHIC VARIATION IN NYPD INVESTIGATION DATA</w:t>
      </w:r>
    </w:p>
    <w:p w14:paraId="4892B373" w14:textId="4A874AC0" w:rsidR="00D16F37" w:rsidRDefault="00523C7D" w:rsidP="00966EEE">
      <w:pPr>
        <w:spacing w:line="276" w:lineRule="auto"/>
        <w:jc w:val="both"/>
        <w:rPr>
          <w:rFonts w:ascii="Arial" w:hAnsi="Arial" w:cs="Arial"/>
        </w:rPr>
      </w:pPr>
      <w:r>
        <w:rPr>
          <w:rFonts w:ascii="Arial" w:hAnsi="Arial" w:cs="Arial"/>
        </w:rPr>
        <w:t>ABSTRACT</w:t>
      </w:r>
      <w:r w:rsidR="00D16F37">
        <w:rPr>
          <w:rFonts w:ascii="Arial" w:hAnsi="Arial" w:cs="Arial"/>
        </w:rPr>
        <w:t>:</w:t>
      </w:r>
    </w:p>
    <w:p w14:paraId="4E0D619F" w14:textId="2009B24F" w:rsidR="00D16F37" w:rsidRDefault="00BA61CB" w:rsidP="00966EEE">
      <w:pPr>
        <w:spacing w:line="276" w:lineRule="auto"/>
        <w:jc w:val="both"/>
        <w:rPr>
          <w:rFonts w:ascii="Times New Roman" w:hAnsi="Times New Roman" w:cs="Times New Roman"/>
        </w:rPr>
      </w:pPr>
      <w:r>
        <w:rPr>
          <w:rFonts w:ascii="Times New Roman" w:hAnsi="Times New Roman" w:cs="Times New Roman"/>
        </w:rPr>
        <w:t>One of the under-studied stages of criminal adjudication is investigation. There’s a lack of formal transparency and external accountability. While adjudication has been extensively examined through research and algorithmic models, the foundations generally receive minimal scrutiny. The aim of this paper is to quantitatively account for suspect identification patterns from a systemic level with the help of victim demographics from a publicly available dataset published by the government of New York City on their shooting incident records.</w:t>
      </w:r>
    </w:p>
    <w:p w14:paraId="384A1908" w14:textId="1436F9AC" w:rsidR="00BA61CB" w:rsidRDefault="00BA61CB" w:rsidP="00966EEE">
      <w:pPr>
        <w:spacing w:line="276" w:lineRule="auto"/>
        <w:jc w:val="both"/>
        <w:rPr>
          <w:rFonts w:ascii="Times New Roman" w:hAnsi="Times New Roman" w:cs="Times New Roman"/>
        </w:rPr>
      </w:pPr>
      <w:r>
        <w:rPr>
          <w:rFonts w:ascii="Times New Roman" w:hAnsi="Times New Roman" w:cs="Times New Roman"/>
        </w:rPr>
        <w:t>The analysis consists of over 29,000 records of shooting incidents from 2006 to 2024, which reveals significant variation in perpetrator demographics across geographies. The preliminary examination indicates that shooting incidents indicate that minority populations demonstrate lower rates of identification compared to geographies with varied demographic compositions.</w:t>
      </w:r>
    </w:p>
    <w:p w14:paraId="323829FE" w14:textId="1C14FE8C" w:rsidR="00966EEE" w:rsidRDefault="00BA61CB" w:rsidP="00966EEE">
      <w:pPr>
        <w:spacing w:line="276" w:lineRule="auto"/>
        <w:jc w:val="both"/>
        <w:rPr>
          <w:rFonts w:ascii="Times New Roman" w:hAnsi="Times New Roman" w:cs="Times New Roman"/>
        </w:rPr>
      </w:pPr>
      <w:r>
        <w:rPr>
          <w:rFonts w:ascii="Times New Roman" w:hAnsi="Times New Roman" w:cs="Times New Roman"/>
        </w:rPr>
        <w:t>The paper contributes to criminal procedure scholarship with quantitative research on geographic and demographic variation in investigation cases, secondly, demonstrates how unequal investigative inputs can contaminate downstream adjudication and lastly proposes discovery and equal protection frameworks capable of capturing systemic inequality.</w:t>
      </w:r>
    </w:p>
    <w:p w14:paraId="581B1070" w14:textId="56345F48" w:rsidR="00BA61CB" w:rsidRPr="00966EEE" w:rsidRDefault="00523C7D" w:rsidP="00966EEE">
      <w:pPr>
        <w:spacing w:line="276" w:lineRule="auto"/>
        <w:jc w:val="both"/>
        <w:rPr>
          <w:rFonts w:ascii="Times New Roman" w:hAnsi="Times New Roman" w:cs="Times New Roman"/>
        </w:rPr>
      </w:pPr>
      <w:r>
        <w:rPr>
          <w:rFonts w:ascii="Arial" w:hAnsi="Arial" w:cs="Arial"/>
        </w:rPr>
        <w:t>RESEARCH PROPOSAL</w:t>
      </w:r>
      <w:r w:rsidR="00BA61CB">
        <w:rPr>
          <w:rFonts w:ascii="Arial" w:hAnsi="Arial" w:cs="Arial"/>
        </w:rPr>
        <w:t>:</w:t>
      </w:r>
    </w:p>
    <w:p w14:paraId="77941BD6" w14:textId="04905D44" w:rsidR="00BA61CB" w:rsidRDefault="00BA61CB" w:rsidP="00966EEE">
      <w:pPr>
        <w:spacing w:line="276" w:lineRule="auto"/>
        <w:jc w:val="both"/>
        <w:rPr>
          <w:rFonts w:ascii="Arial" w:hAnsi="Arial" w:cs="Arial"/>
        </w:rPr>
      </w:pPr>
      <w:r>
        <w:rPr>
          <w:rFonts w:ascii="Arial" w:hAnsi="Arial" w:cs="Arial"/>
        </w:rPr>
        <w:t>Introduction:</w:t>
      </w:r>
    </w:p>
    <w:p w14:paraId="6619058D" w14:textId="6C760A23" w:rsidR="00BA61CB" w:rsidRDefault="00BA61CB" w:rsidP="00966EEE">
      <w:pPr>
        <w:spacing w:line="276" w:lineRule="auto"/>
        <w:jc w:val="both"/>
        <w:rPr>
          <w:rFonts w:ascii="Times New Roman" w:hAnsi="Times New Roman" w:cs="Times New Roman"/>
        </w:rPr>
      </w:pPr>
      <w:r>
        <w:rPr>
          <w:rFonts w:ascii="Times New Roman" w:hAnsi="Times New Roman" w:cs="Times New Roman"/>
        </w:rPr>
        <w:t>Th</w:t>
      </w:r>
      <w:r w:rsidR="004A7DD0">
        <w:rPr>
          <w:rFonts w:ascii="Times New Roman" w:hAnsi="Times New Roman" w:cs="Times New Roman"/>
        </w:rPr>
        <w:t xml:space="preserve">ere is minimal external accountability when it comes to the investigative phase of the criminal justice. In </w:t>
      </w:r>
      <w:r w:rsidR="00676F0C">
        <w:rPr>
          <w:rFonts w:ascii="Times New Roman" w:hAnsi="Times New Roman" w:cs="Times New Roman"/>
        </w:rPr>
        <w:t>comparison</w:t>
      </w:r>
      <w:r w:rsidR="004A7DD0">
        <w:rPr>
          <w:rFonts w:ascii="Times New Roman" w:hAnsi="Times New Roman" w:cs="Times New Roman"/>
        </w:rPr>
        <w:t xml:space="preserve"> to adjudication, which generally consists of the subject to appellate review or empirical audit, this remains largely non-transparent. This absence of transparency can make systemic evaluation quite impossible.</w:t>
      </w:r>
    </w:p>
    <w:p w14:paraId="6BDE0AD9" w14:textId="3A64AC60" w:rsidR="004A7DD0" w:rsidRDefault="004A7DD0" w:rsidP="00966EEE">
      <w:pPr>
        <w:spacing w:line="276" w:lineRule="auto"/>
        <w:jc w:val="both"/>
        <w:rPr>
          <w:rFonts w:ascii="Times New Roman" w:hAnsi="Times New Roman" w:cs="Times New Roman"/>
        </w:rPr>
      </w:pPr>
      <w:r>
        <w:rPr>
          <w:rFonts w:ascii="Times New Roman" w:hAnsi="Times New Roman" w:cs="Times New Roman"/>
        </w:rPr>
        <w:t xml:space="preserve">The case indicators here are proxies for the effort put into investigation effort. One of the key </w:t>
      </w:r>
      <w:r w:rsidR="00676F0C">
        <w:rPr>
          <w:rFonts w:ascii="Times New Roman" w:hAnsi="Times New Roman" w:cs="Times New Roman"/>
        </w:rPr>
        <w:t>investigative</w:t>
      </w:r>
      <w:r>
        <w:rPr>
          <w:rFonts w:ascii="Times New Roman" w:hAnsi="Times New Roman" w:cs="Times New Roman"/>
        </w:rPr>
        <w:t xml:space="preserve"> </w:t>
      </w:r>
      <w:r w:rsidR="00676F0C">
        <w:rPr>
          <w:rFonts w:ascii="Times New Roman" w:hAnsi="Times New Roman" w:cs="Times New Roman"/>
        </w:rPr>
        <w:t>milestones</w:t>
      </w:r>
      <w:r>
        <w:rPr>
          <w:rFonts w:ascii="Times New Roman" w:hAnsi="Times New Roman" w:cs="Times New Roman"/>
        </w:rPr>
        <w:t xml:space="preserve"> is suspect </w:t>
      </w:r>
      <w:r w:rsidR="00676F0C">
        <w:rPr>
          <w:rFonts w:ascii="Times New Roman" w:hAnsi="Times New Roman" w:cs="Times New Roman"/>
        </w:rPr>
        <w:t>identification</w:t>
      </w:r>
      <w:r>
        <w:rPr>
          <w:rFonts w:ascii="Times New Roman" w:hAnsi="Times New Roman" w:cs="Times New Roman"/>
        </w:rPr>
        <w:t xml:space="preserve">. The cases with identified perpetrators reflect investigative work which lead to suspect information. Under an </w:t>
      </w:r>
      <w:r w:rsidR="00676F0C">
        <w:rPr>
          <w:rFonts w:ascii="Times New Roman" w:hAnsi="Times New Roman" w:cs="Times New Roman"/>
        </w:rPr>
        <w:t>ideal</w:t>
      </w:r>
      <w:r>
        <w:rPr>
          <w:rFonts w:ascii="Times New Roman" w:hAnsi="Times New Roman" w:cs="Times New Roman"/>
        </w:rPr>
        <w:t xml:space="preserve"> scenario of equal investigation, suspect identification rate should remain largely constant across </w:t>
      </w:r>
      <w:r w:rsidR="00676F0C">
        <w:rPr>
          <w:rFonts w:ascii="Times New Roman" w:hAnsi="Times New Roman" w:cs="Times New Roman"/>
        </w:rPr>
        <w:t>geographies</w:t>
      </w:r>
      <w:r>
        <w:rPr>
          <w:rFonts w:ascii="Times New Roman" w:hAnsi="Times New Roman" w:cs="Times New Roman"/>
        </w:rPr>
        <w:t xml:space="preserve"> or demography contexts for offenses that are equal or similar in terms of severeness.</w:t>
      </w:r>
    </w:p>
    <w:p w14:paraId="643D4866" w14:textId="076FD349" w:rsidR="004A7DD0" w:rsidRDefault="00966EEE" w:rsidP="00966EEE">
      <w:pPr>
        <w:spacing w:line="276" w:lineRule="auto"/>
        <w:jc w:val="both"/>
        <w:rPr>
          <w:rFonts w:ascii="Times New Roman" w:hAnsi="Times New Roman" w:cs="Times New Roman"/>
        </w:rPr>
      </w:pPr>
      <w:r>
        <w:rPr>
          <w:rFonts w:ascii="Times New Roman" w:hAnsi="Times New Roman" w:cs="Times New Roman"/>
        </w:rPr>
        <w:t>Quantitative</w:t>
      </w:r>
      <w:r w:rsidR="004A7DD0">
        <w:rPr>
          <w:rFonts w:ascii="Times New Roman" w:hAnsi="Times New Roman" w:cs="Times New Roman"/>
        </w:rPr>
        <w:t xml:space="preserve"> research has shown substantial racial and ethnic disparities in arrests or sentencing. The part that is less studied is whether these disparities originate during investigation through unequal case development. An understanding of these disparities is of critical importance as they shape the evidentiary quality upon which prosecution depends.</w:t>
      </w:r>
    </w:p>
    <w:p w14:paraId="4B345D0C" w14:textId="680940A7" w:rsidR="004A7DD0" w:rsidRDefault="004A7DD0" w:rsidP="00966EEE">
      <w:pPr>
        <w:spacing w:line="276" w:lineRule="auto"/>
        <w:jc w:val="both"/>
        <w:rPr>
          <w:rFonts w:ascii="Times New Roman" w:hAnsi="Times New Roman" w:cs="Times New Roman"/>
        </w:rPr>
      </w:pPr>
      <w:r>
        <w:rPr>
          <w:rFonts w:ascii="Times New Roman" w:hAnsi="Times New Roman" w:cs="Times New Roman"/>
        </w:rPr>
        <w:t>The relationship between inequality and fairness remains theoretically underdeveloped in criminal procedure research. This aims to address this gap by examining it on a quantitative level for outcome disparities and eventually propose legal mechanisms to capture the same through frameworks.</w:t>
      </w:r>
    </w:p>
    <w:p w14:paraId="43A9F98B" w14:textId="77777777" w:rsidR="004A7DD0" w:rsidRDefault="004A7DD0" w:rsidP="00966EEE">
      <w:pPr>
        <w:spacing w:line="276" w:lineRule="auto"/>
        <w:jc w:val="both"/>
        <w:rPr>
          <w:rFonts w:ascii="Arial" w:hAnsi="Arial" w:cs="Arial"/>
        </w:rPr>
      </w:pPr>
    </w:p>
    <w:p w14:paraId="30EF3C91" w14:textId="77777777" w:rsidR="00523C7D" w:rsidRDefault="00523C7D" w:rsidP="00966EEE">
      <w:pPr>
        <w:spacing w:line="276" w:lineRule="auto"/>
        <w:jc w:val="both"/>
        <w:rPr>
          <w:rFonts w:ascii="Arial" w:hAnsi="Arial" w:cs="Arial"/>
        </w:rPr>
      </w:pPr>
    </w:p>
    <w:p w14:paraId="3A626128" w14:textId="62B87F3D" w:rsidR="004A7DD0" w:rsidRDefault="00523C7D" w:rsidP="00966EEE">
      <w:pPr>
        <w:spacing w:line="276" w:lineRule="auto"/>
        <w:jc w:val="both"/>
        <w:rPr>
          <w:rFonts w:ascii="Arial" w:hAnsi="Arial" w:cs="Arial"/>
        </w:rPr>
      </w:pPr>
      <w:r>
        <w:rPr>
          <w:rFonts w:ascii="Arial" w:hAnsi="Arial" w:cs="Arial"/>
        </w:rPr>
        <w:lastRenderedPageBreak/>
        <w:t>PROBLEM STATEMENT:</w:t>
      </w:r>
    </w:p>
    <w:p w14:paraId="535AB80A" w14:textId="46023C28" w:rsidR="004A7DD0" w:rsidRDefault="004A7DD0" w:rsidP="00966EEE">
      <w:pPr>
        <w:spacing w:line="276" w:lineRule="auto"/>
        <w:jc w:val="both"/>
        <w:rPr>
          <w:rFonts w:ascii="Times New Roman" w:hAnsi="Times New Roman" w:cs="Times New Roman"/>
        </w:rPr>
      </w:pPr>
      <w:r>
        <w:rPr>
          <w:rFonts w:ascii="Times New Roman" w:hAnsi="Times New Roman" w:cs="Times New Roman"/>
        </w:rPr>
        <w:t xml:space="preserve">Criminal procedure doctrines have traditionally looked at investigation, prosecution and adjudication as separate processes. Investigation among these 3 remains largely unregulated, prosecution is moreover constrained by Brady obligations and adjudication is generally </w:t>
      </w:r>
      <w:r w:rsidR="00676F0C">
        <w:rPr>
          <w:rFonts w:ascii="Times New Roman" w:hAnsi="Times New Roman" w:cs="Times New Roman"/>
        </w:rPr>
        <w:t>governed</w:t>
      </w:r>
      <w:r>
        <w:rPr>
          <w:rFonts w:ascii="Times New Roman" w:hAnsi="Times New Roman" w:cs="Times New Roman"/>
        </w:rPr>
        <w:t xml:space="preserve"> by trials. This obscures systemic or inter connections between them. This inequality can create </w:t>
      </w:r>
      <w:r w:rsidR="00676F0C">
        <w:rPr>
          <w:rFonts w:ascii="Times New Roman" w:hAnsi="Times New Roman" w:cs="Times New Roman"/>
        </w:rPr>
        <w:t>deficiencies</w:t>
      </w:r>
      <w:r>
        <w:rPr>
          <w:rFonts w:ascii="Times New Roman" w:hAnsi="Times New Roman" w:cs="Times New Roman"/>
        </w:rPr>
        <w:t xml:space="preserve"> that prosecution perpetuates and adjudication </w:t>
      </w:r>
      <w:r w:rsidR="00676F0C">
        <w:rPr>
          <w:rFonts w:ascii="Times New Roman" w:hAnsi="Times New Roman" w:cs="Times New Roman"/>
        </w:rPr>
        <w:t>cannot</w:t>
      </w:r>
      <w:r>
        <w:rPr>
          <w:rFonts w:ascii="Times New Roman" w:hAnsi="Times New Roman" w:cs="Times New Roman"/>
        </w:rPr>
        <w:t xml:space="preserve"> remedy or account for.</w:t>
      </w:r>
    </w:p>
    <w:p w14:paraId="00681CF1" w14:textId="5ECA9D2D" w:rsidR="004A7DD0" w:rsidRDefault="004D681B" w:rsidP="00966EEE">
      <w:pPr>
        <w:spacing w:line="276" w:lineRule="auto"/>
        <w:jc w:val="both"/>
        <w:rPr>
          <w:rFonts w:ascii="Times New Roman" w:hAnsi="Times New Roman" w:cs="Times New Roman"/>
        </w:rPr>
      </w:pPr>
      <w:r>
        <w:rPr>
          <w:rFonts w:ascii="Times New Roman" w:hAnsi="Times New Roman" w:cs="Times New Roman"/>
        </w:rPr>
        <w:t xml:space="preserve">Current doctrines have no mechanism for addressing geographic level outcome disparities. Brady v. Maryland </w:t>
      </w:r>
      <w:r w:rsidR="00676F0C">
        <w:rPr>
          <w:rFonts w:ascii="Times New Roman" w:hAnsi="Times New Roman" w:cs="Times New Roman"/>
        </w:rPr>
        <w:t>requires</w:t>
      </w:r>
      <w:r>
        <w:rPr>
          <w:rFonts w:ascii="Times New Roman" w:hAnsi="Times New Roman" w:cs="Times New Roman"/>
        </w:rPr>
        <w:t xml:space="preserve"> disclosure of evidence but does not require disclosure of </w:t>
      </w:r>
      <w:r w:rsidR="00676F0C">
        <w:rPr>
          <w:rFonts w:ascii="Times New Roman" w:hAnsi="Times New Roman" w:cs="Times New Roman"/>
        </w:rPr>
        <w:t>investigative</w:t>
      </w:r>
      <w:r>
        <w:rPr>
          <w:rFonts w:ascii="Times New Roman" w:hAnsi="Times New Roman" w:cs="Times New Roman"/>
        </w:rPr>
        <w:t xml:space="preserve"> case selection patterns.</w:t>
      </w:r>
    </w:p>
    <w:p w14:paraId="38596848" w14:textId="1DFCAE9A" w:rsidR="004D681B" w:rsidRDefault="004D681B" w:rsidP="00966EEE">
      <w:pPr>
        <w:spacing w:line="276" w:lineRule="auto"/>
        <w:jc w:val="both"/>
        <w:rPr>
          <w:rFonts w:ascii="Times New Roman" w:hAnsi="Times New Roman" w:cs="Times New Roman"/>
        </w:rPr>
      </w:pPr>
      <w:r>
        <w:rPr>
          <w:rFonts w:ascii="Times New Roman" w:hAnsi="Times New Roman" w:cs="Times New Roman"/>
        </w:rPr>
        <w:t xml:space="preserve">The practical consequences of the same result in case quality disparity, which originate in investigation and remain largely invisible to the adjudication. The inheritance of portfolios of cases </w:t>
      </w:r>
      <w:r w:rsidR="00676F0C">
        <w:rPr>
          <w:rFonts w:ascii="Times New Roman" w:hAnsi="Times New Roman" w:cs="Times New Roman"/>
        </w:rPr>
        <w:t>is</w:t>
      </w:r>
      <w:r>
        <w:rPr>
          <w:rFonts w:ascii="Times New Roman" w:hAnsi="Times New Roman" w:cs="Times New Roman"/>
        </w:rPr>
        <w:t xml:space="preserve"> shaped by police investigative decisions. Judges currently sentence based on evidentiary records which might be developed with under-potential in terms of investigative efforts.</w:t>
      </w:r>
    </w:p>
    <w:p w14:paraId="2CD3D8E2" w14:textId="01C308F7" w:rsidR="004D681B" w:rsidRDefault="004D681B" w:rsidP="00966EEE">
      <w:pPr>
        <w:spacing w:line="276" w:lineRule="auto"/>
        <w:jc w:val="both"/>
        <w:rPr>
          <w:rFonts w:ascii="Times New Roman" w:hAnsi="Times New Roman" w:cs="Times New Roman"/>
        </w:rPr>
      </w:pPr>
      <w:r>
        <w:rPr>
          <w:rFonts w:ascii="Times New Roman" w:hAnsi="Times New Roman" w:cs="Times New Roman"/>
        </w:rPr>
        <w:t>No literature has quantitatively examined geographic or precinct level investigative outcome disparities segregated by victim demographics. This is a scholarly and doctrine gap.</w:t>
      </w:r>
    </w:p>
    <w:p w14:paraId="74F7AEB2" w14:textId="677FBCFC" w:rsidR="004D681B" w:rsidRDefault="00523C7D" w:rsidP="00966EEE">
      <w:pPr>
        <w:spacing w:line="276" w:lineRule="auto"/>
        <w:jc w:val="both"/>
        <w:rPr>
          <w:rFonts w:ascii="Arial" w:hAnsi="Arial" w:cs="Arial"/>
        </w:rPr>
      </w:pPr>
      <w:r>
        <w:rPr>
          <w:rFonts w:ascii="Arial" w:hAnsi="Arial" w:cs="Arial"/>
        </w:rPr>
        <w:t>RESEARCH QUESTIONS AND HYPOTHESIS:</w:t>
      </w:r>
    </w:p>
    <w:p w14:paraId="284CFC73" w14:textId="323B95FE" w:rsidR="004D681B" w:rsidRDefault="004D681B" w:rsidP="00966EEE">
      <w:pPr>
        <w:spacing w:line="276" w:lineRule="auto"/>
        <w:jc w:val="both"/>
        <w:rPr>
          <w:rFonts w:ascii="Times New Roman" w:hAnsi="Times New Roman" w:cs="Times New Roman"/>
        </w:rPr>
      </w:pPr>
      <w:r>
        <w:rPr>
          <w:rFonts w:ascii="Times New Roman" w:hAnsi="Times New Roman" w:cs="Times New Roman"/>
        </w:rPr>
        <w:t>This research aims at addressing 4 primary questions:</w:t>
      </w:r>
    </w:p>
    <w:p w14:paraId="633BA24D" w14:textId="484D97F3" w:rsidR="004D681B" w:rsidRDefault="004D681B" w:rsidP="00966EEE">
      <w:pPr>
        <w:spacing w:line="276" w:lineRule="auto"/>
        <w:jc w:val="both"/>
        <w:rPr>
          <w:rFonts w:ascii="Times New Roman" w:hAnsi="Times New Roman" w:cs="Times New Roman"/>
        </w:rPr>
      </w:pPr>
      <w:r>
        <w:rPr>
          <w:rFonts w:ascii="Times New Roman" w:hAnsi="Times New Roman" w:cs="Times New Roman"/>
        </w:rPr>
        <w:t>Does suspect identification rates in shooting incidents vary significantly across NYPD (New York Police Department) precincts when segregated by victim demography?</w:t>
      </w:r>
    </w:p>
    <w:p w14:paraId="03306B2B" w14:textId="3985983B" w:rsidR="004D681B" w:rsidRDefault="004D681B" w:rsidP="00966EEE">
      <w:pPr>
        <w:spacing w:line="276" w:lineRule="auto"/>
        <w:jc w:val="both"/>
        <w:rPr>
          <w:rFonts w:ascii="Times New Roman" w:hAnsi="Times New Roman" w:cs="Times New Roman"/>
        </w:rPr>
      </w:pPr>
      <w:r>
        <w:rPr>
          <w:rFonts w:ascii="Times New Roman" w:hAnsi="Times New Roman" w:cs="Times New Roman"/>
        </w:rPr>
        <w:t xml:space="preserve">Does the identified demographic disparity persist across different temporal periods within the </w:t>
      </w:r>
      <w:r w:rsidR="00676F0C">
        <w:rPr>
          <w:rFonts w:ascii="Times New Roman" w:hAnsi="Times New Roman" w:cs="Times New Roman"/>
        </w:rPr>
        <w:t>19-year</w:t>
      </w:r>
      <w:r>
        <w:rPr>
          <w:rFonts w:ascii="Times New Roman" w:hAnsi="Times New Roman" w:cs="Times New Roman"/>
        </w:rPr>
        <w:t xml:space="preserve"> dataset timeline?</w:t>
      </w:r>
    </w:p>
    <w:p w14:paraId="7F9F2D93" w14:textId="5A3EB7EC" w:rsidR="004D681B" w:rsidRDefault="004D681B" w:rsidP="00966EEE">
      <w:pPr>
        <w:spacing w:line="276" w:lineRule="auto"/>
        <w:jc w:val="both"/>
        <w:rPr>
          <w:rFonts w:ascii="Times New Roman" w:hAnsi="Times New Roman" w:cs="Times New Roman"/>
        </w:rPr>
      </w:pPr>
      <w:r>
        <w:rPr>
          <w:rFonts w:ascii="Times New Roman" w:hAnsi="Times New Roman" w:cs="Times New Roman"/>
        </w:rPr>
        <w:t xml:space="preserve">What characteristics of geography </w:t>
      </w:r>
      <w:r w:rsidR="00676F0C">
        <w:rPr>
          <w:rFonts w:ascii="Times New Roman" w:hAnsi="Times New Roman" w:cs="Times New Roman"/>
        </w:rPr>
        <w:t>correlate</w:t>
      </w:r>
      <w:r>
        <w:rPr>
          <w:rFonts w:ascii="Times New Roman" w:hAnsi="Times New Roman" w:cs="Times New Roman"/>
        </w:rPr>
        <w:t xml:space="preserve"> with variation in suspect identification rate?</w:t>
      </w:r>
    </w:p>
    <w:p w14:paraId="6FE3E0E1" w14:textId="77777777" w:rsidR="00966EEE" w:rsidRDefault="004D681B" w:rsidP="00966EEE">
      <w:pPr>
        <w:spacing w:line="276" w:lineRule="auto"/>
        <w:jc w:val="both"/>
        <w:rPr>
          <w:rFonts w:ascii="Times New Roman" w:hAnsi="Times New Roman" w:cs="Times New Roman"/>
        </w:rPr>
      </w:pPr>
      <w:r>
        <w:rPr>
          <w:rFonts w:ascii="Times New Roman" w:hAnsi="Times New Roman" w:cs="Times New Roman"/>
        </w:rPr>
        <w:t>What procedural and evidence mechanism would permit the defendant and court to challenge adjudication from systemic weak investigation foundations?</w:t>
      </w:r>
    </w:p>
    <w:p w14:paraId="1150B52A" w14:textId="6C0AA835" w:rsidR="004D681B" w:rsidRPr="00966EEE" w:rsidRDefault="00523C7D" w:rsidP="00966EEE">
      <w:pPr>
        <w:spacing w:line="276" w:lineRule="auto"/>
        <w:jc w:val="both"/>
        <w:rPr>
          <w:rFonts w:ascii="Times New Roman" w:hAnsi="Times New Roman" w:cs="Times New Roman"/>
        </w:rPr>
      </w:pPr>
      <w:r>
        <w:rPr>
          <w:rFonts w:ascii="Arial" w:hAnsi="Arial" w:cs="Arial"/>
        </w:rPr>
        <w:t>OBJECTIVES:</w:t>
      </w:r>
    </w:p>
    <w:p w14:paraId="66930FDA" w14:textId="32F5F5D6" w:rsidR="004D681B" w:rsidRDefault="004D681B" w:rsidP="00966EEE">
      <w:pPr>
        <w:spacing w:line="276" w:lineRule="auto"/>
        <w:jc w:val="both"/>
        <w:rPr>
          <w:rFonts w:ascii="Times New Roman" w:hAnsi="Times New Roman" w:cs="Times New Roman"/>
        </w:rPr>
      </w:pPr>
      <w:r>
        <w:rPr>
          <w:rFonts w:ascii="Times New Roman" w:hAnsi="Times New Roman" w:cs="Times New Roman"/>
        </w:rPr>
        <w:t xml:space="preserve">The four objectives of the research are stated above. First, we calculate suspect identification records by </w:t>
      </w:r>
      <w:r w:rsidR="00676F0C">
        <w:rPr>
          <w:rFonts w:ascii="Times New Roman" w:hAnsi="Times New Roman" w:cs="Times New Roman"/>
        </w:rPr>
        <w:t>precincts</w:t>
      </w:r>
      <w:r>
        <w:rPr>
          <w:rFonts w:ascii="Times New Roman" w:hAnsi="Times New Roman" w:cs="Times New Roman"/>
        </w:rPr>
        <w:t>, segregated by demographics, variation across geography, time periods and severity. Secondly, we conduct inferential statistical analysis to determine whether identified disparities remain significant after controlling for measured confounding factors. Lastly, aim to propose legal mechanism including discovery protocols and equality in protection of doctrinal arguments enabling defendants and courts to challenge systemic inequality.</w:t>
      </w:r>
    </w:p>
    <w:p w14:paraId="5366DC8F" w14:textId="77777777" w:rsidR="00523C7D" w:rsidRDefault="00523C7D" w:rsidP="00966EEE">
      <w:pPr>
        <w:spacing w:line="276" w:lineRule="auto"/>
        <w:jc w:val="both"/>
        <w:rPr>
          <w:rFonts w:ascii="Arial" w:hAnsi="Arial" w:cs="Arial"/>
        </w:rPr>
      </w:pPr>
    </w:p>
    <w:p w14:paraId="1DB0BA0C" w14:textId="77777777" w:rsidR="00523C7D" w:rsidRDefault="00523C7D" w:rsidP="00966EEE">
      <w:pPr>
        <w:spacing w:line="276" w:lineRule="auto"/>
        <w:jc w:val="both"/>
        <w:rPr>
          <w:rFonts w:ascii="Arial" w:hAnsi="Arial" w:cs="Arial"/>
        </w:rPr>
      </w:pPr>
    </w:p>
    <w:p w14:paraId="5F1E9219" w14:textId="2C28361D" w:rsidR="004D681B" w:rsidRDefault="00523C7D" w:rsidP="00966EEE">
      <w:pPr>
        <w:spacing w:line="276" w:lineRule="auto"/>
        <w:jc w:val="both"/>
        <w:rPr>
          <w:rFonts w:ascii="Arial" w:hAnsi="Arial" w:cs="Arial"/>
        </w:rPr>
      </w:pPr>
      <w:r>
        <w:rPr>
          <w:rFonts w:ascii="Arial" w:hAnsi="Arial" w:cs="Arial"/>
        </w:rPr>
        <w:t>METHODOLOGY:</w:t>
      </w:r>
    </w:p>
    <w:p w14:paraId="343128AB" w14:textId="20E4E4F1" w:rsidR="004D681B" w:rsidRDefault="004D681B" w:rsidP="00966EEE">
      <w:pPr>
        <w:spacing w:line="276" w:lineRule="auto"/>
        <w:jc w:val="both"/>
        <w:rPr>
          <w:rFonts w:ascii="Times New Roman" w:hAnsi="Times New Roman" w:cs="Times New Roman"/>
        </w:rPr>
      </w:pPr>
      <w:r>
        <w:rPr>
          <w:rFonts w:ascii="Times New Roman" w:hAnsi="Times New Roman" w:cs="Times New Roman"/>
        </w:rPr>
        <w:t>Public data source: The analysis uses the NYPD shooting data which is publicly available in NYC Open Data published by the government of the NYC. It covers data from January 2006 through December 2024, currently compromising of 29744 records and is being periodically updated.</w:t>
      </w:r>
    </w:p>
    <w:p w14:paraId="77C0E5B4" w14:textId="10128AB4" w:rsidR="004D681B" w:rsidRDefault="004D681B" w:rsidP="00966EEE">
      <w:pPr>
        <w:spacing w:line="276" w:lineRule="auto"/>
        <w:jc w:val="both"/>
        <w:rPr>
          <w:rFonts w:ascii="Times New Roman" w:hAnsi="Times New Roman" w:cs="Times New Roman"/>
        </w:rPr>
      </w:pPr>
      <w:r>
        <w:rPr>
          <w:rFonts w:ascii="Times New Roman" w:hAnsi="Times New Roman" w:cs="Times New Roman"/>
        </w:rPr>
        <w:t>Key decision variables: Primary outcome variable in this analysis is the “suspect identification status”, it also includes variables as “victim race”, “victim ethnicity”, “precinct location”, “borough” and “incident severity”.</w:t>
      </w:r>
    </w:p>
    <w:p w14:paraId="20DAA8F6" w14:textId="082FAEFF" w:rsidR="004D681B" w:rsidRDefault="00B556E2" w:rsidP="00966EEE">
      <w:pPr>
        <w:spacing w:line="276" w:lineRule="auto"/>
        <w:jc w:val="both"/>
        <w:rPr>
          <w:rFonts w:ascii="Times New Roman" w:hAnsi="Times New Roman" w:cs="Times New Roman"/>
        </w:rPr>
      </w:pPr>
      <w:r>
        <w:rPr>
          <w:rFonts w:ascii="Times New Roman" w:hAnsi="Times New Roman" w:cs="Times New Roman"/>
        </w:rPr>
        <w:t xml:space="preserve">Analytical approach: </w:t>
      </w:r>
      <w:r w:rsidR="00676F0C">
        <w:rPr>
          <w:rFonts w:ascii="Times New Roman" w:hAnsi="Times New Roman" w:cs="Times New Roman"/>
        </w:rPr>
        <w:t>exploratory</w:t>
      </w:r>
      <w:r>
        <w:rPr>
          <w:rFonts w:ascii="Times New Roman" w:hAnsi="Times New Roman" w:cs="Times New Roman"/>
        </w:rPr>
        <w:t xml:space="preserve"> data analysis to look at the correlation and causation among these key variables and employs logistic regression and other classification algorithms as required to estimate associations between </w:t>
      </w:r>
      <w:r w:rsidR="00676F0C">
        <w:rPr>
          <w:rFonts w:ascii="Times New Roman" w:hAnsi="Times New Roman" w:cs="Times New Roman"/>
        </w:rPr>
        <w:t>demographics</w:t>
      </w:r>
      <w:r>
        <w:rPr>
          <w:rFonts w:ascii="Times New Roman" w:hAnsi="Times New Roman" w:cs="Times New Roman"/>
        </w:rPr>
        <w:t>, geographies and suspect identification.</w:t>
      </w:r>
    </w:p>
    <w:p w14:paraId="1D1ADFC1" w14:textId="28591E04" w:rsidR="00B556E2" w:rsidRDefault="00B556E2" w:rsidP="00966EEE">
      <w:pPr>
        <w:spacing w:line="276" w:lineRule="auto"/>
        <w:jc w:val="both"/>
        <w:rPr>
          <w:rFonts w:ascii="Times New Roman" w:hAnsi="Times New Roman" w:cs="Times New Roman"/>
        </w:rPr>
      </w:pPr>
      <w:r>
        <w:rPr>
          <w:rFonts w:ascii="Times New Roman" w:hAnsi="Times New Roman" w:cs="Times New Roman"/>
        </w:rPr>
        <w:t>Tools and methods: The analysis uses a combination of Python, multiple libraries of python and Microsoft excel for data preparation, cleaning, analysis and modelling.</w:t>
      </w:r>
    </w:p>
    <w:p w14:paraId="632F2CC9" w14:textId="064A591E" w:rsidR="00B556E2" w:rsidRDefault="00523C7D" w:rsidP="00966EEE">
      <w:pPr>
        <w:spacing w:line="276" w:lineRule="auto"/>
        <w:jc w:val="both"/>
        <w:rPr>
          <w:rFonts w:ascii="Arial" w:hAnsi="Arial" w:cs="Arial"/>
        </w:rPr>
      </w:pPr>
      <w:r>
        <w:rPr>
          <w:rFonts w:ascii="Arial" w:hAnsi="Arial" w:cs="Arial"/>
        </w:rPr>
        <w:t>SIGNIFICANCE AND CONTRIBUTION:</w:t>
      </w:r>
    </w:p>
    <w:p w14:paraId="6393834E" w14:textId="7DE14DD3" w:rsidR="00B556E2" w:rsidRDefault="00B556E2" w:rsidP="00966EEE">
      <w:pPr>
        <w:spacing w:line="276" w:lineRule="auto"/>
        <w:jc w:val="both"/>
        <w:rPr>
          <w:rFonts w:ascii="Times New Roman" w:hAnsi="Times New Roman" w:cs="Times New Roman"/>
        </w:rPr>
      </w:pPr>
      <w:r>
        <w:rPr>
          <w:rFonts w:ascii="Times New Roman" w:hAnsi="Times New Roman" w:cs="Times New Roman"/>
        </w:rPr>
        <w:t>Academic Gaps: The research addresses gaps in criminal procedure literature by quantitatively examining the investigative outcome disparities. Existing sentencing disparity documents unequal adjudication outcomes. This traces the disparities to investigative origins. No prior legal literature has quantitatively examined on this case.</w:t>
      </w:r>
    </w:p>
    <w:p w14:paraId="277B6636" w14:textId="477397B4" w:rsidR="00B556E2" w:rsidRDefault="00B556E2" w:rsidP="00966EEE">
      <w:pPr>
        <w:spacing w:line="276" w:lineRule="auto"/>
        <w:jc w:val="both"/>
        <w:rPr>
          <w:rFonts w:ascii="Times New Roman" w:hAnsi="Times New Roman" w:cs="Times New Roman"/>
        </w:rPr>
      </w:pPr>
      <w:r>
        <w:rPr>
          <w:rFonts w:ascii="Times New Roman" w:hAnsi="Times New Roman" w:cs="Times New Roman"/>
        </w:rPr>
        <w:t>Legal Doctrine: The research looks into gaps in equal protection, selective enforcement of doctrines and provides quantitative foundation for expansion.</w:t>
      </w:r>
    </w:p>
    <w:p w14:paraId="3151DED3" w14:textId="388FBE91" w:rsidR="00B556E2" w:rsidRDefault="00B556E2" w:rsidP="00966EEE">
      <w:pPr>
        <w:spacing w:line="276" w:lineRule="auto"/>
        <w:jc w:val="both"/>
        <w:rPr>
          <w:rFonts w:ascii="Times New Roman" w:hAnsi="Times New Roman" w:cs="Times New Roman"/>
        </w:rPr>
      </w:pPr>
      <w:r>
        <w:rPr>
          <w:rFonts w:ascii="Times New Roman" w:hAnsi="Times New Roman" w:cs="Times New Roman"/>
        </w:rPr>
        <w:t xml:space="preserve">Litigation application: </w:t>
      </w:r>
      <w:r w:rsidR="00676F0C">
        <w:rPr>
          <w:rFonts w:ascii="Times New Roman" w:hAnsi="Times New Roman" w:cs="Times New Roman"/>
        </w:rPr>
        <w:t>Defence</w:t>
      </w:r>
      <w:r>
        <w:rPr>
          <w:rFonts w:ascii="Times New Roman" w:hAnsi="Times New Roman" w:cs="Times New Roman"/>
        </w:rPr>
        <w:t xml:space="preserve"> practitioners will gain quantitative frameworks for selective enforcement claim through statistical evidence of disparities.</w:t>
      </w:r>
    </w:p>
    <w:p w14:paraId="27B069D7" w14:textId="7D8E82E9" w:rsidR="00B556E2" w:rsidRDefault="00B556E2" w:rsidP="00966EEE">
      <w:pPr>
        <w:spacing w:line="276" w:lineRule="auto"/>
        <w:jc w:val="both"/>
        <w:rPr>
          <w:rFonts w:ascii="Times New Roman" w:hAnsi="Times New Roman" w:cs="Times New Roman"/>
        </w:rPr>
      </w:pPr>
      <w:r>
        <w:rPr>
          <w:rFonts w:ascii="Times New Roman" w:hAnsi="Times New Roman" w:cs="Times New Roman"/>
        </w:rPr>
        <w:t>Methodological contribution: This approach is replicable across jurisdiction, crime categories and other systems.</w:t>
      </w:r>
    </w:p>
    <w:p w14:paraId="3D81014A" w14:textId="0297A141" w:rsidR="00B556E2" w:rsidRDefault="00523C7D" w:rsidP="00966EEE">
      <w:pPr>
        <w:spacing w:line="276" w:lineRule="auto"/>
        <w:jc w:val="both"/>
        <w:rPr>
          <w:rFonts w:ascii="Arial" w:hAnsi="Arial" w:cs="Arial"/>
        </w:rPr>
      </w:pPr>
      <w:r>
        <w:rPr>
          <w:rFonts w:ascii="Arial" w:hAnsi="Arial" w:cs="Arial"/>
        </w:rPr>
        <w:t>REFERENCES:</w:t>
      </w:r>
    </w:p>
    <w:p w14:paraId="1F9EAA56" w14:textId="6CB0FE45"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Buolamwini, B., &amp; Gebru, T. (2018). Gender shades: Intersectional accuracy disparities in commercial gender classification. In Conference on Fairness, Accountability and Transparency (pp. 77-91). </w:t>
      </w:r>
      <w:hyperlink r:id="rId5" w:tgtFrame="_blank" w:history="1">
        <w:r w:rsidRPr="00B556E2">
          <w:rPr>
            <w:rStyle w:val="Hyperlink"/>
            <w:rFonts w:ascii="Times New Roman" w:hAnsi="Times New Roman" w:cs="Times New Roman"/>
          </w:rPr>
          <w:t>http://proceedings.mlr.press/v81/buolamwini18a.html</w:t>
        </w:r>
      </w:hyperlink>
    </w:p>
    <w:p w14:paraId="6DD4617F" w14:textId="522F059C"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Dressel, J., &amp; Farid, H. (2018). The accuracy, fairness, and limits of predicting recidivism. Science Advances, 4(1), eaao5580. </w:t>
      </w:r>
      <w:hyperlink r:id="rId6" w:tgtFrame="_blank" w:history="1">
        <w:r w:rsidRPr="00B556E2">
          <w:rPr>
            <w:rStyle w:val="Hyperlink"/>
            <w:rFonts w:ascii="Times New Roman" w:hAnsi="Times New Roman" w:cs="Times New Roman"/>
          </w:rPr>
          <w:t>https://doi.org/10.1126/sciadv.aao5580</w:t>
        </w:r>
      </w:hyperlink>
    </w:p>
    <w:p w14:paraId="5564AA6C" w14:textId="1DD749A9"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Elaad, E. (2022). Tunnel vision and confirmation bias among police investigators and laypeople in hypothetical criminal contexts. SAGE Open, 12(2), 21582440221095022. </w:t>
      </w:r>
      <w:hyperlink r:id="rId7" w:tgtFrame="_blank" w:history="1">
        <w:r w:rsidRPr="00B556E2">
          <w:rPr>
            <w:rStyle w:val="Hyperlink"/>
            <w:rFonts w:ascii="Times New Roman" w:hAnsi="Times New Roman" w:cs="Times New Roman"/>
          </w:rPr>
          <w:t>https://doi.org/10.1177/21582440221095022</w:t>
        </w:r>
      </w:hyperlink>
    </w:p>
    <w:p w14:paraId="27242C86" w14:textId="67BB6900"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Harvard Law Review. (2025). Equal protection prophylaxis. Harvard Law Review, 138, 1026-1131. </w:t>
      </w:r>
      <w:hyperlink r:id="rId8" w:tgtFrame="_blank" w:history="1">
        <w:r w:rsidRPr="00B556E2">
          <w:rPr>
            <w:rStyle w:val="Hyperlink"/>
            <w:rFonts w:ascii="Times New Roman" w:hAnsi="Times New Roman" w:cs="Times New Roman"/>
          </w:rPr>
          <w:t>https://harvardlawreview.org/print/vol-138/equal-protection-prophylaxis/</w:t>
        </w:r>
      </w:hyperlink>
    </w:p>
    <w:p w14:paraId="3BDE05EB" w14:textId="24CDE910"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Mitchell, S., Wu, S., Zaldivar, A., Barnes, P., Vasserman, L., Hutchinson, B., &amp; Gebru, T. (2019). Model cards for model reporting. In Conference on Fairness, Accountability, and Transparency (pp. 220-229). </w:t>
      </w:r>
      <w:hyperlink r:id="rId9" w:tgtFrame="_blank" w:history="1">
        <w:r w:rsidRPr="00B556E2">
          <w:rPr>
            <w:rStyle w:val="Hyperlink"/>
            <w:rFonts w:ascii="Times New Roman" w:hAnsi="Times New Roman" w:cs="Times New Roman"/>
          </w:rPr>
          <w:t>http://proceedings.mlr.press/v97/mitchell19a.html</w:t>
        </w:r>
      </w:hyperlink>
    </w:p>
    <w:p w14:paraId="657A11D9" w14:textId="79647FFC"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Murray, J. (2020). Prejudice-based rights in criminal procedure. University of Pennsylvania Law Review, 168(3), 1575-1644. </w:t>
      </w:r>
      <w:hyperlink r:id="rId10" w:tgtFrame="_blank" w:history="1">
        <w:r w:rsidRPr="00B556E2">
          <w:rPr>
            <w:rStyle w:val="Hyperlink"/>
            <w:rFonts w:ascii="Times New Roman" w:hAnsi="Times New Roman" w:cs="Times New Roman"/>
          </w:rPr>
          <w:t>https://scholarship.law.upenn.edu/penn_law_review/vol168/iss3/4/</w:t>
        </w:r>
      </w:hyperlink>
    </w:p>
    <w:p w14:paraId="1CAD0C88" w14:textId="12DF155F"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Mustard, D. B. (2001). Racial, ethnic, and gender disparities in sentencing: Evidence from the U.S. federal courts. The Journal of Law and Economics, 44(1), 285-314. </w:t>
      </w:r>
      <w:hyperlink r:id="rId11" w:tgtFrame="_blank" w:history="1">
        <w:r w:rsidRPr="00B556E2">
          <w:rPr>
            <w:rStyle w:val="Hyperlink"/>
            <w:rFonts w:ascii="Times New Roman" w:hAnsi="Times New Roman" w:cs="Times New Roman"/>
          </w:rPr>
          <w:t>https://doi.org/10.1086/320276</w:t>
        </w:r>
      </w:hyperlink>
    </w:p>
    <w:p w14:paraId="28CD72D8" w14:textId="3F0BAC00"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New Mexico Supreme Court. (2007). Bias-based policing literature review. </w:t>
      </w:r>
      <w:hyperlink r:id="rId12" w:tgtFrame="_blank" w:history="1">
        <w:r w:rsidRPr="00B556E2">
          <w:rPr>
            <w:rStyle w:val="Hyperlink"/>
            <w:rFonts w:ascii="Times New Roman" w:hAnsi="Times New Roman" w:cs="Times New Roman"/>
          </w:rPr>
          <w:t>https://nmsc.unm.edu/reports/2007/Bias%20Based%20Lit%20Review.pdf</w:t>
        </w:r>
      </w:hyperlink>
    </w:p>
    <w:p w14:paraId="61662C83" w14:textId="284E01AC"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Rehavi, M. M., &amp; Starr, S. B. (2014). Racial disparity in federal sentencing. Journal of Political Economy, 122(6), 1320-1354. </w:t>
      </w:r>
      <w:hyperlink r:id="rId13" w:tgtFrame="_blank" w:history="1">
        <w:r w:rsidRPr="00B556E2">
          <w:rPr>
            <w:rStyle w:val="Hyperlink"/>
            <w:rFonts w:ascii="Times New Roman" w:hAnsi="Times New Roman" w:cs="Times New Roman"/>
          </w:rPr>
          <w:t>https://doi.org/10.1086/677255</w:t>
        </w:r>
      </w:hyperlink>
    </w:p>
    <w:p w14:paraId="1F57F37E" w14:textId="7378F522"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Richardson, R., Schultz, J. M., &amp; Crawford, K. (2019). Dirty data, bad predictions: How civil rights violations impact police data, predictive policing systems, and justice. New York University Law Review Online, 94, 192-202. </w:t>
      </w:r>
      <w:hyperlink r:id="rId14" w:tgtFrame="_blank" w:history="1">
        <w:r w:rsidRPr="00B556E2">
          <w:rPr>
            <w:rStyle w:val="Hyperlink"/>
            <w:rFonts w:ascii="Times New Roman" w:hAnsi="Times New Roman" w:cs="Times New Roman"/>
          </w:rPr>
          <w:t>https://nyulawreview.org/online-features/dirty-data-bad-predictions/</w:t>
        </w:r>
      </w:hyperlink>
    </w:p>
    <w:p w14:paraId="205952BC" w14:textId="2D87AAB2"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Sherman, L. W., &amp; Weisburd, D. (1995). General deterrent effects of police patrol in crime "hot spots": A randomized controlled trial. Justice Quarterly, 12(4), 625-648. </w:t>
      </w:r>
      <w:hyperlink r:id="rId15" w:tgtFrame="_blank" w:history="1">
        <w:r w:rsidRPr="00B556E2">
          <w:rPr>
            <w:rStyle w:val="Hyperlink"/>
            <w:rFonts w:ascii="Times New Roman" w:hAnsi="Times New Roman" w:cs="Times New Roman"/>
          </w:rPr>
          <w:t>https://doi.org/10.1080/07418829500096221</w:t>
        </w:r>
      </w:hyperlink>
    </w:p>
    <w:p w14:paraId="6ACBF306" w14:textId="1D0C5320" w:rsidR="00B556E2" w:rsidRPr="00B556E2" w:rsidRDefault="00B556E2" w:rsidP="00966EEE">
      <w:pPr>
        <w:pStyle w:val="ListParagraph"/>
        <w:numPr>
          <w:ilvl w:val="0"/>
          <w:numId w:val="1"/>
        </w:numPr>
        <w:spacing w:line="276" w:lineRule="auto"/>
        <w:jc w:val="both"/>
        <w:rPr>
          <w:rFonts w:ascii="Times New Roman" w:hAnsi="Times New Roman" w:cs="Times New Roman"/>
        </w:rPr>
      </w:pPr>
      <w:r w:rsidRPr="00B556E2">
        <w:rPr>
          <w:rFonts w:ascii="Times New Roman" w:hAnsi="Times New Roman" w:cs="Times New Roman"/>
        </w:rPr>
        <w:t>University of New Mexico School of Law. (2007). Policing and decision making: Cognitive biases in criminal investigation. Research publication. </w:t>
      </w:r>
      <w:hyperlink r:id="rId16" w:tgtFrame="_blank" w:history="1">
        <w:r w:rsidRPr="00B556E2">
          <w:rPr>
            <w:rStyle w:val="Hyperlink"/>
            <w:rFonts w:ascii="Times New Roman" w:hAnsi="Times New Roman" w:cs="Times New Roman"/>
          </w:rPr>
          <w:t>https://researchonline.ljmu.ac.uk/id/eprint/19724/</w:t>
        </w:r>
      </w:hyperlink>
    </w:p>
    <w:sectPr w:rsidR="00B556E2" w:rsidRPr="00B556E2" w:rsidSect="00B556E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F6E53"/>
    <w:multiLevelType w:val="hybridMultilevel"/>
    <w:tmpl w:val="77AEAB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3534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37"/>
    <w:rsid w:val="001549E5"/>
    <w:rsid w:val="004A7DD0"/>
    <w:rsid w:val="004D681B"/>
    <w:rsid w:val="00523C7D"/>
    <w:rsid w:val="00676F0C"/>
    <w:rsid w:val="008B224B"/>
    <w:rsid w:val="00966EEE"/>
    <w:rsid w:val="009D2C46"/>
    <w:rsid w:val="00A76C9A"/>
    <w:rsid w:val="00B556E2"/>
    <w:rsid w:val="00B705F7"/>
    <w:rsid w:val="00BA61CB"/>
    <w:rsid w:val="00C42F5C"/>
    <w:rsid w:val="00C6387F"/>
    <w:rsid w:val="00CC0DEA"/>
    <w:rsid w:val="00D16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46DD"/>
  <w15:chartTrackingRefBased/>
  <w15:docId w15:val="{83C921A3-3EAA-4829-B9B4-1E6BBBDAC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6E2"/>
  </w:style>
  <w:style w:type="paragraph" w:styleId="Heading1">
    <w:name w:val="heading 1"/>
    <w:basedOn w:val="Normal"/>
    <w:next w:val="Normal"/>
    <w:link w:val="Heading1Char"/>
    <w:uiPriority w:val="9"/>
    <w:qFormat/>
    <w:rsid w:val="00D16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F37"/>
    <w:rPr>
      <w:rFonts w:eastAsiaTheme="majorEastAsia" w:cstheme="majorBidi"/>
      <w:color w:val="272727" w:themeColor="text1" w:themeTint="D8"/>
    </w:rPr>
  </w:style>
  <w:style w:type="paragraph" w:styleId="Title">
    <w:name w:val="Title"/>
    <w:basedOn w:val="Normal"/>
    <w:next w:val="Normal"/>
    <w:link w:val="TitleChar"/>
    <w:uiPriority w:val="10"/>
    <w:qFormat/>
    <w:rsid w:val="00D16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F37"/>
    <w:pPr>
      <w:spacing w:before="160"/>
      <w:jc w:val="center"/>
    </w:pPr>
    <w:rPr>
      <w:i/>
      <w:iCs/>
      <w:color w:val="404040" w:themeColor="text1" w:themeTint="BF"/>
    </w:rPr>
  </w:style>
  <w:style w:type="character" w:customStyle="1" w:styleId="QuoteChar">
    <w:name w:val="Quote Char"/>
    <w:basedOn w:val="DefaultParagraphFont"/>
    <w:link w:val="Quote"/>
    <w:uiPriority w:val="29"/>
    <w:rsid w:val="00D16F37"/>
    <w:rPr>
      <w:i/>
      <w:iCs/>
      <w:color w:val="404040" w:themeColor="text1" w:themeTint="BF"/>
    </w:rPr>
  </w:style>
  <w:style w:type="paragraph" w:styleId="ListParagraph">
    <w:name w:val="List Paragraph"/>
    <w:basedOn w:val="Normal"/>
    <w:uiPriority w:val="34"/>
    <w:qFormat/>
    <w:rsid w:val="00D16F37"/>
    <w:pPr>
      <w:ind w:left="720"/>
      <w:contextualSpacing/>
    </w:pPr>
  </w:style>
  <w:style w:type="character" w:styleId="IntenseEmphasis">
    <w:name w:val="Intense Emphasis"/>
    <w:basedOn w:val="DefaultParagraphFont"/>
    <w:uiPriority w:val="21"/>
    <w:qFormat/>
    <w:rsid w:val="00D16F37"/>
    <w:rPr>
      <w:i/>
      <w:iCs/>
      <w:color w:val="0F4761" w:themeColor="accent1" w:themeShade="BF"/>
    </w:rPr>
  </w:style>
  <w:style w:type="paragraph" w:styleId="IntenseQuote">
    <w:name w:val="Intense Quote"/>
    <w:basedOn w:val="Normal"/>
    <w:next w:val="Normal"/>
    <w:link w:val="IntenseQuoteChar"/>
    <w:uiPriority w:val="30"/>
    <w:qFormat/>
    <w:rsid w:val="00D16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F37"/>
    <w:rPr>
      <w:i/>
      <w:iCs/>
      <w:color w:val="0F4761" w:themeColor="accent1" w:themeShade="BF"/>
    </w:rPr>
  </w:style>
  <w:style w:type="character" w:styleId="IntenseReference">
    <w:name w:val="Intense Reference"/>
    <w:basedOn w:val="DefaultParagraphFont"/>
    <w:uiPriority w:val="32"/>
    <w:qFormat/>
    <w:rsid w:val="00D16F37"/>
    <w:rPr>
      <w:b/>
      <w:bCs/>
      <w:smallCaps/>
      <w:color w:val="0F4761" w:themeColor="accent1" w:themeShade="BF"/>
      <w:spacing w:val="5"/>
    </w:rPr>
  </w:style>
  <w:style w:type="character" w:styleId="Hyperlink">
    <w:name w:val="Hyperlink"/>
    <w:basedOn w:val="DefaultParagraphFont"/>
    <w:uiPriority w:val="99"/>
    <w:unhideWhenUsed/>
    <w:rsid w:val="00B556E2"/>
    <w:rPr>
      <w:color w:val="467886" w:themeColor="hyperlink"/>
      <w:u w:val="single"/>
    </w:rPr>
  </w:style>
  <w:style w:type="character" w:styleId="UnresolvedMention">
    <w:name w:val="Unresolved Mention"/>
    <w:basedOn w:val="DefaultParagraphFont"/>
    <w:uiPriority w:val="99"/>
    <w:semiHidden/>
    <w:unhideWhenUsed/>
    <w:rsid w:val="00B55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print/vol-138/equal-protection-prophylaxis/" TargetMode="External"/><Relationship Id="rId13" Type="http://schemas.openxmlformats.org/officeDocument/2006/relationships/hyperlink" Target="https://doi.org/10.1086/67725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77/21582440221095022" TargetMode="External"/><Relationship Id="rId12" Type="http://schemas.openxmlformats.org/officeDocument/2006/relationships/hyperlink" Target="https://nmsc.unm.edu/reports/2007/Bias%20Based%20Lit%20Review.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searchonline.ljmu.ac.uk/id/eprint/19724/" TargetMode="External"/><Relationship Id="rId1" Type="http://schemas.openxmlformats.org/officeDocument/2006/relationships/numbering" Target="numbering.xml"/><Relationship Id="rId6" Type="http://schemas.openxmlformats.org/officeDocument/2006/relationships/hyperlink" Target="https://doi.org/10.1126/sciadv.aao5580" TargetMode="External"/><Relationship Id="rId11" Type="http://schemas.openxmlformats.org/officeDocument/2006/relationships/hyperlink" Target="https://doi.org/10.1086/320276" TargetMode="External"/><Relationship Id="rId5" Type="http://schemas.openxmlformats.org/officeDocument/2006/relationships/hyperlink" Target="http://proceedings.mlr.press/v81/buolamwini18a.html" TargetMode="External"/><Relationship Id="rId15" Type="http://schemas.openxmlformats.org/officeDocument/2006/relationships/hyperlink" Target="https://doi.org/10.1080/07418829500096221" TargetMode="External"/><Relationship Id="rId10" Type="http://schemas.openxmlformats.org/officeDocument/2006/relationships/hyperlink" Target="https://scholarship.law.upenn.edu/penn_law_review/vol168/iss3/4/" TargetMode="External"/><Relationship Id="rId4" Type="http://schemas.openxmlformats.org/officeDocument/2006/relationships/webSettings" Target="webSettings.xml"/><Relationship Id="rId9" Type="http://schemas.openxmlformats.org/officeDocument/2006/relationships/hyperlink" Target="http://proceedings.mlr.press/v97/mitchell19a.html" TargetMode="External"/><Relationship Id="rId14" Type="http://schemas.openxmlformats.org/officeDocument/2006/relationships/hyperlink" Target="https://nyulawreview.org/online-features/dirty-data-bad-predi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Gyanesh Samanta</dc:creator>
  <cp:keywords/>
  <dc:description/>
  <cp:lastModifiedBy>Gyanesh Samanta</cp:lastModifiedBy>
  <cp:revision>2</cp:revision>
  <dcterms:created xsi:type="dcterms:W3CDTF">2026-01-29T05:35:00Z</dcterms:created>
  <dcterms:modified xsi:type="dcterms:W3CDTF">2026-01-29T05:35:00Z</dcterms:modified>
</cp:coreProperties>
</file>