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header2.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1A50" w:rsidP="20724B02" w:rsidRDefault="00BB1A50" w14:paraId="5BA521CF" w14:textId="7EB89B79">
      <w:pPr>
        <w:spacing w:before="0" w:beforeAutospacing="off" w:after="200" w:afterAutospacing="off" w:line="276" w:lineRule="auto"/>
        <w:rPr>
          <w:rFonts w:ascii="Calibri" w:hAnsi="Calibri" w:eastAsia="Calibri" w:cs="Calibri"/>
          <w:noProof w:val="0"/>
          <w:sz w:val="22"/>
          <w:szCs w:val="22"/>
          <w:lang w:val="en-US"/>
        </w:rPr>
      </w:pPr>
    </w:p>
    <w:p w:rsidR="00BB1A50" w:rsidP="20724B02" w:rsidRDefault="00BB1A50" w14:paraId="6CAF7F91" w14:textId="4F4EAC4B">
      <w:pPr>
        <w:spacing w:before="0" w:beforeAutospacing="off" w:after="200" w:afterAutospacing="off" w:line="276" w:lineRule="auto"/>
        <w:jc w:val="center"/>
      </w:pPr>
      <w:r w:rsidRPr="20724B02" w:rsidR="0F0587F1">
        <w:rPr>
          <w:rFonts w:ascii="Calibri" w:hAnsi="Calibri" w:eastAsia="Calibri" w:cs="Calibri"/>
          <w:b w:val="1"/>
          <w:bCs w:val="1"/>
          <w:noProof w:val="0"/>
          <w:sz w:val="32"/>
          <w:szCs w:val="32"/>
          <w:lang w:val="en-US"/>
        </w:rPr>
        <w:t>Establishing the Causal Link Between Usability,</w:t>
      </w:r>
    </w:p>
    <w:p w:rsidR="00BB1A50" w:rsidP="20724B02" w:rsidRDefault="00BB1A50" w14:paraId="3BE45432" w14:textId="57C14F1B">
      <w:pPr>
        <w:spacing w:before="0" w:beforeAutospacing="off" w:after="200" w:afterAutospacing="off" w:line="276" w:lineRule="auto"/>
        <w:jc w:val="center"/>
      </w:pPr>
      <w:r w:rsidRPr="20724B02" w:rsidR="0F0587F1">
        <w:rPr>
          <w:rFonts w:ascii="Calibri" w:hAnsi="Calibri" w:eastAsia="Calibri" w:cs="Calibri"/>
          <w:b w:val="1"/>
          <w:bCs w:val="1"/>
          <w:noProof w:val="0"/>
          <w:sz w:val="32"/>
          <w:szCs w:val="32"/>
          <w:lang w:val="en-US"/>
        </w:rPr>
        <w:t>Feature Adoption, and Business Outcomes in</w:t>
      </w:r>
    </w:p>
    <w:p w:rsidR="00BB1A50" w:rsidP="20724B02" w:rsidRDefault="00BB1A50" w14:paraId="7A231010" w14:textId="7ACD1987">
      <w:pPr>
        <w:spacing w:before="0" w:beforeAutospacing="off" w:after="200" w:afterAutospacing="off" w:line="276" w:lineRule="auto"/>
        <w:jc w:val="center"/>
      </w:pPr>
      <w:r w:rsidRPr="20724B02" w:rsidR="0F0587F1">
        <w:rPr>
          <w:rFonts w:ascii="Calibri" w:hAnsi="Calibri" w:eastAsia="Calibri" w:cs="Calibri"/>
          <w:b w:val="1"/>
          <w:bCs w:val="1"/>
          <w:noProof w:val="0"/>
          <w:sz w:val="32"/>
          <w:szCs w:val="32"/>
          <w:lang w:val="en-US"/>
        </w:rPr>
        <w:t>B2B SaaS Platforms</w:t>
      </w:r>
    </w:p>
    <w:p w:rsidR="00BB1A50" w:rsidP="20724B02" w:rsidRDefault="00BB1A50" w14:paraId="7654E261" w14:textId="7AF74097">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1BF090B" w14:textId="5545BB23">
      <w:pPr>
        <w:spacing w:before="0" w:beforeAutospacing="off" w:after="200" w:afterAutospacing="off" w:line="276" w:lineRule="auto"/>
        <w:jc w:val="center"/>
      </w:pPr>
      <w:r w:rsidRPr="20724B02" w:rsidR="0F0587F1">
        <w:rPr>
          <w:rFonts w:ascii="Calibri" w:hAnsi="Calibri" w:eastAsia="Calibri" w:cs="Calibri"/>
          <w:i w:val="1"/>
          <w:iCs w:val="1"/>
          <w:noProof w:val="0"/>
          <w:sz w:val="26"/>
          <w:szCs w:val="26"/>
          <w:lang w:val="en-US"/>
        </w:rPr>
        <w:t>An Empirical Survival and Regression Analysis</w:t>
      </w:r>
    </w:p>
    <w:p w:rsidR="00BB1A50" w:rsidP="20724B02" w:rsidRDefault="00BB1A50" w14:paraId="1CE3A9EF" w14:textId="751E7EFA">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675B080" w14:textId="43AB3381">
      <w:pPr>
        <w:spacing w:before="0" w:beforeAutospacing="off" w:after="200" w:afterAutospacing="off" w:line="276" w:lineRule="auto"/>
        <w:jc w:val="center"/>
      </w:pPr>
      <w:r w:rsidRPr="56C166C4" w:rsidR="0F0587F1">
        <w:rPr>
          <w:rFonts w:ascii="Calibri" w:hAnsi="Calibri" w:eastAsia="Calibri" w:cs="Calibri"/>
          <w:b w:val="1"/>
          <w:bCs w:val="1"/>
          <w:noProof w:val="0"/>
          <w:sz w:val="22"/>
          <w:szCs w:val="22"/>
          <w:lang w:val="en-US"/>
        </w:rPr>
        <w:t>Gyanesh Samanta</w:t>
      </w:r>
    </w:p>
    <w:p w:rsidR="3D96B125" w:rsidP="56C166C4" w:rsidRDefault="3D96B125" w14:paraId="2CD7AC35" w14:textId="64FE1038">
      <w:pPr>
        <w:pStyle w:val="Normal"/>
        <w:suppressLineNumbers w:val="0"/>
        <w:bidi w:val="0"/>
        <w:spacing w:before="0" w:beforeAutospacing="off" w:after="200" w:afterAutospacing="off" w:line="276" w:lineRule="auto"/>
        <w:ind w:left="0" w:right="0"/>
        <w:jc w:val="center"/>
      </w:pPr>
      <w:r w:rsidRPr="56C166C4" w:rsidR="3D96B125">
        <w:rPr>
          <w:strike w:val="0"/>
          <w:dstrike w:val="0"/>
          <w:noProof w:val="0"/>
          <w:color w:val="467886"/>
          <w:u w:val="single"/>
          <w:lang w:val="en-US"/>
        </w:rPr>
        <w:t>Mail.gyaneshsamanta@gmail.com</w:t>
      </w:r>
    </w:p>
    <w:p w:rsidR="00BB1A50" w:rsidP="20724B02" w:rsidRDefault="00BB1A50" w14:paraId="76BCBFC4" w14:textId="2A88FE68">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4C1F2DB" w14:textId="4D858AEA">
      <w:pPr>
        <w:spacing w:before="0" w:beforeAutospacing="off" w:after="200" w:afterAutospacing="off" w:line="276" w:lineRule="auto"/>
        <w:jc w:val="center"/>
      </w:pPr>
      <w:r w:rsidRPr="20724B02" w:rsidR="0F0587F1">
        <w:rPr>
          <w:rFonts w:ascii="Calibri" w:hAnsi="Calibri" w:eastAsia="Calibri" w:cs="Calibri"/>
          <w:i w:val="1"/>
          <w:iCs w:val="1"/>
          <w:noProof w:val="0"/>
          <w:sz w:val="22"/>
          <w:szCs w:val="22"/>
          <w:lang w:val="en-US"/>
        </w:rPr>
        <w:t>Research Paper — User Behaviour → User Experience (Causal Chain Study)</w:t>
      </w:r>
    </w:p>
    <w:p w:rsidR="00BB1A50" w:rsidP="20724B02" w:rsidRDefault="00BB1A50" w14:paraId="3CDA12AC" w14:textId="3ECCFE28">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46C69C2C" w14:textId="0AE22BC5">
      <w:pPr>
        <w:spacing w:before="0" w:beforeAutospacing="off" w:after="200" w:afterAutospacing="off" w:line="276" w:lineRule="auto"/>
        <w:jc w:val="center"/>
      </w:pPr>
      <w:r w:rsidRPr="20724B02" w:rsidR="0F0587F1">
        <w:rPr>
          <w:rFonts w:ascii="Calibri" w:hAnsi="Calibri" w:eastAsia="Calibri" w:cs="Calibri"/>
          <w:noProof w:val="0"/>
          <w:sz w:val="20"/>
          <w:szCs w:val="20"/>
          <w:lang w:val="en-US"/>
        </w:rPr>
        <w:t>Methodologies: Kernel Density Estimation • Mann-Whitney U Test • Logistic Regression • A/B Testing (Welch’s T-Test) • Cox Proportional Hazards • Kaplan-Meier Survival Analysis</w:t>
      </w:r>
    </w:p>
    <w:p w:rsidR="00BB1A50" w:rsidP="20724B02" w:rsidRDefault="00BB1A50" w14:paraId="0E4E75B9" w14:textId="7DE6C70E">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88BC8D5" w14:textId="4E14A7E1">
      <w:pPr>
        <w:spacing w:before="0" w:beforeAutospacing="off" w:after="200" w:afterAutospacing="off" w:line="276" w:lineRule="auto"/>
        <w:jc w:val="center"/>
      </w:pPr>
      <w:r w:rsidRPr="20724B02" w:rsidR="0F0587F1">
        <w:rPr>
          <w:rFonts w:ascii="Calibri" w:hAnsi="Calibri" w:eastAsia="Calibri" w:cs="Calibri"/>
          <w:noProof w:val="0"/>
          <w:sz w:val="20"/>
          <w:szCs w:val="20"/>
          <w:lang w:val="en-US"/>
        </w:rPr>
        <w:t>Keywords: B2B SaaS • User Experience • Feature Adoption • Product-Led Growth • Churn • Net Revenue Retention • Technology Acceptance Model • Survival Analysis</w:t>
      </w:r>
    </w:p>
    <w:p w:rsidR="00BB1A50" w:rsidP="20724B02" w:rsidRDefault="00BB1A50" w14:paraId="15DD5DBB" w14:textId="4556B71B">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07B5376" w14:textId="68466C80">
      <w:pPr>
        <w:spacing w:before="0" w:beforeAutospacing="off" w:after="200" w:afterAutospacing="off" w:line="276" w:lineRule="auto"/>
        <w:jc w:val="center"/>
      </w:pPr>
      <w:r w:rsidRPr="20724B02" w:rsidR="0F0587F1">
        <w:rPr>
          <w:rFonts w:ascii="Calibri" w:hAnsi="Calibri" w:eastAsia="Calibri" w:cs="Calibri"/>
          <w:b w:val="1"/>
          <w:bCs w:val="1"/>
          <w:noProof w:val="0"/>
          <w:sz w:val="22"/>
          <w:szCs w:val="22"/>
          <w:lang w:val="en-US"/>
        </w:rPr>
        <w:t>2024</w:t>
      </w:r>
    </w:p>
    <w:p w:rsidR="00BB1A50" w:rsidP="20724B02" w:rsidRDefault="00BB1A50" w14:paraId="6D33B22F" w14:textId="01E0D052">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Abstract</w:t>
      </w:r>
    </w:p>
    <w:p w:rsidR="00BB1A50" w:rsidP="20724B02" w:rsidRDefault="00BB1A50" w14:paraId="60D52AA2" w14:textId="1108B047">
      <w:pPr>
        <w:spacing w:before="0" w:beforeAutospacing="off" w:after="200" w:afterAutospacing="off" w:line="276" w:lineRule="auto"/>
      </w:pPr>
      <w:r w:rsidRPr="20724B02" w:rsidR="0F0587F1">
        <w:rPr>
          <w:rFonts w:ascii="Calibri" w:hAnsi="Calibri" w:eastAsia="Calibri" w:cs="Calibri"/>
          <w:noProof w:val="0"/>
          <w:sz w:val="22"/>
          <w:szCs w:val="22"/>
          <w:lang w:val="en-US"/>
        </w:rPr>
        <w:t>The landscape of Business-to-Business (B2B) Software-as-a-Service (SaaS) platforms has historically been characterized by functional depth and architectural complexity, often prioritizing technical capability over user experience (UX) and intuitive design. A notable paradigm shift is underway, however, as the "consumerization of IT" drives enterprise users to expect the same level of frictionless, engaging usability in their professional tools as they experience in personal digital environments [3]. This research paper presents a comprehensive empirical analysis investigating the causal relationships between platform usability, feature adoption, and subsequent business outcomes—specifically customer retention (churn reduction) and regional revenue growth, operationalized via Net Revenue Retention (NRR).</w:t>
      </w:r>
    </w:p>
    <w:p w:rsidR="00BB1A50" w:rsidP="20724B02" w:rsidRDefault="00BB1A50" w14:paraId="0F4D083C" w14:textId="0F4EB713">
      <w:pPr>
        <w:spacing w:before="0" w:beforeAutospacing="off" w:after="200" w:afterAutospacing="off" w:line="276" w:lineRule="auto"/>
      </w:pPr>
      <w:r w:rsidRPr="20724B02" w:rsidR="0F0587F1">
        <w:rPr>
          <w:rFonts w:ascii="Calibri" w:hAnsi="Calibri" w:eastAsia="Calibri" w:cs="Calibri"/>
          <w:noProof w:val="0"/>
          <w:sz w:val="22"/>
          <w:szCs w:val="22"/>
          <w:lang w:val="en-US"/>
        </w:rPr>
        <w:t>Drawing upon a multifaceted dataset comprising system usability scores, user engagement metrics, time-on-task experimental data, and regional sales financials, this study is structured around three core research questions, operationalised through four formal hypotheses (H1, H2, H3A, H3B). First, we quantify the expectation gap between consumer and B2B SaaS platforms (H1). Utilising Kernel Density Estimation (KDE) and the Mann-Whitney U test [5], we identify a statistically significant deficit in B2B user satisfaction compared to consumer platforms, underscoring the need for UX modernization in enterprise software. Second, through A/B testing and logistic regression models, we establish that intuitive features—measured via time-on-task and engagement scores—exhibit higher adoption rates than manual-heavy features (H2). Third, applying Cox Proportional Hazards modelling [11], we connect adoption directly to commercial outcomes, demonstrating that higher adoption is associated with lower customer churn (H3A). Finally, applying multivariate regional revenue analysis, we connect adoption to stronger regional revenue performance (H3B).</w:t>
      </w:r>
    </w:p>
    <w:p w:rsidR="00BB1A50" w:rsidP="20724B02" w:rsidRDefault="00BB1A50" w14:paraId="7189DEA0" w14:textId="2C58F3F3">
      <w:pPr>
        <w:spacing w:before="0" w:beforeAutospacing="off" w:after="200" w:afterAutospacing="off" w:line="276" w:lineRule="auto"/>
      </w:pPr>
      <w:r w:rsidRPr="20724B02" w:rsidR="0F0587F1">
        <w:rPr>
          <w:rFonts w:ascii="Calibri" w:hAnsi="Calibri" w:eastAsia="Calibri" w:cs="Calibri"/>
          <w:noProof w:val="0"/>
          <w:sz w:val="22"/>
          <w:szCs w:val="22"/>
          <w:lang w:val="en-US"/>
        </w:rPr>
        <w:t>Cumulatively, this research contributes to the empirical literature on Product-Led Growth (PLG) by providing statistically validated evidence that user interface (UI)/UX quality is not merely an aesthetic consideration but a foundational economic driver in the B2B SaaS sector. The findings offer actionable insights for product managers, UX designers, and SaaS executives, supporting a strategic reorientation toward intuitive design as a mechanism for maximizing feature adoption, mitigating churn risk, and stimulating sustainable revenue generation.</w:t>
      </w:r>
    </w:p>
    <w:p w:rsidR="00BB1A50" w:rsidP="20724B02" w:rsidRDefault="00BB1A50" w14:paraId="10CAE776" w14:textId="7A62B033">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0D4A42FB" w14:textId="2B4F6FFE">
      <w:pPr>
        <w:spacing w:before="0" w:beforeAutospacing="off" w:after="200" w:afterAutospacing="off" w:line="276" w:lineRule="auto"/>
      </w:pPr>
      <w:r w:rsidRPr="20724B02" w:rsidR="0F0587F1">
        <w:rPr>
          <w:rFonts w:ascii="Calibri" w:hAnsi="Calibri" w:eastAsia="Calibri" w:cs="Calibri"/>
          <w:noProof w:val="0"/>
          <w:sz w:val="22"/>
          <w:szCs w:val="22"/>
          <w:lang w:val="en-US"/>
        </w:rPr>
        <w:t>Keywords—B2B SaaS, User Experience, Feature Adoption, Product-Led Growth, Churn, Net Revenue Retention, Technology Acceptance Model, Survival Analysis, Usability Engineering</w:t>
      </w:r>
    </w:p>
    <w:p w:rsidR="00BB1A50" w:rsidP="20724B02" w:rsidRDefault="00BB1A50" w14:paraId="0B9B6B39" w14:textId="55173090">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CCDF79C" w14:textId="5D5BBA34">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 Introduction</w:t>
      </w:r>
    </w:p>
    <w:p w:rsidR="00BB1A50" w:rsidP="20724B02" w:rsidRDefault="00BB1A50" w14:paraId="1616E04F" w14:textId="29F9EFAE">
      <w:pPr>
        <w:spacing w:before="0" w:beforeAutospacing="off" w:after="200" w:afterAutospacing="off" w:line="276" w:lineRule="auto"/>
      </w:pPr>
      <w:r w:rsidRPr="20724B02" w:rsidR="0F0587F1">
        <w:rPr>
          <w:rFonts w:ascii="Calibri" w:hAnsi="Calibri" w:eastAsia="Calibri" w:cs="Calibri"/>
          <w:noProof w:val="0"/>
          <w:sz w:val="22"/>
          <w:szCs w:val="22"/>
          <w:lang w:val="en-US"/>
        </w:rPr>
        <w:t>In the evolving ecosystem of the modern digital economy, Business-to-Business (B2B) Software-as-a-Service (SaaS) platforms have become central to enterprise operational infrastructure. From Customer Relationship Management (CRM) systems to Enterprise Resource Planning (ERP) solutions and collaborative workflow platforms, these applications manage critical, high-complexity business processes. For decades, the primary value proposition of enterprise software centered on functional breadth, deep integrations, and feature richness. The prevailing industry assumption held that enterprise users—constrained by corporate mandates and supported by extensive training protocols—would tolerate steep learning curves and suboptimal interfaces in exchange for the capability to execute complex tasks. The design philosophy prioritized function over form, and feature density over user experience (UX) [3].</w:t>
      </w:r>
    </w:p>
    <w:p w:rsidR="00BB1A50" w:rsidP="20724B02" w:rsidRDefault="00BB1A50" w14:paraId="786E5C07" w14:textId="63B087BD">
      <w:pPr>
        <w:spacing w:before="0" w:beforeAutospacing="off" w:after="200" w:afterAutospacing="off" w:line="276" w:lineRule="auto"/>
      </w:pPr>
      <w:r w:rsidRPr="20724B02" w:rsidR="0F0587F1">
        <w:rPr>
          <w:rFonts w:ascii="Calibri" w:hAnsi="Calibri" w:eastAsia="Calibri" w:cs="Calibri"/>
          <w:noProof w:val="0"/>
          <w:sz w:val="22"/>
          <w:szCs w:val="22"/>
          <w:lang w:val="en-US"/>
        </w:rPr>
        <w:t>This assumption has been progressively challenged over the past decade by a documented shift in user expectations, widely referred to as the "consumerization of IT" [3]. Harris, Ives, and Junglas (2012) formalized this framework to describe the process by which employees—after sustained interaction with highly optimized consumer applications from companies such as Apple, Netflix, and Spotify—project those elevated UX expectations onto their professional software environments. The tolerance for opaque information hierarchies and manual-intensive processes within B2B SaaS environments has declined measurably. This shift is compounded by the competitive dynamics of the current SaaS marketplace, where subscription-based pricing models and lower switching costs enable organizations to more readily discontinue underperforming platforms [12].</w:t>
      </w:r>
    </w:p>
    <w:p w:rsidR="00BB1A50" w:rsidP="20724B02" w:rsidRDefault="00BB1A50" w14:paraId="7F49CADB" w14:textId="67CEFD54">
      <w:pPr>
        <w:spacing w:before="0" w:beforeAutospacing="off" w:after="200" w:afterAutospacing="off" w:line="276" w:lineRule="auto"/>
      </w:pPr>
      <w:r w:rsidRPr="20724B02" w:rsidR="0F0587F1">
        <w:rPr>
          <w:rFonts w:ascii="Calibri" w:hAnsi="Calibri" w:eastAsia="Calibri" w:cs="Calibri"/>
          <w:noProof w:val="0"/>
          <w:sz w:val="22"/>
          <w:szCs w:val="22"/>
          <w:lang w:val="en-US"/>
        </w:rPr>
        <w:t>This shifting landscape has necessitated a transition from traditional sales-led go-to-market strategies toward Product-Led Growth (PLG) models, in which the product itself—its usability, virality, and immediate time-to-value—serves as the primary engine for customer acquisition, expansion, and retention [7]. The critical enabler of PLG is a product that minimizes time-to-value (TTV)—the elapsed time from initial user interaction to the first meaningful outcome—a metric fundamentally determined by interface design quality. Consequently, the user interface (UI) and UX are no longer peripheral concerns; they represent primary mechanisms through which SaaS companies compete for market share and long-term viability.</w:t>
      </w:r>
    </w:p>
    <w:p w:rsidR="00BB1A50" w:rsidP="20724B02" w:rsidRDefault="00BB1A50" w14:paraId="1BE65A2B" w14:textId="12DE0819">
      <w:pPr>
        <w:spacing w:before="0" w:beforeAutospacing="off" w:after="200" w:afterAutospacing="off" w:line="276" w:lineRule="auto"/>
      </w:pPr>
      <w:r w:rsidRPr="20724B02" w:rsidR="0F0587F1">
        <w:rPr>
          <w:rFonts w:ascii="Calibri" w:hAnsi="Calibri" w:eastAsia="Calibri" w:cs="Calibri"/>
          <w:noProof w:val="0"/>
          <w:sz w:val="22"/>
          <w:szCs w:val="22"/>
          <w:lang w:val="en-US"/>
        </w:rPr>
        <w:t>Despite this recognized paradigm shift, a notable gap exists in rigorous, quantitative research connecting specific usability mechanics to macro-level business outcomes within the B2B context. Much of the existing literature relies on qualitative heuristics, anecdotal case studies, or generalized assertions about the value of good design [6, 9]. The theoretical foundations for this study are grounded in the Technology Acceptance Model (TAM) [1], which identifies perceived ease of use and perceived usefulness as determinants of behavioural intention to use a technology, and in Cognitive Load Theory (CLT) [8], which establishes that interface complexity imposes extraneous cognitive burden that reduces task efficiency and learning. This study operationalizes both frameworks with empirical variables and extends their implications to macro-financial outcomes that neither framework originally addressed.</w:t>
      </w:r>
    </w:p>
    <w:p w:rsidR="00BB1A50" w:rsidP="20724B02" w:rsidRDefault="00BB1A50" w14:paraId="359C1054" w14:textId="3914333A">
      <w:pPr>
        <w:spacing w:before="0" w:beforeAutospacing="off" w:after="200" w:afterAutospacing="off" w:line="276" w:lineRule="auto"/>
      </w:pPr>
      <w:r w:rsidRPr="20724B02" w:rsidR="0F0587F1">
        <w:rPr>
          <w:rFonts w:ascii="Calibri" w:hAnsi="Calibri" w:eastAsia="Calibri" w:cs="Calibri"/>
          <w:noProof w:val="0"/>
          <w:sz w:val="22"/>
          <w:szCs w:val="22"/>
          <w:lang w:val="en-US"/>
        </w:rPr>
        <w:t>This paper addresses that gap by providing a statistically validated framework that traces the causal chain from micro-level user interactions to macro-level financial performance. It hypothesizes that UI/UX functions as the initial catalyst in a sequential behavioural process: superior usability reduces friction, which drives higher feature adoption rates; high adoption embeds the product into the user’s daily workflow, thereby mitigating churn and driving revenue expansion. Empirical evidence from feature adoption telemetry [12] further supports the premise that adoption depth is a leading predictor of account health and NRR.</w:t>
      </w:r>
    </w:p>
    <w:p w:rsidR="00BB1A50" w:rsidP="20724B02" w:rsidRDefault="00BB1A50" w14:paraId="64EF3937" w14:textId="4F1FC1CA">
      <w:pPr>
        <w:spacing w:before="0" w:beforeAutospacing="off" w:after="200" w:afterAutospacing="off" w:line="276" w:lineRule="auto"/>
      </w:pPr>
      <w:r w:rsidRPr="20724B02" w:rsidR="0F0587F1">
        <w:rPr>
          <w:rFonts w:ascii="Calibri" w:hAnsi="Calibri" w:eastAsia="Calibri" w:cs="Calibri"/>
          <w:noProof w:val="0"/>
          <w:sz w:val="22"/>
          <w:szCs w:val="22"/>
          <w:lang w:val="en-US"/>
        </w:rPr>
        <w:t>The paper answers three interrelated research questions: (1) Does a quantifiable expectation gap exist between B2B and consumer SaaS platforms? (2) Does superior usability drive feature adoption? (3) Does high feature adoption predict improved business outcomes in terms of reduced churn and accelerated revenue? The following sections detail the theoretical grounding, datasets, analytical methods, and empirical findings that collectively validate the economic role of UX in modern B2B SaaS platforms.</w:t>
      </w:r>
    </w:p>
    <w:p w:rsidR="00BB1A50" w:rsidP="20724B02" w:rsidRDefault="00BB1A50" w14:paraId="68E51A79" w14:textId="040A6C5C">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31798645" w14:textId="233CC6A5">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2. Literature Review</w:t>
      </w:r>
    </w:p>
    <w:p w:rsidR="00BB1A50" w:rsidP="20724B02" w:rsidRDefault="00BB1A50" w14:paraId="36C07FD2" w14:textId="22D6A1B8">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2.1 The Organizational Disconnect in B2B Software</w:t>
      </w:r>
    </w:p>
    <w:p w:rsidR="6135B762" w:rsidP="56C166C4" w:rsidRDefault="6135B762" w14:paraId="4846B679" w14:textId="430E7524">
      <w:pPr>
        <w:spacing w:before="0" w:beforeAutospacing="off" w:after="160" w:afterAutospacing="off" w:line="276" w:lineRule="auto"/>
      </w:pPr>
      <w:r w:rsidRPr="56C166C4" w:rsidR="6135B762">
        <w:rPr>
          <w:rFonts w:ascii="Calibri" w:hAnsi="Calibri" w:eastAsia="Calibri" w:cs="Calibri"/>
          <w:noProof w:val="0"/>
          <w:sz w:val="22"/>
          <w:szCs w:val="22"/>
          <w:lang w:val="en-US"/>
        </w:rPr>
        <w:t xml:space="preserve">Historically, the B2B SaaS software development cycle has had misalignment between buyers and users. This disconnect has been extensively covered in the product management literature and has previously been discussed in other forums. </w:t>
      </w:r>
      <w:r w:rsidRPr="56C166C4" w:rsidR="6135B762">
        <w:rPr>
          <w:rFonts w:ascii="Calibri" w:hAnsi="Calibri" w:eastAsia="Calibri" w:cs="Calibri"/>
          <w:noProof w:val="0"/>
          <w:sz w:val="22"/>
          <w:szCs w:val="22"/>
          <w:lang w:val="en-US"/>
        </w:rPr>
        <w:t>In traditional enterprise procurement cycles, buying decisions are vested with executive stakeholders or IT departments.</w:t>
      </w:r>
      <w:r w:rsidRPr="56C166C4" w:rsidR="6135B762">
        <w:rPr>
          <w:rFonts w:ascii="Calibri" w:hAnsi="Calibri" w:eastAsia="Calibri" w:cs="Calibri"/>
          <w:noProof w:val="0"/>
          <w:sz w:val="22"/>
          <w:szCs w:val="22"/>
          <w:lang w:val="en-US"/>
        </w:rPr>
        <w:t xml:space="preserve"> These teams evaluate the software against technical specification checklists, security compliance requirements, and total cost of ownership (TCO) models. However, the end users of these applications, like the sales representatives, marketing teams, and operational staff, do not get the opportunity to </w:t>
      </w:r>
      <w:r w:rsidRPr="56C166C4" w:rsidR="6135B762">
        <w:rPr>
          <w:rFonts w:ascii="Calibri" w:hAnsi="Calibri" w:eastAsia="Calibri" w:cs="Calibri"/>
          <w:noProof w:val="0"/>
          <w:sz w:val="22"/>
          <w:szCs w:val="22"/>
          <w:lang w:val="en-US"/>
        </w:rPr>
        <w:t>participate</w:t>
      </w:r>
      <w:r w:rsidRPr="56C166C4" w:rsidR="6135B762">
        <w:rPr>
          <w:rFonts w:ascii="Calibri" w:hAnsi="Calibri" w:eastAsia="Calibri" w:cs="Calibri"/>
          <w:noProof w:val="0"/>
          <w:sz w:val="22"/>
          <w:szCs w:val="22"/>
          <w:lang w:val="en-US"/>
        </w:rPr>
        <w:t xml:space="preserve"> in the purchasing process. </w:t>
      </w:r>
      <w:r w:rsidRPr="56C166C4" w:rsidR="6135B762">
        <w:rPr>
          <w:rFonts w:ascii="Calibri" w:hAnsi="Calibri" w:eastAsia="Calibri" w:cs="Calibri"/>
          <w:noProof w:val="0"/>
          <w:sz w:val="22"/>
          <w:szCs w:val="22"/>
          <w:lang w:val="en-US"/>
        </w:rPr>
        <w:t>Consequently</w:t>
      </w:r>
      <w:r w:rsidRPr="56C166C4" w:rsidR="6135B762">
        <w:rPr>
          <w:rFonts w:ascii="Calibri" w:hAnsi="Calibri" w:eastAsia="Calibri" w:cs="Calibri"/>
          <w:noProof w:val="0"/>
          <w:sz w:val="22"/>
          <w:szCs w:val="22"/>
          <w:lang w:val="en-US"/>
        </w:rPr>
        <w:t xml:space="preserve">, software vendors begin to </w:t>
      </w:r>
      <w:r w:rsidRPr="56C166C4" w:rsidR="6135B762">
        <w:rPr>
          <w:rFonts w:ascii="Calibri" w:hAnsi="Calibri" w:eastAsia="Calibri" w:cs="Calibri"/>
          <w:noProof w:val="0"/>
          <w:sz w:val="22"/>
          <w:szCs w:val="22"/>
          <w:lang w:val="en-US"/>
        </w:rPr>
        <w:t>optimize</w:t>
      </w:r>
      <w:r w:rsidRPr="56C166C4" w:rsidR="6135B762">
        <w:rPr>
          <w:rFonts w:ascii="Calibri" w:hAnsi="Calibri" w:eastAsia="Calibri" w:cs="Calibri"/>
          <w:noProof w:val="0"/>
          <w:sz w:val="22"/>
          <w:szCs w:val="22"/>
          <w:lang w:val="en-US"/>
        </w:rPr>
        <w:t xml:space="preserve"> feature checklists and integration capabilities that appeal to buyers. This takes the focus away from enhancing interface quality and workflow intuitiveness.</w:t>
      </w:r>
    </w:p>
    <w:p w:rsidR="6135B762" w:rsidP="56C166C4" w:rsidRDefault="6135B762" w14:paraId="44D860C9" w14:textId="73359238">
      <w:pPr>
        <w:spacing w:before="0" w:beforeAutospacing="off" w:after="160" w:afterAutospacing="off" w:line="276" w:lineRule="auto"/>
      </w:pPr>
      <w:r w:rsidRPr="56C166C4" w:rsidR="6135B762">
        <w:rPr>
          <w:rFonts w:ascii="Calibri" w:hAnsi="Calibri" w:eastAsia="Calibri" w:cs="Calibri"/>
          <w:noProof w:val="0"/>
          <w:sz w:val="22"/>
          <w:szCs w:val="22"/>
          <w:lang w:val="en-US"/>
        </w:rPr>
        <w:t xml:space="preserve">This </w:t>
      </w:r>
      <w:r w:rsidRPr="56C166C4" w:rsidR="6135B762">
        <w:rPr>
          <w:rFonts w:ascii="Calibri" w:hAnsi="Calibri" w:eastAsia="Calibri" w:cs="Calibri"/>
          <w:noProof w:val="0"/>
          <w:sz w:val="22"/>
          <w:szCs w:val="22"/>
          <w:lang w:val="en-US"/>
        </w:rPr>
        <w:t>behaviour</w:t>
      </w:r>
      <w:r w:rsidRPr="56C166C4" w:rsidR="6135B762">
        <w:rPr>
          <w:rFonts w:ascii="Calibri" w:hAnsi="Calibri" w:eastAsia="Calibri" w:cs="Calibri"/>
          <w:noProof w:val="0"/>
          <w:sz w:val="22"/>
          <w:szCs w:val="22"/>
          <w:lang w:val="en-US"/>
        </w:rPr>
        <w:t xml:space="preserve"> is widely studied across the IS adoption literature too. Software usability metrics have been </w:t>
      </w:r>
      <w:r w:rsidRPr="56C166C4" w:rsidR="6C39D9E4">
        <w:rPr>
          <w:rFonts w:ascii="Calibri" w:hAnsi="Calibri" w:eastAsia="Calibri" w:cs="Calibri"/>
          <w:noProof w:val="0"/>
          <w:sz w:val="22"/>
          <w:szCs w:val="22"/>
          <w:lang w:val="en-US"/>
        </w:rPr>
        <w:t>treated as</w:t>
      </w:r>
      <w:r w:rsidRPr="56C166C4" w:rsidR="6135B762">
        <w:rPr>
          <w:rFonts w:ascii="Calibri" w:hAnsi="Calibri" w:eastAsia="Calibri" w:cs="Calibri"/>
          <w:noProof w:val="0"/>
          <w:sz w:val="22"/>
          <w:szCs w:val="22"/>
          <w:lang w:val="en-US"/>
        </w:rPr>
        <w:t xml:space="preserve"> ornamental, subordinate to core functional requirements. This pattern could survive in the license-based perpetual software buying model because of two major factors– low churn risk and prohibitive switching costs. However, this same approach is unsustainable in today’s </w:t>
      </w:r>
      <w:r w:rsidRPr="56C166C4" w:rsidR="071FBB0F">
        <w:rPr>
          <w:rFonts w:ascii="Calibri" w:hAnsi="Calibri" w:eastAsia="Calibri" w:cs="Calibri"/>
          <w:noProof w:val="0"/>
          <w:sz w:val="22"/>
          <w:szCs w:val="22"/>
          <w:lang w:val="en-US"/>
        </w:rPr>
        <w:t>subscription-based</w:t>
      </w:r>
      <w:r w:rsidRPr="56C166C4" w:rsidR="6135B762">
        <w:rPr>
          <w:rFonts w:ascii="Calibri" w:hAnsi="Calibri" w:eastAsia="Calibri" w:cs="Calibri"/>
          <w:noProof w:val="0"/>
          <w:sz w:val="22"/>
          <w:szCs w:val="22"/>
          <w:lang w:val="en-US"/>
        </w:rPr>
        <w:t xml:space="preserve"> economy, where customer success is being directly measured by continuous user engagement and product adoption depth. At the same time, Sandas (2024) concludes that contemporary procurement is more aligned with </w:t>
      </w:r>
      <w:r w:rsidRPr="56C166C4" w:rsidR="151A1363">
        <w:rPr>
          <w:rFonts w:ascii="Calibri" w:hAnsi="Calibri" w:eastAsia="Calibri" w:cs="Calibri"/>
          <w:noProof w:val="0"/>
          <w:sz w:val="22"/>
          <w:szCs w:val="22"/>
          <w:lang w:val="en-US"/>
        </w:rPr>
        <w:t>value-based</w:t>
      </w:r>
      <w:r w:rsidRPr="56C166C4" w:rsidR="6135B762">
        <w:rPr>
          <w:rFonts w:ascii="Calibri" w:hAnsi="Calibri" w:eastAsia="Calibri" w:cs="Calibri"/>
          <w:noProof w:val="0"/>
          <w:sz w:val="22"/>
          <w:szCs w:val="22"/>
          <w:lang w:val="en-US"/>
        </w:rPr>
        <w:t xml:space="preserve"> selling than being pure feature comparison. There is a macro level shift in what buyers weigh, which provides legitimacy to interface design in the evaluation process.</w:t>
      </w:r>
    </w:p>
    <w:p w:rsidR="6135B762" w:rsidP="56C166C4" w:rsidRDefault="6135B762" w14:paraId="480025D1" w14:textId="2D9328F4">
      <w:pPr>
        <w:spacing w:before="0" w:beforeAutospacing="off" w:after="160" w:afterAutospacing="off" w:line="276" w:lineRule="auto"/>
      </w:pPr>
      <w:r w:rsidRPr="56C166C4" w:rsidR="6135B762">
        <w:rPr>
          <w:rFonts w:ascii="Calibri" w:hAnsi="Calibri" w:eastAsia="Calibri" w:cs="Calibri"/>
          <w:noProof w:val="0"/>
          <w:sz w:val="22"/>
          <w:szCs w:val="22"/>
          <w:lang w:val="en-US"/>
        </w:rPr>
        <w:t>Perminova</w:t>
      </w:r>
      <w:r w:rsidRPr="56C166C4" w:rsidR="6135B762">
        <w:rPr>
          <w:rFonts w:ascii="Calibri" w:hAnsi="Calibri" w:eastAsia="Calibri" w:cs="Calibri"/>
          <w:noProof w:val="0"/>
          <w:sz w:val="22"/>
          <w:szCs w:val="22"/>
          <w:lang w:val="en-US"/>
        </w:rPr>
        <w:t xml:space="preserve"> (2024) performed a qualitative study, further complicating the buyer-user distinction. The study </w:t>
      </w:r>
      <w:r w:rsidRPr="56C166C4" w:rsidR="6135B762">
        <w:rPr>
          <w:rFonts w:ascii="Calibri" w:hAnsi="Calibri" w:eastAsia="Calibri" w:cs="Calibri"/>
          <w:noProof w:val="0"/>
          <w:sz w:val="22"/>
          <w:szCs w:val="22"/>
          <w:lang w:val="en-US"/>
        </w:rPr>
        <w:t>identifies</w:t>
      </w:r>
      <w:r w:rsidRPr="56C166C4" w:rsidR="6135B762">
        <w:rPr>
          <w:rFonts w:ascii="Calibri" w:hAnsi="Calibri" w:eastAsia="Calibri" w:cs="Calibri"/>
          <w:noProof w:val="0"/>
          <w:sz w:val="22"/>
          <w:szCs w:val="22"/>
          <w:lang w:val="en-US"/>
        </w:rPr>
        <w:t xml:space="preserve"> 4 spheres of interaction spanning across nineteen touchpoints and five end user roles– users, influencers, co-creators, boundary </w:t>
      </w:r>
      <w:r w:rsidRPr="56C166C4" w:rsidR="6135B762">
        <w:rPr>
          <w:rFonts w:ascii="Calibri" w:hAnsi="Calibri" w:eastAsia="Calibri" w:cs="Calibri"/>
          <w:noProof w:val="0"/>
          <w:sz w:val="22"/>
          <w:szCs w:val="22"/>
          <w:lang w:val="en-US"/>
        </w:rPr>
        <w:t>actors</w:t>
      </w:r>
      <w:r w:rsidRPr="56C166C4" w:rsidR="6135B762">
        <w:rPr>
          <w:rFonts w:ascii="Calibri" w:hAnsi="Calibri" w:eastAsia="Calibri" w:cs="Calibri"/>
          <w:noProof w:val="0"/>
          <w:sz w:val="22"/>
          <w:szCs w:val="22"/>
          <w:lang w:val="en-US"/>
        </w:rPr>
        <w:t xml:space="preserve"> and decision</w:t>
      </w:r>
      <w:r w:rsidRPr="56C166C4" w:rsidR="525EA499">
        <w:rPr>
          <w:rFonts w:ascii="Calibri" w:hAnsi="Calibri" w:eastAsia="Calibri" w:cs="Calibri"/>
          <w:noProof w:val="0"/>
          <w:sz w:val="22"/>
          <w:szCs w:val="22"/>
          <w:lang w:val="en-US"/>
        </w:rPr>
        <w:t xml:space="preserve"> </w:t>
      </w:r>
      <w:r w:rsidRPr="56C166C4" w:rsidR="6135B762">
        <w:rPr>
          <w:rFonts w:ascii="Calibri" w:hAnsi="Calibri" w:eastAsia="Calibri" w:cs="Calibri"/>
          <w:noProof w:val="0"/>
          <w:sz w:val="22"/>
          <w:szCs w:val="22"/>
          <w:lang w:val="en-US"/>
        </w:rPr>
        <w:t xml:space="preserve">makers. </w:t>
      </w:r>
      <w:r w:rsidRPr="56C166C4" w:rsidR="6135B762">
        <w:rPr>
          <w:rFonts w:ascii="Calibri" w:hAnsi="Calibri" w:eastAsia="Calibri" w:cs="Calibri"/>
          <w:noProof w:val="0"/>
          <w:sz w:val="22"/>
          <w:szCs w:val="22"/>
          <w:lang w:val="en-US"/>
        </w:rPr>
        <w:t>Here, the end users play a role in shaping SaaS acceptance and implementation.</w:t>
      </w:r>
      <w:r w:rsidRPr="56C166C4" w:rsidR="6135B762">
        <w:rPr>
          <w:rFonts w:ascii="Calibri" w:hAnsi="Calibri" w:eastAsia="Calibri" w:cs="Calibri"/>
          <w:noProof w:val="0"/>
          <w:sz w:val="22"/>
          <w:szCs w:val="22"/>
          <w:lang w:val="en-US"/>
        </w:rPr>
        <w:t xml:space="preserve"> It leads to the judgements of the end users, during and after </w:t>
      </w:r>
      <w:r w:rsidRPr="56C166C4" w:rsidR="7B7A41D8">
        <w:rPr>
          <w:rFonts w:ascii="Calibri" w:hAnsi="Calibri" w:eastAsia="Calibri" w:cs="Calibri"/>
          <w:noProof w:val="0"/>
          <w:sz w:val="22"/>
          <w:szCs w:val="22"/>
          <w:lang w:val="en-US"/>
        </w:rPr>
        <w:t>rolling</w:t>
      </w:r>
      <w:r w:rsidRPr="56C166C4" w:rsidR="6135B762">
        <w:rPr>
          <w:rFonts w:ascii="Calibri" w:hAnsi="Calibri" w:eastAsia="Calibri" w:cs="Calibri"/>
          <w:noProof w:val="0"/>
          <w:sz w:val="22"/>
          <w:szCs w:val="22"/>
          <w:lang w:val="en-US"/>
        </w:rPr>
        <w:t>-out, to feed back into the system for evaluation of vendor relationship rather than the organization having a separate purchasing process.</w:t>
      </w:r>
    </w:p>
    <w:p w:rsidR="00BB1A50" w:rsidP="20724B02" w:rsidRDefault="00BB1A50" w14:paraId="7BA8CAD0" w14:textId="1840EE55">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2.2 The Consumerization of IT</w:t>
      </w:r>
    </w:p>
    <w:p w:rsidR="6BE46E32" w:rsidP="56C166C4" w:rsidRDefault="6BE46E32" w14:paraId="2353A9FF" w14:textId="21A0BC53">
      <w:pPr>
        <w:spacing w:before="0" w:beforeAutospacing="off" w:after="160" w:afterAutospacing="off" w:line="276" w:lineRule="auto"/>
      </w:pPr>
      <w:r w:rsidRPr="56C166C4" w:rsidR="6BE46E32">
        <w:rPr>
          <w:rFonts w:ascii="Calibri" w:hAnsi="Calibri" w:eastAsia="Calibri" w:cs="Calibri"/>
          <w:noProof w:val="0"/>
          <w:sz w:val="22"/>
          <w:szCs w:val="22"/>
          <w:lang w:val="en-US"/>
        </w:rPr>
        <w:t xml:space="preserve">Harris, </w:t>
      </w:r>
      <w:r w:rsidRPr="56C166C4" w:rsidR="6BE46E32">
        <w:rPr>
          <w:rFonts w:ascii="Calibri" w:hAnsi="Calibri" w:eastAsia="Calibri" w:cs="Calibri"/>
          <w:noProof w:val="0"/>
          <w:sz w:val="22"/>
          <w:szCs w:val="22"/>
          <w:lang w:val="en-US"/>
        </w:rPr>
        <w:t>Ives</w:t>
      </w:r>
      <w:r w:rsidRPr="56C166C4" w:rsidR="6BE46E32">
        <w:rPr>
          <w:rFonts w:ascii="Calibri" w:hAnsi="Calibri" w:eastAsia="Calibri" w:cs="Calibri"/>
          <w:noProof w:val="0"/>
          <w:sz w:val="22"/>
          <w:szCs w:val="22"/>
          <w:lang w:val="en-US"/>
        </w:rPr>
        <w:t xml:space="preserve"> and Junglas (2012) formalized the term “Consumerization of IT”, which refers to the process by which consumer technology makes its way into enterprise contexts. Their study found that employees increasingly use personal devices and cloud services at work. This gradual transition blurs the boundary between consumer and enterprise technology ecosystems. Some platforms are transforming B2B product strategy decisions with disruptive enterprise communication systems, for example Slack which uses a consumer-grade interface and Dropbox which enters enterprises through individual bottom-up approach. Wenzel et al. (2014) argue in their paper that IS researchers and practitioners increasingly want the enterprise systems to embed the frictionless experience of consumer applications. The framework provided draws the relation between user expectations and the vulnerability of enterprise software systems. The legacy enterprise software systems </w:t>
      </w:r>
      <w:r w:rsidRPr="56C166C4" w:rsidR="6BE46E32">
        <w:rPr>
          <w:rFonts w:ascii="Calibri" w:hAnsi="Calibri" w:eastAsia="Calibri" w:cs="Calibri"/>
          <w:noProof w:val="0"/>
          <w:sz w:val="22"/>
          <w:szCs w:val="22"/>
          <w:lang w:val="en-US"/>
        </w:rPr>
        <w:t>predate</w:t>
      </w:r>
      <w:r w:rsidRPr="56C166C4" w:rsidR="6BE46E32">
        <w:rPr>
          <w:rFonts w:ascii="Calibri" w:hAnsi="Calibri" w:eastAsia="Calibri" w:cs="Calibri"/>
          <w:noProof w:val="0"/>
          <w:sz w:val="22"/>
          <w:szCs w:val="22"/>
          <w:lang w:val="en-US"/>
        </w:rPr>
        <w:t xml:space="preserve"> indices, such as the American Customer Satisfaction Index (ASCI), which tracks and benchmarks consumer-grade interfaces.</w:t>
      </w:r>
    </w:p>
    <w:p w:rsidR="56C166C4" w:rsidP="56C166C4" w:rsidRDefault="56C166C4" w14:paraId="422E34CC" w14:textId="1096BF67">
      <w:pPr>
        <w:spacing w:before="0" w:beforeAutospacing="off" w:after="200" w:afterAutospacing="off" w:line="276" w:lineRule="auto"/>
        <w:rPr>
          <w:rFonts w:ascii="Calibri" w:hAnsi="Calibri" w:eastAsia="Calibri" w:cs="Calibri"/>
          <w:noProof w:val="0"/>
          <w:sz w:val="22"/>
          <w:szCs w:val="22"/>
          <w:lang w:val="en-US"/>
        </w:rPr>
      </w:pPr>
    </w:p>
    <w:p w:rsidR="00BB1A50" w:rsidP="20724B02" w:rsidRDefault="00BB1A50" w14:paraId="6479CEA1" w14:textId="5F9AA099">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2.3 Product-Led Growth and UX as a Strategic Asset</w:t>
      </w:r>
    </w:p>
    <w:p w:rsidR="7754286F" w:rsidP="56C166C4" w:rsidRDefault="7754286F" w14:paraId="19E56F11" w14:textId="12629760">
      <w:pPr>
        <w:spacing w:before="0" w:beforeAutospacing="off" w:after="160" w:afterAutospacing="off" w:line="276" w:lineRule="auto"/>
      </w:pPr>
      <w:r w:rsidRPr="56C166C4" w:rsidR="7754286F">
        <w:rPr>
          <w:rFonts w:ascii="Calibri" w:hAnsi="Calibri" w:eastAsia="Calibri" w:cs="Calibri"/>
          <w:noProof w:val="0"/>
          <w:sz w:val="22"/>
          <w:szCs w:val="22"/>
          <w:lang w:val="en-US"/>
        </w:rPr>
        <w:t xml:space="preserve">The go-to-market paradigm in SaaS has shown a gradual shift towards Product-Led Growth (PLG). The primary commercial levers of PLG are product quality and user experience. This has been advocated by OpenView Partners and is widely accepted in the product management community. In PLG frameworks, the product </w:t>
      </w:r>
      <w:r w:rsidRPr="56C166C4" w:rsidR="7754286F">
        <w:rPr>
          <w:rFonts w:ascii="Calibri" w:hAnsi="Calibri" w:eastAsia="Calibri" w:cs="Calibri"/>
          <w:noProof w:val="0"/>
          <w:sz w:val="22"/>
          <w:szCs w:val="22"/>
          <w:lang w:val="en-US"/>
        </w:rPr>
        <w:t>acquires</w:t>
      </w:r>
      <w:r w:rsidRPr="56C166C4" w:rsidR="7754286F">
        <w:rPr>
          <w:rFonts w:ascii="Calibri" w:hAnsi="Calibri" w:eastAsia="Calibri" w:cs="Calibri"/>
          <w:noProof w:val="0"/>
          <w:sz w:val="22"/>
          <w:szCs w:val="22"/>
          <w:lang w:val="en-US"/>
        </w:rPr>
        <w:t xml:space="preserve">, expands, and </w:t>
      </w:r>
      <w:r w:rsidRPr="56C166C4" w:rsidR="7754286F">
        <w:rPr>
          <w:rFonts w:ascii="Calibri" w:hAnsi="Calibri" w:eastAsia="Calibri" w:cs="Calibri"/>
          <w:noProof w:val="0"/>
          <w:sz w:val="22"/>
          <w:szCs w:val="22"/>
          <w:lang w:val="en-US"/>
        </w:rPr>
        <w:t>retains</w:t>
      </w:r>
      <w:r w:rsidRPr="56C166C4" w:rsidR="7754286F">
        <w:rPr>
          <w:rFonts w:ascii="Calibri" w:hAnsi="Calibri" w:eastAsia="Calibri" w:cs="Calibri"/>
          <w:noProof w:val="0"/>
          <w:sz w:val="22"/>
          <w:szCs w:val="22"/>
          <w:lang w:val="en-US"/>
        </w:rPr>
        <w:t xml:space="preserve"> customers organically through inherent usability and value delivery. The critical indicator of PLG is a product that minimizes time-to-value (TTV), a metric measured by interface design quality and onboarding clarity. This takes </w:t>
      </w:r>
      <w:r w:rsidRPr="56C166C4" w:rsidR="7754286F">
        <w:rPr>
          <w:rFonts w:ascii="Calibri" w:hAnsi="Calibri" w:eastAsia="Calibri" w:cs="Calibri"/>
          <w:noProof w:val="0"/>
          <w:sz w:val="22"/>
          <w:szCs w:val="22"/>
          <w:lang w:val="en-US"/>
        </w:rPr>
        <w:t>focus</w:t>
      </w:r>
      <w:r w:rsidRPr="56C166C4" w:rsidR="7754286F">
        <w:rPr>
          <w:rFonts w:ascii="Calibri" w:hAnsi="Calibri" w:eastAsia="Calibri" w:cs="Calibri"/>
          <w:noProof w:val="0"/>
          <w:sz w:val="22"/>
          <w:szCs w:val="22"/>
          <w:lang w:val="en-US"/>
        </w:rPr>
        <w:t xml:space="preserve"> and dependency away from costly sales and marketing functions.</w:t>
      </w:r>
    </w:p>
    <w:p w:rsidR="7754286F" w:rsidP="56C166C4" w:rsidRDefault="7754286F" w14:paraId="3A2D5412" w14:textId="77D15362">
      <w:pPr>
        <w:spacing w:before="0" w:beforeAutospacing="off" w:after="160" w:afterAutospacing="off" w:line="276" w:lineRule="auto"/>
      </w:pPr>
      <w:r w:rsidRPr="56C166C4" w:rsidR="7754286F">
        <w:rPr>
          <w:rFonts w:ascii="Calibri" w:hAnsi="Calibri" w:eastAsia="Calibri" w:cs="Calibri"/>
          <w:noProof w:val="0"/>
          <w:sz w:val="22"/>
          <w:szCs w:val="22"/>
          <w:lang w:val="en-US"/>
        </w:rPr>
        <w:t>Some of the behavioural design principles governing B2C products such as progressive disclosures, immediate feedback loops, and personalization are increasingly finding their way to the B2B SaaS architectures. This interaction is being coined as “B2C bias in the B2B world.”</w:t>
      </w:r>
    </w:p>
    <w:p w:rsidR="7754286F" w:rsidP="56C166C4" w:rsidRDefault="7754286F" w14:paraId="5FF725A1" w14:textId="44C452F7">
      <w:pPr>
        <w:spacing w:before="0" w:beforeAutospacing="off" w:after="160" w:afterAutospacing="off" w:line="276" w:lineRule="auto"/>
      </w:pPr>
      <w:r w:rsidRPr="56C166C4" w:rsidR="7754286F">
        <w:rPr>
          <w:rFonts w:ascii="Calibri" w:hAnsi="Calibri" w:eastAsia="Calibri" w:cs="Calibri"/>
          <w:noProof w:val="0"/>
          <w:sz w:val="22"/>
          <w:szCs w:val="22"/>
          <w:lang w:val="en-US"/>
        </w:rPr>
        <w:t>Rahman and Jyoti’s (2022) systematic review of 92 peer-reviewed articles on user centric design found that the principles such as participatory design, iterative prototyping, usability evaluation and adherence to accessibility standards generate more positive user behaviour and stronger organizational outcomes such as low churn, renewal of contracts, etc.</w:t>
      </w:r>
    </w:p>
    <w:p w:rsidR="7754286F" w:rsidP="56C166C4" w:rsidRDefault="7754286F" w14:paraId="0A5E7154" w14:textId="066F28BB">
      <w:pPr>
        <w:spacing w:before="0" w:beforeAutospacing="off" w:after="160" w:afterAutospacing="off" w:line="276" w:lineRule="auto"/>
      </w:pPr>
      <w:r w:rsidRPr="56C166C4" w:rsidR="7754286F">
        <w:rPr>
          <w:rFonts w:ascii="Calibri" w:hAnsi="Calibri" w:eastAsia="Calibri" w:cs="Calibri"/>
          <w:noProof w:val="0"/>
          <w:sz w:val="22"/>
          <w:szCs w:val="22"/>
          <w:lang w:val="en-US"/>
        </w:rPr>
        <w:t xml:space="preserve">Sandstrom (2022) used qualitative interviews and </w:t>
      </w:r>
      <w:r w:rsidRPr="56C166C4" w:rsidR="7754286F">
        <w:rPr>
          <w:rFonts w:ascii="Calibri" w:hAnsi="Calibri" w:eastAsia="Calibri" w:cs="Calibri"/>
          <w:noProof w:val="0"/>
          <w:sz w:val="22"/>
          <w:szCs w:val="22"/>
          <w:lang w:val="en-US"/>
        </w:rPr>
        <w:t>Batumani</w:t>
      </w:r>
      <w:r w:rsidRPr="56C166C4" w:rsidR="7754286F">
        <w:rPr>
          <w:rFonts w:ascii="Calibri" w:hAnsi="Calibri" w:eastAsia="Calibri" w:cs="Calibri"/>
          <w:noProof w:val="0"/>
          <w:sz w:val="22"/>
          <w:szCs w:val="22"/>
          <w:lang w:val="en-US"/>
        </w:rPr>
        <w:t xml:space="preserve"> (2023) used case study strategy to </w:t>
      </w:r>
      <w:r w:rsidRPr="56C166C4" w:rsidR="7754286F">
        <w:rPr>
          <w:rFonts w:ascii="Calibri" w:hAnsi="Calibri" w:eastAsia="Calibri" w:cs="Calibri"/>
          <w:noProof w:val="0"/>
          <w:sz w:val="22"/>
          <w:szCs w:val="22"/>
          <w:lang w:val="en-US"/>
        </w:rPr>
        <w:t>establish</w:t>
      </w:r>
      <w:r w:rsidRPr="56C166C4" w:rsidR="7754286F">
        <w:rPr>
          <w:rFonts w:ascii="Calibri" w:hAnsi="Calibri" w:eastAsia="Calibri" w:cs="Calibri"/>
          <w:noProof w:val="0"/>
          <w:sz w:val="22"/>
          <w:szCs w:val="22"/>
          <w:lang w:val="en-US"/>
        </w:rPr>
        <w:t xml:space="preserve"> that a well-designed onboarding process plays a vital role in enterprise-wide software adoption and perceived service quality. Nevalainen (2024) studies a more specific arena of gamification of onboarding </w:t>
      </w:r>
      <w:r w:rsidRPr="56C166C4" w:rsidR="7754286F">
        <w:rPr>
          <w:rFonts w:ascii="Calibri" w:hAnsi="Calibri" w:eastAsia="Calibri" w:cs="Calibri"/>
          <w:noProof w:val="0"/>
          <w:sz w:val="22"/>
          <w:szCs w:val="22"/>
          <w:lang w:val="en-US"/>
        </w:rPr>
        <w:t>design;</w:t>
      </w:r>
      <w:r w:rsidRPr="56C166C4" w:rsidR="7754286F">
        <w:rPr>
          <w:rFonts w:ascii="Calibri" w:hAnsi="Calibri" w:eastAsia="Calibri" w:cs="Calibri"/>
          <w:noProof w:val="0"/>
          <w:sz w:val="22"/>
          <w:szCs w:val="22"/>
          <w:lang w:val="en-US"/>
        </w:rPr>
        <w:t xml:space="preserve"> the intuitive structure has been </w:t>
      </w:r>
      <w:r w:rsidRPr="56C166C4" w:rsidR="7754286F">
        <w:rPr>
          <w:rFonts w:ascii="Calibri" w:hAnsi="Calibri" w:eastAsia="Calibri" w:cs="Calibri"/>
          <w:noProof w:val="0"/>
          <w:sz w:val="22"/>
          <w:szCs w:val="22"/>
          <w:lang w:val="en-US"/>
        </w:rPr>
        <w:t>observed</w:t>
      </w:r>
      <w:r w:rsidRPr="56C166C4" w:rsidR="7754286F">
        <w:rPr>
          <w:rFonts w:ascii="Calibri" w:hAnsi="Calibri" w:eastAsia="Calibri" w:cs="Calibri"/>
          <w:noProof w:val="0"/>
          <w:sz w:val="22"/>
          <w:szCs w:val="22"/>
          <w:lang w:val="en-US"/>
        </w:rPr>
        <w:t xml:space="preserve"> in improving user engagement and retention. A 2024 study on the development of Salesforce UX design strategy became a live example of considering UX strategy as a formal business goal-linked activity rather than an ad-hoc design task. </w:t>
      </w:r>
      <w:r w:rsidRPr="56C166C4" w:rsidR="7754286F">
        <w:rPr>
          <w:rFonts w:ascii="Calibri" w:hAnsi="Calibri" w:eastAsia="Calibri" w:cs="Calibri"/>
          <w:noProof w:val="0"/>
          <w:sz w:val="22"/>
          <w:szCs w:val="22"/>
          <w:lang w:val="en-US"/>
        </w:rPr>
        <w:t>It reinforces that usability improvements are expected to drive measurable adoption outcomes.</w:t>
      </w:r>
      <w:r w:rsidRPr="56C166C4" w:rsidR="7754286F">
        <w:rPr>
          <w:rFonts w:ascii="Calibri" w:hAnsi="Calibri" w:eastAsia="Calibri" w:cs="Calibri"/>
          <w:noProof w:val="0"/>
          <w:sz w:val="22"/>
          <w:szCs w:val="22"/>
          <w:lang w:val="en-US"/>
        </w:rPr>
        <w:t xml:space="preserve"> </w:t>
      </w:r>
    </w:p>
    <w:p w:rsidR="7754286F" w:rsidP="56C166C4" w:rsidRDefault="7754286F" w14:paraId="5F7DBAFB" w14:textId="5C7A9BA5">
      <w:pPr>
        <w:spacing w:before="0" w:beforeAutospacing="off" w:after="160" w:afterAutospacing="off" w:line="276" w:lineRule="auto"/>
      </w:pPr>
      <w:r w:rsidRPr="56C166C4" w:rsidR="7754286F">
        <w:rPr>
          <w:rFonts w:ascii="Calibri" w:hAnsi="Calibri" w:eastAsia="Calibri" w:cs="Calibri"/>
          <w:noProof w:val="0"/>
          <w:sz w:val="22"/>
          <w:szCs w:val="22"/>
          <w:lang w:val="en-US"/>
        </w:rPr>
        <w:t>Kauko’s (2025) PLG framework proposes its growth strategy through automation and self-service adoption mechanisms, which lowers friction to feature discovery and in turn could be cited as an extended NRR-oriented strategy too.</w:t>
      </w:r>
    </w:p>
    <w:p w:rsidR="00BB1A50" w:rsidP="20724B02" w:rsidRDefault="00BB1A50" w14:paraId="0817DC3F" w14:textId="077189C2">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2.4 Usability Measurement and Feature Adoption</w:t>
      </w:r>
    </w:p>
    <w:p w:rsidR="00BB1A50" w:rsidP="56C166C4" w:rsidRDefault="00BB1A50" w14:paraId="4F2F5D2D" w14:textId="3A5A1264">
      <w:pPr>
        <w:spacing w:before="0" w:beforeAutospacing="off" w:after="160" w:afterAutospacing="off" w:line="276" w:lineRule="auto"/>
      </w:pPr>
      <w:r w:rsidRPr="56C166C4" w:rsidR="3FDC2873">
        <w:rPr>
          <w:rFonts w:ascii="Calibri" w:hAnsi="Calibri" w:eastAsia="Calibri" w:cs="Calibri"/>
          <w:noProof w:val="0"/>
          <w:sz w:val="22"/>
          <w:szCs w:val="22"/>
          <w:lang w:val="en-US"/>
        </w:rPr>
        <w:t xml:space="preserve">The academic literature that measures usability is widely based on Nielsen’s heuristic evaluation framework, the System Usability Scale (SUS), and task-based metrics such as Time-on-Task and error rates. HCI research </w:t>
      </w:r>
      <w:r w:rsidRPr="56C166C4" w:rsidR="3FDC2873">
        <w:rPr>
          <w:rFonts w:ascii="Calibri" w:hAnsi="Calibri" w:eastAsia="Calibri" w:cs="Calibri"/>
          <w:noProof w:val="0"/>
          <w:sz w:val="22"/>
          <w:szCs w:val="22"/>
          <w:lang w:val="en-US"/>
        </w:rPr>
        <w:t>validates</w:t>
      </w:r>
      <w:r w:rsidRPr="56C166C4" w:rsidR="3FDC2873">
        <w:rPr>
          <w:rFonts w:ascii="Calibri" w:hAnsi="Calibri" w:eastAsia="Calibri" w:cs="Calibri"/>
          <w:noProof w:val="0"/>
          <w:sz w:val="22"/>
          <w:szCs w:val="22"/>
          <w:lang w:val="en-US"/>
        </w:rPr>
        <w:t xml:space="preserve"> these metrics to be reliable proxies for quality of user-system interaction. Norman </w:t>
      </w:r>
      <w:r w:rsidRPr="56C166C4" w:rsidR="3FDC2873">
        <w:rPr>
          <w:rFonts w:ascii="Calibri" w:hAnsi="Calibri" w:eastAsia="Calibri" w:cs="Calibri"/>
          <w:noProof w:val="0"/>
          <w:sz w:val="22"/>
          <w:szCs w:val="22"/>
          <w:lang w:val="en-US"/>
        </w:rPr>
        <w:t>establishes</w:t>
      </w:r>
      <w:r w:rsidRPr="56C166C4" w:rsidR="3FDC2873">
        <w:rPr>
          <w:rFonts w:ascii="Calibri" w:hAnsi="Calibri" w:eastAsia="Calibri" w:cs="Calibri"/>
          <w:noProof w:val="0"/>
          <w:sz w:val="22"/>
          <w:szCs w:val="22"/>
          <w:lang w:val="en-US"/>
        </w:rPr>
        <w:t xml:space="preserve"> how users can readily discover and execute system capabilities with the help of interface design quality, especially affordances, </w:t>
      </w:r>
      <w:r w:rsidRPr="56C166C4" w:rsidR="3FDC2873">
        <w:rPr>
          <w:rFonts w:ascii="Calibri" w:hAnsi="Calibri" w:eastAsia="Calibri" w:cs="Calibri"/>
          <w:noProof w:val="0"/>
          <w:sz w:val="22"/>
          <w:szCs w:val="22"/>
          <w:lang w:val="en-US"/>
        </w:rPr>
        <w:t>signifiers,</w:t>
      </w:r>
      <w:r w:rsidRPr="56C166C4" w:rsidR="3FDC2873">
        <w:rPr>
          <w:rFonts w:ascii="Calibri" w:hAnsi="Calibri" w:eastAsia="Calibri" w:cs="Calibri"/>
          <w:noProof w:val="0"/>
          <w:sz w:val="22"/>
          <w:szCs w:val="22"/>
          <w:lang w:val="en-US"/>
        </w:rPr>
        <w:t xml:space="preserve"> and feedback mechanisms.</w:t>
      </w:r>
    </w:p>
    <w:p w:rsidR="00BB1A50" w:rsidP="56C166C4" w:rsidRDefault="00BB1A50" w14:paraId="322ECEB0" w14:textId="0324204D">
      <w:pPr>
        <w:spacing w:before="0" w:beforeAutospacing="off" w:after="160" w:afterAutospacing="off" w:line="276" w:lineRule="auto"/>
      </w:pPr>
      <w:r w:rsidRPr="4CC705ED" w:rsidR="4CC705ED">
        <w:rPr>
          <w:rFonts w:ascii="Calibri" w:hAnsi="Calibri" w:eastAsia="Calibri" w:cs="Calibri"/>
          <w:noProof w:val="0"/>
          <w:sz w:val="22"/>
          <w:szCs w:val="22"/>
          <w:lang w:val="en-US"/>
        </w:rPr>
        <w:t xml:space="preserve">The primary indicator of effective usability is the </w:t>
      </w:r>
      <w:r w:rsidRPr="4CC705ED" w:rsidR="4CC705ED">
        <w:rPr>
          <w:rFonts w:ascii="Calibri" w:hAnsi="Calibri" w:eastAsia="Calibri" w:cs="Calibri"/>
          <w:noProof w:val="0"/>
          <w:sz w:val="22"/>
          <w:szCs w:val="22"/>
          <w:lang w:val="en-US"/>
        </w:rPr>
        <w:t>feature</w:t>
      </w:r>
      <w:r w:rsidRPr="4CC705ED" w:rsidR="4CC705ED">
        <w:rPr>
          <w:rFonts w:ascii="Calibri" w:hAnsi="Calibri" w:eastAsia="Calibri" w:cs="Calibri"/>
          <w:noProof w:val="0"/>
          <w:sz w:val="22"/>
          <w:szCs w:val="22"/>
          <w:lang w:val="en-US"/>
        </w:rPr>
        <w:t xml:space="preserve"> adoption among users. Factors like low friction and cognitively accessible interfaces </w:t>
      </w:r>
      <w:r w:rsidRPr="4CC705ED" w:rsidR="4CC705ED">
        <w:rPr>
          <w:rFonts w:ascii="Calibri" w:hAnsi="Calibri" w:eastAsia="Calibri" w:cs="Calibri"/>
          <w:noProof w:val="0"/>
          <w:sz w:val="22"/>
          <w:szCs w:val="22"/>
          <w:lang w:val="en-US"/>
        </w:rPr>
        <w:t>eliminate</w:t>
      </w:r>
      <w:r w:rsidRPr="4CC705ED" w:rsidR="4CC705ED">
        <w:rPr>
          <w:rFonts w:ascii="Calibri" w:hAnsi="Calibri" w:eastAsia="Calibri" w:cs="Calibri"/>
          <w:noProof w:val="0"/>
          <w:sz w:val="22"/>
          <w:szCs w:val="22"/>
          <w:lang w:val="en-US"/>
        </w:rPr>
        <w:t xml:space="preserve"> psychological barriers to feature discovery and </w:t>
      </w:r>
      <w:r w:rsidRPr="4CC705ED" w:rsidR="4CC705ED">
        <w:rPr>
          <w:rFonts w:ascii="Calibri" w:hAnsi="Calibri" w:eastAsia="Calibri" w:cs="Calibri"/>
          <w:noProof w:val="0"/>
          <w:sz w:val="22"/>
          <w:szCs w:val="22"/>
          <w:lang w:val="en-US"/>
        </w:rPr>
        <w:t>utilization</w:t>
      </w:r>
      <w:r w:rsidRPr="4CC705ED" w:rsidR="4CC705ED">
        <w:rPr>
          <w:rFonts w:ascii="Calibri" w:hAnsi="Calibri" w:eastAsia="Calibri" w:cs="Calibri"/>
          <w:noProof w:val="0"/>
          <w:sz w:val="22"/>
          <w:szCs w:val="22"/>
          <w:lang w:val="en-US"/>
        </w:rPr>
        <w:t xml:space="preserve">. Hochman and Aral (2015) </w:t>
      </w:r>
      <w:r w:rsidRPr="4CC705ED" w:rsidR="4CC705ED">
        <w:rPr>
          <w:rFonts w:ascii="Calibri" w:hAnsi="Calibri" w:eastAsia="Calibri" w:cs="Calibri"/>
          <w:noProof w:val="0"/>
          <w:sz w:val="22"/>
          <w:szCs w:val="22"/>
          <w:lang w:val="en-US"/>
        </w:rPr>
        <w:t>established</w:t>
      </w:r>
      <w:r w:rsidRPr="4CC705ED" w:rsidR="4CC705ED">
        <w:rPr>
          <w:rFonts w:ascii="Calibri" w:hAnsi="Calibri" w:eastAsia="Calibri" w:cs="Calibri"/>
          <w:noProof w:val="0"/>
          <w:sz w:val="22"/>
          <w:szCs w:val="22"/>
          <w:lang w:val="en-US"/>
        </w:rPr>
        <w:t xml:space="preserve"> that one of the leading </w:t>
      </w:r>
      <w:r w:rsidRPr="4CC705ED" w:rsidR="4CC705ED">
        <w:rPr>
          <w:rFonts w:ascii="Calibri" w:hAnsi="Calibri" w:eastAsia="Calibri" w:cs="Calibri"/>
          <w:noProof w:val="0"/>
          <w:sz w:val="22"/>
          <w:szCs w:val="22"/>
          <w:lang w:val="en-US"/>
        </w:rPr>
        <w:t>predictors</w:t>
      </w:r>
      <w:r w:rsidRPr="4CC705ED" w:rsidR="4CC705ED">
        <w:rPr>
          <w:rFonts w:ascii="Calibri" w:hAnsi="Calibri" w:eastAsia="Calibri" w:cs="Calibri"/>
          <w:noProof w:val="0"/>
          <w:sz w:val="22"/>
          <w:szCs w:val="22"/>
          <w:lang w:val="en-US"/>
        </w:rPr>
        <w:t xml:space="preserve"> of account health in the B2B SaaS environments is feature adoption depth. Customers perceive higher value for the system leading to contract renewal rates and NRR. Reichheld and Sasser (1990) </w:t>
      </w:r>
      <w:r w:rsidRPr="4CC705ED" w:rsidR="4CC705ED">
        <w:rPr>
          <w:rFonts w:ascii="Calibri" w:hAnsi="Calibri" w:eastAsia="Calibri" w:cs="Calibri"/>
          <w:noProof w:val="0"/>
          <w:sz w:val="22"/>
          <w:szCs w:val="22"/>
          <w:lang w:val="en-US"/>
        </w:rPr>
        <w:t>indicate</w:t>
      </w:r>
      <w:r w:rsidRPr="4CC705ED" w:rsidR="4CC705ED">
        <w:rPr>
          <w:rFonts w:ascii="Calibri" w:hAnsi="Calibri" w:eastAsia="Calibri" w:cs="Calibri"/>
          <w:noProof w:val="0"/>
          <w:sz w:val="22"/>
          <w:szCs w:val="22"/>
          <w:lang w:val="en-US"/>
        </w:rPr>
        <w:t xml:space="preserve"> that small enhancements in retention rates produce disproportionate long-term profits.</w:t>
      </w:r>
    </w:p>
    <w:p w:rsidR="00BB1A50" w:rsidP="56C166C4" w:rsidRDefault="00BB1A50" w14:paraId="4E1EA0E5" w14:textId="74AA15E0">
      <w:pPr>
        <w:spacing w:before="0" w:beforeAutospacing="off" w:after="160" w:afterAutospacing="off" w:line="276" w:lineRule="auto"/>
      </w:pPr>
      <w:r w:rsidRPr="56C166C4" w:rsidR="3FDC2873">
        <w:rPr>
          <w:rFonts w:ascii="Calibri" w:hAnsi="Calibri" w:eastAsia="Calibri" w:cs="Calibri"/>
          <w:noProof w:val="0"/>
          <w:sz w:val="22"/>
          <w:szCs w:val="22"/>
          <w:lang w:val="en-US"/>
        </w:rPr>
        <w:t xml:space="preserve">De Oliveira et al. (2025) linked Customer Success to the ISO/IEC 25010 usability model. It introduced Component Usability Index (UCI) and Software usability Index (USI) as indicators of product usability and end user success. The study presents “usability heuristics” as a numeric, trackable score rather than qualitative judgement. </w:t>
      </w:r>
    </w:p>
    <w:p w:rsidR="00BB1A50" w:rsidP="56C166C4" w:rsidRDefault="00BB1A50" w14:paraId="462C3314" w14:textId="158C50CB">
      <w:pPr>
        <w:spacing w:before="0" w:beforeAutospacing="off" w:after="160" w:afterAutospacing="off" w:line="276" w:lineRule="auto"/>
      </w:pPr>
      <w:r w:rsidRPr="56C166C4" w:rsidR="3FDC2873">
        <w:rPr>
          <w:rFonts w:ascii="Calibri" w:hAnsi="Calibri" w:eastAsia="Calibri" w:cs="Calibri"/>
          <w:noProof w:val="0"/>
          <w:sz w:val="22"/>
          <w:szCs w:val="22"/>
          <w:lang w:val="en-US"/>
        </w:rPr>
        <w:t xml:space="preserve">Rajpurohit (2025) studies that a long TTV is a primary driver of early-stage churn. Sandstrom (2022) and </w:t>
      </w:r>
      <w:r w:rsidRPr="56C166C4" w:rsidR="3FDC2873">
        <w:rPr>
          <w:rFonts w:ascii="Calibri" w:hAnsi="Calibri" w:eastAsia="Calibri" w:cs="Calibri"/>
          <w:noProof w:val="0"/>
          <w:sz w:val="22"/>
          <w:szCs w:val="22"/>
          <w:lang w:val="en-US"/>
        </w:rPr>
        <w:t>Batumani</w:t>
      </w:r>
      <w:r w:rsidRPr="56C166C4" w:rsidR="3FDC2873">
        <w:rPr>
          <w:rFonts w:ascii="Calibri" w:hAnsi="Calibri" w:eastAsia="Calibri" w:cs="Calibri"/>
          <w:noProof w:val="0"/>
          <w:sz w:val="22"/>
          <w:szCs w:val="22"/>
          <w:lang w:val="en-US"/>
        </w:rPr>
        <w:t xml:space="preserve"> (2023) also </w:t>
      </w:r>
      <w:r w:rsidRPr="56C166C4" w:rsidR="3FDC2873">
        <w:rPr>
          <w:rFonts w:ascii="Calibri" w:hAnsi="Calibri" w:eastAsia="Calibri" w:cs="Calibri"/>
          <w:noProof w:val="0"/>
          <w:sz w:val="22"/>
          <w:szCs w:val="22"/>
          <w:lang w:val="en-US"/>
        </w:rPr>
        <w:t>back</w:t>
      </w:r>
      <w:r w:rsidRPr="56C166C4" w:rsidR="3FDC2873">
        <w:rPr>
          <w:rFonts w:ascii="Calibri" w:hAnsi="Calibri" w:eastAsia="Calibri" w:cs="Calibri"/>
          <w:noProof w:val="0"/>
          <w:sz w:val="22"/>
          <w:szCs w:val="22"/>
          <w:lang w:val="en-US"/>
        </w:rPr>
        <w:t xml:space="preserve"> up with their findings that a faster and better designed onboarding shortens the TTV and is explicitly found by both as a churn-prevention mechanism rather than just being a usability intervention.</w:t>
      </w:r>
    </w:p>
    <w:p w:rsidR="00BB1A50" w:rsidP="56C166C4" w:rsidRDefault="00BB1A50" w14:paraId="7748B00A" w14:textId="66C88C59">
      <w:pPr>
        <w:spacing w:before="0" w:beforeAutospacing="off" w:after="160" w:afterAutospacing="off" w:line="276" w:lineRule="auto"/>
      </w:pPr>
      <w:r w:rsidRPr="4CC705ED" w:rsidR="4CC705ED">
        <w:rPr>
          <w:rFonts w:ascii="Calibri" w:hAnsi="Calibri" w:eastAsia="Calibri" w:cs="Calibri"/>
          <w:noProof w:val="0"/>
          <w:sz w:val="22"/>
          <w:szCs w:val="22"/>
          <w:lang w:val="en-IN"/>
        </w:rPr>
        <w:t xml:space="preserve">Two literatures in this space </w:t>
      </w:r>
      <w:r w:rsidRPr="4CC705ED" w:rsidR="4CC705ED">
        <w:rPr>
          <w:rFonts w:ascii="Calibri" w:hAnsi="Calibri" w:eastAsia="Calibri" w:cs="Calibri"/>
          <w:noProof w:val="0"/>
          <w:sz w:val="22"/>
          <w:szCs w:val="22"/>
          <w:lang w:val="en-IN"/>
        </w:rPr>
        <w:t>indicate</w:t>
      </w:r>
      <w:r w:rsidRPr="4CC705ED" w:rsidR="4CC705ED">
        <w:rPr>
          <w:rFonts w:ascii="Calibri" w:hAnsi="Calibri" w:eastAsia="Calibri" w:cs="Calibri"/>
          <w:noProof w:val="0"/>
          <w:sz w:val="22"/>
          <w:szCs w:val="22"/>
          <w:lang w:val="en-IN"/>
        </w:rPr>
        <w:t xml:space="preserve"> a maturing methodological trend that the adoption-churn or adoption-NRR relationship in B2B SaaS is being modelled quantitatively and predictively rather than approached qualitatively. </w:t>
      </w:r>
      <w:r w:rsidRPr="4CC705ED" w:rsidR="4CC705ED">
        <w:rPr>
          <w:rFonts w:ascii="Calibri" w:hAnsi="Calibri" w:eastAsia="Calibri" w:cs="Calibri"/>
          <w:noProof w:val="0"/>
          <w:sz w:val="22"/>
          <w:szCs w:val="22"/>
          <w:lang w:val="en-IN"/>
        </w:rPr>
        <w:t>Several</w:t>
      </w:r>
      <w:r w:rsidRPr="4CC705ED" w:rsidR="4CC705ED">
        <w:rPr>
          <w:rFonts w:ascii="Calibri" w:hAnsi="Calibri" w:eastAsia="Calibri" w:cs="Calibri"/>
          <w:noProof w:val="0"/>
          <w:sz w:val="22"/>
          <w:szCs w:val="22"/>
          <w:lang w:val="en-IN"/>
        </w:rPr>
        <w:t xml:space="preserve"> methods that can be used to predict churn are Customer Lifetime Value prediction approach through empirical comparisons, AI-based analysis of customer </w:t>
      </w:r>
      <w:r w:rsidRPr="4CC705ED" w:rsidR="4CC705ED">
        <w:rPr>
          <w:rFonts w:ascii="Calibri" w:hAnsi="Calibri" w:eastAsia="Calibri" w:cs="Calibri"/>
          <w:noProof w:val="0"/>
          <w:sz w:val="22"/>
          <w:szCs w:val="22"/>
          <w:lang w:val="en-IN"/>
        </w:rPr>
        <w:t>behaviour</w:t>
      </w:r>
      <w:r w:rsidRPr="4CC705ED" w:rsidR="4CC705ED">
        <w:rPr>
          <w:rFonts w:ascii="Calibri" w:hAnsi="Calibri" w:eastAsia="Calibri" w:cs="Calibri"/>
          <w:noProof w:val="0"/>
          <w:sz w:val="22"/>
          <w:szCs w:val="22"/>
          <w:lang w:val="en-IN"/>
        </w:rPr>
        <w:t>, adoption and retention in the SaaS space applying K-Means clustering, evaluations using ROC-AUC</w:t>
      </w:r>
      <w:r w:rsidRPr="4CC705ED" w:rsidR="4CC705ED">
        <w:rPr>
          <w:rFonts w:ascii="Calibri" w:hAnsi="Calibri" w:eastAsia="Calibri" w:cs="Calibri"/>
          <w:noProof w:val="0"/>
          <w:sz w:val="22"/>
          <w:szCs w:val="22"/>
          <w:lang w:val="en-IN"/>
        </w:rPr>
        <w:t xml:space="preserve">.  </w:t>
      </w:r>
      <w:r w:rsidRPr="4CC705ED" w:rsidR="4CC705ED">
        <w:rPr>
          <w:rFonts w:ascii="Calibri" w:hAnsi="Calibri" w:eastAsia="Calibri" w:cs="Calibri"/>
          <w:noProof w:val="0"/>
          <w:sz w:val="22"/>
          <w:szCs w:val="22"/>
          <w:lang w:val="en-IN"/>
        </w:rPr>
        <w:t xml:space="preserve"> </w:t>
      </w:r>
      <w:r w:rsidRPr="4CC705ED" w:rsidR="4CC705ED">
        <w:rPr>
          <w:rFonts w:ascii="Calibri" w:hAnsi="Calibri" w:eastAsia="Calibri" w:cs="Calibri"/>
          <w:noProof w:val="0"/>
          <w:sz w:val="22"/>
          <w:szCs w:val="22"/>
          <w:lang w:val="en-IN"/>
        </w:rPr>
        <w:t xml:space="preserve"> </w:t>
      </w:r>
    </w:p>
    <w:p w:rsidR="00BB1A50" w:rsidP="20724B02" w:rsidRDefault="00BB1A50" w14:paraId="58F12647" w14:textId="30571AEB">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3. Research Gaps</w:t>
      </w:r>
    </w:p>
    <w:p w:rsidR="00BB1A50" w:rsidP="20724B02" w:rsidRDefault="00BB1A50" w14:paraId="4C66E33D" w14:textId="7845A8D6">
      <w:pPr>
        <w:spacing w:before="0" w:beforeAutospacing="off" w:after="200" w:afterAutospacing="off" w:line="276" w:lineRule="auto"/>
      </w:pPr>
      <w:r w:rsidRPr="20724B02" w:rsidR="0F0587F1">
        <w:rPr>
          <w:rFonts w:ascii="Calibri" w:hAnsi="Calibri" w:eastAsia="Calibri" w:cs="Calibri"/>
          <w:noProof w:val="0"/>
          <w:sz w:val="22"/>
          <w:szCs w:val="22"/>
          <w:lang w:val="en-US"/>
        </w:rPr>
        <w:t>Synthesising the four themes reviewed above against the empirical state of the B2B SaaS literature surfaces four specific gaps that this study is positioned to address</w:t>
      </w:r>
    </w:p>
    <w:p w:rsidR="00BB1A50" w:rsidP="20724B02" w:rsidRDefault="00BB1A50" w14:paraId="78D791E0" w14:textId="397FE56F">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 xml:space="preserve">Gap 1 — Magnitude of the B2B–Consumer Satisfaction Disparity is Under-Quantified. While the qualitative implications of the consumerization of IT have been explored extensively [3], rigorous quantitative research validating the magnitude of the resulting UX satisfaction gap between consumer and B2B platforms in standardised, comparable terms remains limited. Existing studies predominantly report findings from specific company contexts, constraining generalisability. </w:t>
      </w:r>
    </w:p>
    <w:p w:rsidR="00BB1A50" w:rsidP="20724B02" w:rsidRDefault="00BB1A50" w14:paraId="77586BA3" w14:textId="531A56B7">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Gap 2 — Quantitative Linkage Between Usability Metrics and Adoption is Under-Modelled. Although TAM [1, 9], CLT [8], and SUS [15] establish strong theoretical and instrument-level grounding for usability, the precise quantitative linkage between specific usability metrics—Time-on-Task, Engagement Score—and downstream feature adoption rates has not been rigorously modelled in the academic literature using both controlled-experimental and real-world telemetry data</w:t>
      </w:r>
    </w:p>
    <w:p w:rsidR="00BB1A50" w:rsidP="20724B02" w:rsidRDefault="00BB1A50" w14:paraId="2674084E" w14:textId="160453D6">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 xml:space="preserve">Gap 3 — Multi-Stage Empirical Framework Connecting UX to Macro Financial Outcomes is Absent. The connection from micro-level UX interactions to macro-level commercial outcomes (churn, regional revenue, NRR) is widely asserted in the PLG practitioner literature [7, 12, 16] but has not been validated end-to-end through a single, statistically integrated analytical framework using real product telemetry and financial records. </w:t>
      </w:r>
    </w:p>
    <w:p w:rsidR="00BB1A50" w:rsidP="20724B02" w:rsidRDefault="00BB1A50" w14:paraId="554B88D0" w14:textId="41D23FC3">
      <w:pPr>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 xml:space="preserve">Gap 4 — Survival-Analysis Methodology is Under-Applied to SaaS Customer Lifecycle Data. Survival models—Kaplan-Meier estimators [4] and Cox Proportional Hazards regression [11]—originated and remain dominant in biostatistics and clinical research. Their application to SaaS customer lifecycle analysis is limited despite obvious structural parallels (right-censored time-to-event data; covariates with proportional hazards). This represents a methodological gap as much as an empirical one. </w:t>
      </w:r>
    </w:p>
    <w:p w:rsidR="00BB1A50" w:rsidP="20724B02" w:rsidRDefault="00BB1A50" w14:paraId="30994069" w14:textId="623CF71F">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48B28BED" w14:textId="6A161107">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 xml:space="preserve">2.5 Theoretical Underpinnings </w:t>
      </w:r>
    </w:p>
    <w:p w:rsidR="00BB1A50" w:rsidP="20724B02" w:rsidRDefault="00BB1A50" w14:paraId="59FEC709" w14:textId="287FB713">
      <w:pPr>
        <w:spacing w:before="0" w:beforeAutospacing="off" w:after="200" w:afterAutospacing="off" w:line="276" w:lineRule="auto"/>
      </w:pPr>
      <w:r w:rsidRPr="20724B02" w:rsidR="0F0587F1">
        <w:rPr>
          <w:rFonts w:ascii="Calibri" w:hAnsi="Calibri" w:eastAsia="Calibri" w:cs="Calibri"/>
          <w:noProof w:val="0"/>
          <w:sz w:val="22"/>
          <w:szCs w:val="22"/>
          <w:lang w:val="en-US"/>
        </w:rPr>
        <w:t>This research is grounded in and informed by established theoretical frameworks from Information Systems (IS), Human-Computer Interaction (HCI), and strategic management. These frameworks provide the conceptual scaffolding for the causal model tested in this study and contextualise empirical findings within established academic traditions.</w:t>
      </w:r>
    </w:p>
    <w:p w:rsidR="00BB1A50" w:rsidP="20724B02" w:rsidRDefault="00BB1A50" w14:paraId="4626D4AD" w14:textId="7FAE2EC7">
      <w:pPr>
        <w:spacing w:before="0" w:beforeAutospacing="off" w:after="200" w:afterAutospacing="off" w:line="276" w:lineRule="auto"/>
      </w:pPr>
      <w:r w:rsidRPr="20724B02" w:rsidR="0F0587F1">
        <w:rPr>
          <w:rFonts w:ascii="Calibri" w:hAnsi="Calibri" w:eastAsia="Calibri" w:cs="Calibri"/>
          <w:noProof w:val="0"/>
          <w:sz w:val="22"/>
          <w:szCs w:val="22"/>
          <w:lang w:val="en-US"/>
        </w:rPr>
        <w:t>Technology Acceptance Model (TAM). Davis (1989) [1] proposed TAM as the foundational model explaining how users come to adopt and use information technology. TAM posits that Perceived Ease of Use (PEOU) and Perceived Usefulness (PU) are the two primary determinants of behavioural intention to use a system. In the present study, Time-on-Task serves as an operational measure of PEOU (low task completion time signaling ease of use), while Engagement_Score operationalises a composite measure of PU. Venkatesh et al. (2003) [9] extended TAM into UTAUT, incorporating social influence and facilitating conditions as additional adoption drivers, further supporting the multi-dimensional conception of usability employed here.</w:t>
      </w:r>
    </w:p>
    <w:p w:rsidR="00BB1A50" w:rsidP="20724B02" w:rsidRDefault="00BB1A50" w14:paraId="024EACF5" w14:textId="4027A5AA">
      <w:pPr>
        <w:spacing w:before="0" w:beforeAutospacing="off" w:after="200" w:afterAutospacing="off" w:line="276" w:lineRule="auto"/>
      </w:pPr>
      <w:r w:rsidRPr="20724B02" w:rsidR="0F0587F1">
        <w:rPr>
          <w:rFonts w:ascii="Calibri" w:hAnsi="Calibri" w:eastAsia="Calibri" w:cs="Calibri"/>
          <w:noProof w:val="0"/>
          <w:sz w:val="22"/>
          <w:szCs w:val="22"/>
          <w:lang w:val="en-US"/>
        </w:rPr>
        <w:t>Cognitive Load Theory (CLT). Sweller (1988) [8] established that the cognitive system has finite processing capacity, and that extraneous cognitive load—imposed by poorly structured interface designs, inconsistent navigation patterns, and manual-intensive workflows—directly diminishes performance on primary tasks. CLT provides the mechanism connecting interface complexity to the efficiency deficit observed in the A/B experimental data: high-friction UI designs impose extraneous cognitive load, increasing Time-on-Task and reducing the probability of feature adoption.</w:t>
      </w:r>
    </w:p>
    <w:p w:rsidR="00BB1A50" w:rsidP="20724B02" w:rsidRDefault="00BB1A50" w14:paraId="7514AD29" w14:textId="2BAE460A">
      <w:pPr>
        <w:spacing w:before="0" w:beforeAutospacing="off" w:after="200" w:afterAutospacing="off" w:line="276" w:lineRule="auto"/>
      </w:pPr>
      <w:r w:rsidRPr="20724B02" w:rsidR="0F0587F1">
        <w:rPr>
          <w:rFonts w:ascii="Calibri" w:hAnsi="Calibri" w:eastAsia="Calibri" w:cs="Calibri"/>
          <w:noProof w:val="0"/>
          <w:sz w:val="22"/>
          <w:szCs w:val="22"/>
          <w:lang w:val="en-US"/>
        </w:rPr>
        <w:t>Theory of Reasoned Action (TRA) and Behavioural Antecedents. Fishbein and Ajzen (1975) [2] established that behavioural intention—the immediate antecedent of actual behaviour—is shaped by attitudes and subjective norms. In the SaaS adoption context, user attitudes toward a platform (shaped by usability experience) directly influence the behavioural intention to adopt and regularly use product features. This theoretical link grounds the logistic regression models associated with H2.</w:t>
      </w:r>
    </w:p>
    <w:p w:rsidR="00BB1A50" w:rsidP="20724B02" w:rsidRDefault="00BB1A50" w14:paraId="5A54E440" w14:textId="56DDE9D8">
      <w:pPr>
        <w:spacing w:before="0" w:beforeAutospacing="off" w:after="200" w:afterAutospacing="off" w:line="276" w:lineRule="auto"/>
      </w:pPr>
      <w:r w:rsidRPr="20724B02" w:rsidR="0F0587F1">
        <w:rPr>
          <w:rFonts w:ascii="Calibri" w:hAnsi="Calibri" w:eastAsia="Calibri" w:cs="Calibri"/>
          <w:noProof w:val="0"/>
          <w:sz w:val="22"/>
          <w:szCs w:val="22"/>
          <w:lang w:val="en-US"/>
        </w:rPr>
        <w:t>Causal Model and Synthesis. The overarching causal model proposed in this study synthesises these frameworks into a sequential behavioural chain:</w:t>
      </w:r>
    </w:p>
    <w:p w:rsidR="00BB1A50" w:rsidP="20724B02" w:rsidRDefault="00BB1A50" w14:paraId="383C7B05" w14:textId="38658FB8">
      <w:pPr>
        <w:spacing w:before="0" w:beforeAutospacing="off" w:after="200" w:afterAutospacing="off" w:line="276" w:lineRule="auto"/>
      </w:pPr>
      <w:r w:rsidRPr="20724B02" w:rsidR="0F0587F1">
        <w:rPr>
          <w:rFonts w:ascii="Calibri" w:hAnsi="Calibri" w:eastAsia="Calibri" w:cs="Calibri"/>
          <w:noProof w:val="0"/>
          <w:sz w:val="22"/>
          <w:szCs w:val="22"/>
          <w:lang w:val="en-US"/>
        </w:rPr>
        <w:t>UX Quality → Perceived Ease of Use (CLT/TAM) → Behavioural Intention (TRA) → Feature Adoption → Business Outcome (NRR/Churn Reduction)</w:t>
      </w:r>
    </w:p>
    <w:p w:rsidR="00BB1A50" w:rsidP="20724B02" w:rsidRDefault="00BB1A50" w14:paraId="493375CA" w14:textId="77372CE9">
      <w:pPr>
        <w:spacing w:before="0" w:beforeAutospacing="off" w:after="200" w:afterAutospacing="off" w:line="276" w:lineRule="auto"/>
      </w:pPr>
      <w:r w:rsidRPr="20724B02" w:rsidR="0F0587F1">
        <w:rPr>
          <w:rFonts w:ascii="Calibri" w:hAnsi="Calibri" w:eastAsia="Calibri" w:cs="Calibri"/>
          <w:noProof w:val="0"/>
          <w:sz w:val="22"/>
          <w:szCs w:val="22"/>
          <w:lang w:val="en-US"/>
        </w:rPr>
        <w:t>This model extends TAM by operationalising each node with measurable empirical variables and connecting behavioural outcomes to firm financial performance —a linkage that TAM itself does not explicitly address. The empirical findings in this study are interpreted within this theoretical chain throughout the analysis.</w:t>
      </w:r>
    </w:p>
    <w:p w:rsidR="00BB1A50" w:rsidP="20724B02" w:rsidRDefault="00BB1A50" w14:paraId="58BDBB91" w14:textId="33DEDCC5">
      <w:pPr>
        <w:spacing w:before="0" w:beforeAutospacing="off" w:after="200" w:afterAutospacing="off" w:line="276" w:lineRule="auto"/>
      </w:pPr>
      <w:r w:rsidRPr="20724B02" w:rsidR="0F0587F1">
        <w:rPr>
          <w:rFonts w:ascii="Calibri" w:hAnsi="Calibri" w:eastAsia="Calibri" w:cs="Calibri"/>
          <w:noProof w:val="0"/>
          <w:sz w:val="22"/>
          <w:szCs w:val="22"/>
          <w:lang w:val="en-US"/>
        </w:rPr>
        <w:t>Product-Led Growth (PLG) as Applied Framework. Beyond the academic theoretical foundations, this study also draws on the applied strategic framework of Product-Led Growth (PLG), articulated by OpenView Partners [7]. PLG operationalises the TAM construct of "Perceived Usefulness" at an organisational level: a product that delivers immediate, self-evident value to users reduces the friction associated with adoption decisions and minimises reliance on external sales resources. The PLG model has been successfully implemented by companies such as Atlassian, Zoom, and HubSpot, each of which prioritised UX and time-to-value as primary commercial levers rather than traditional top-down enterprise sales motions. This study provides empirical grounding for the PLG hypothesis within a B2B SaaS context by connecting UX quality metrics directly to the financial outcomes (NRR, churn rate) that PLG practitioners cite as the model's primary commercial justification.</w:t>
      </w:r>
    </w:p>
    <w:p w:rsidR="00BB1A50" w:rsidP="20724B02" w:rsidRDefault="00BB1A50" w14:paraId="48556380" w14:textId="6011D450">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Design Principles and Affordance Theory. Norman (2013) [14] extended the theoretical vocabulary of interface interaction through the concepts of affordances, signifiers, feedback, and mappings. A well-designed interface communicates its available actions clearly (signifiers), provides immediate feedback on user inputs (feedback), and organises controls in ways that correspond intuitively to the user's mental model of the task (mapping). When these design principles are violated—as is frequently the case in feature-dense enterprise software developed without iterative user testing—users experience heightened cognitive load [8], increased time-on-task, and reduced confidence in task completion. </w:t>
      </w:r>
    </w:p>
    <w:p w:rsidR="00BB1A50" w:rsidP="20724B02" w:rsidRDefault="00BB1A50" w14:paraId="357636D5" w14:textId="50FEB498">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9461195" w14:textId="6D52F82D">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5. Problem Definition</w:t>
      </w:r>
    </w:p>
    <w:p w:rsidR="00BB1A50" w:rsidP="20724B02" w:rsidRDefault="00BB1A50" w14:paraId="69D30525" w14:textId="620CBB23">
      <w:pPr>
        <w:spacing w:before="0" w:beforeAutospacing="off" w:after="200" w:afterAutospacing="off" w:line="276" w:lineRule="auto"/>
      </w:pPr>
      <w:r w:rsidRPr="20724B02" w:rsidR="0F0587F1">
        <w:rPr>
          <w:rFonts w:ascii="Calibri" w:hAnsi="Calibri" w:eastAsia="Calibri" w:cs="Calibri"/>
          <w:noProof w:val="0"/>
          <w:sz w:val="22"/>
          <w:szCs w:val="22"/>
          <w:lang w:val="en-US"/>
        </w:rPr>
        <w:t>The fundamental problem addressed by this research originates from the historical disconnect between the development priorities of B2B SaaS vendors and the evolving operational needs of their end-users [3] (Section 2.1). Enterprise software has traditionally been procured by executive decision-makers rather than the individuals who use the software daily. This dynamic incentivised vendors to prioritise feature checklists and integration depth that appealed to buyers, often at the expense of the end-user experience [3].</w:t>
      </w:r>
    </w:p>
    <w:p w:rsidR="00BB1A50" w:rsidP="20724B02" w:rsidRDefault="00BB1A50" w14:paraId="02145013" w14:textId="794EBF02">
      <w:pPr>
        <w:spacing w:before="0" w:beforeAutospacing="off" w:after="200" w:afterAutospacing="off" w:line="276" w:lineRule="auto"/>
      </w:pPr>
      <w:r w:rsidRPr="20724B02" w:rsidR="0F0587F1">
        <w:rPr>
          <w:rFonts w:ascii="Calibri" w:hAnsi="Calibri" w:eastAsia="Calibri" w:cs="Calibri"/>
          <w:noProof w:val="0"/>
          <w:sz w:val="22"/>
          <w:szCs w:val="22"/>
          <w:lang w:val="en-US"/>
        </w:rPr>
        <w:t>This misalignment has manifested in several notable operational challenges. Most notably, it produces the "shelf-ware" phenomenon—organisations purchase expensive software licenses but experience low internal adoption rates due to platform complexity [12] (Section 2.4). Low feature adoption is a leading indicator of customer dissatisfaction. When end-users find a platform cumbersome, they avoid it, circumvent its workflows, or revert to legacy processes. In a subscription-based business model, this disengagement reduces perceived value and substantially increases churn probability at the point of renewal [12, 16] (Section 2.4).</w:t>
      </w:r>
    </w:p>
    <w:p w:rsidR="00BB1A50" w:rsidP="20724B02" w:rsidRDefault="00BB1A50" w14:paraId="6A9FFEED" w14:textId="37775054">
      <w:pPr>
        <w:spacing w:before="0" w:beforeAutospacing="off" w:after="200" w:afterAutospacing="off" w:line="276" w:lineRule="auto"/>
      </w:pPr>
      <w:r w:rsidRPr="20724B02" w:rsidR="0F0587F1">
        <w:rPr>
          <w:rFonts w:ascii="Calibri" w:hAnsi="Calibri" w:eastAsia="Calibri" w:cs="Calibri"/>
          <w:noProof w:val="0"/>
          <w:sz w:val="22"/>
          <w:szCs w:val="22"/>
          <w:lang w:val="en-US"/>
        </w:rPr>
        <w:t>The challenge lies in quantifying precisely how poor usability affects SaaS commercial performance and, conversely, what economic gains accrue from UX improvement. The industry requires empirical evidence that complex, manual-heavy workflows are not merely user inconveniences but measurable commercial liabilities that suppress adoption and negatively affect NRR [7, 16] (Sections 2.3 and 2.4). The research stratifies this problem into three measurable gaps:</w:t>
      </w:r>
    </w:p>
    <w:p w:rsidR="00BB1A50" w:rsidP="20724B02" w:rsidRDefault="00BB1A50" w14:paraId="3A440BDA" w14:textId="62CCC15E">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5.1 The Expectation Gap</w:t>
      </w:r>
    </w:p>
    <w:p w:rsidR="00BB1A50" w:rsidP="20724B02" w:rsidRDefault="00BB1A50" w14:paraId="21C8DEA4" w14:textId="2944D5F8">
      <w:pPr>
        <w:spacing w:before="0" w:beforeAutospacing="off" w:after="200" w:afterAutospacing="off" w:line="276" w:lineRule="auto"/>
      </w:pPr>
      <w:r w:rsidRPr="20724B02" w:rsidR="0F0587F1">
        <w:rPr>
          <w:rFonts w:ascii="Calibri" w:hAnsi="Calibri" w:eastAsia="Calibri" w:cs="Calibri"/>
          <w:noProof w:val="0"/>
          <w:sz w:val="22"/>
          <w:szCs w:val="22"/>
          <w:lang w:val="en-US"/>
        </w:rPr>
        <w:t>There exists a substantial and growing disparity between the seamless experiences users have with consumer technologies (benchmarked through indices such as ACSI [10]) and the complex realities of current B2B SaaS platforms [3] (Sections 2.2 and 2.4). Quantifying the magnitude of this gap is essential to establishing the urgency of UX modernisation in enterprise software.</w:t>
      </w:r>
    </w:p>
    <w:p w:rsidR="00BB1A50" w:rsidP="20724B02" w:rsidRDefault="00BB1A50" w14:paraId="344E1EF4" w14:textId="1BCE782E">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5.2 The Adoption Gap</w:t>
      </w:r>
    </w:p>
    <w:p w:rsidR="00BB1A50" w:rsidP="20724B02" w:rsidRDefault="00BB1A50" w14:paraId="24DE572D" w14:textId="532D0C5D">
      <w:pPr>
        <w:spacing w:before="0" w:beforeAutospacing="off" w:after="200" w:afterAutospacing="off" w:line="276" w:lineRule="auto"/>
      </w:pPr>
      <w:r w:rsidRPr="20724B02" w:rsidR="0F0587F1">
        <w:rPr>
          <w:rFonts w:ascii="Calibri" w:hAnsi="Calibri" w:eastAsia="Calibri" w:cs="Calibri"/>
          <w:noProof w:val="0"/>
          <w:sz w:val="22"/>
          <w:szCs w:val="22"/>
          <w:lang w:val="en-US"/>
        </w:rPr>
        <w:t>A commercially significant disconnect exists between the availability of a feature and its actual utilization by the user base [12] (Section 2.4). This study seeks to demonstrate that usability—measured by engagement scores and time-to-completion, drawing on TAM-aligned operationalisations [1, 9] and Nielsen-style task metrics [6, 15]—is the primary bridge across this gap, and to quantify the mathematical consequence of interface friction on user onboarding.</w:t>
      </w:r>
    </w:p>
    <w:p w:rsidR="00BB1A50" w:rsidP="20724B02" w:rsidRDefault="00BB1A50" w14:paraId="5CE1E637" w14:textId="4F9D6131">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5.3 The Value Gap</w:t>
      </w:r>
    </w:p>
    <w:p w:rsidR="00BB1A50" w:rsidP="20724B02" w:rsidRDefault="00BB1A50" w14:paraId="53077C90" w14:textId="04BEC249">
      <w:pPr>
        <w:spacing w:before="0" w:beforeAutospacing="off" w:after="200" w:afterAutospacing="off" w:line="276" w:lineRule="auto"/>
      </w:pPr>
      <w:r w:rsidRPr="20724B02" w:rsidR="0F0587F1">
        <w:rPr>
          <w:rFonts w:ascii="Calibri" w:hAnsi="Calibri" w:eastAsia="Calibri" w:cs="Calibri"/>
          <w:noProof w:val="0"/>
          <w:sz w:val="22"/>
          <w:szCs w:val="22"/>
          <w:lang w:val="en-US"/>
        </w:rPr>
        <w:t>The ultimate business problem is the relationship between product engagement and financial performance [7, 16] (Sections 2.3 and 2.4). This study tests whether high feature engagement and broad adoption definitively yield longer customer lifespans (lower churn hazard) and stronger regional financial performance.</w:t>
      </w:r>
    </w:p>
    <w:p w:rsidR="00BB1A50" w:rsidP="20724B02" w:rsidRDefault="00BB1A50" w14:paraId="1F8FDEF4" w14:textId="472BF4C0">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14771AF5" w14:textId="5E86A2A2">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6. Research Questions and Hypotheses</w:t>
      </w:r>
    </w:p>
    <w:p w:rsidR="00BB1A50" w:rsidP="20724B02" w:rsidRDefault="00BB1A50" w14:paraId="0B3BB3AA" w14:textId="46089E66">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This study is organised around three interconnected research questions, each designed to illuminate the specific conceptual causal chain. </w:t>
      </w:r>
    </w:p>
    <w:p w:rsidR="00BB1A50" w:rsidP="20724B02" w:rsidRDefault="00BB1A50" w14:paraId="1A864743" w14:textId="72E90D8D">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6.1 Research Questions</w:t>
      </w:r>
    </w:p>
    <w:p w:rsidR="00BB1A50" w:rsidP="20724B02" w:rsidRDefault="00BB1A50" w14:paraId="09951C16" w14:textId="37B718DC">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RQ1 (Expectation Gap): Is there a statistically significant and economically meaningful difference in user satisfaction between B2B SaaS platforms and consumer software platforms?</w:t>
      </w:r>
    </w:p>
    <w:p w:rsidR="00BB1A50" w:rsidP="20724B02" w:rsidRDefault="00BB1A50" w14:paraId="7450547B" w14:textId="3EA773C3">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RQ2 (Usability-Adoption Link): Does superior usability—operationalised via lower Time-on-Task and higher Engagement Scores—exhibit a statistically significant positive association with feature adoption rates?</w:t>
      </w:r>
    </w:p>
    <w:p w:rsidR="00BB1A50" w:rsidP="20724B02" w:rsidRDefault="00BB1A50" w14:paraId="70235E39" w14:textId="761069DA">
      <w:pPr>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RQ3 (Business Impact): Do users with higher feature adoption rates exhibit lower churn hazard and drive greater regional revenue performance compared to non-adopter cohorts?</w:t>
      </w:r>
    </w:p>
    <w:p w:rsidR="00BB1A50" w:rsidP="20724B02" w:rsidRDefault="00BB1A50" w14:paraId="6F8F9106" w14:textId="61ABFC3A">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6.2 Hypotheses</w:t>
      </w:r>
    </w:p>
    <w:p w:rsidR="00BB1A50" w:rsidP="20724B02" w:rsidRDefault="00BB1A50" w14:paraId="0ABB5907" w14:textId="7440D907">
      <w:pPr>
        <w:spacing w:before="0" w:beforeAutospacing="off" w:after="200" w:afterAutospacing="off" w:line="276" w:lineRule="auto"/>
      </w:pPr>
      <w:r w:rsidRPr="20724B02" w:rsidR="0F0587F1">
        <w:rPr>
          <w:rFonts w:ascii="Arial" w:hAnsi="Arial" w:eastAsia="Arial" w:cs="Arial"/>
          <w:noProof w:val="0"/>
          <w:sz w:val="22"/>
          <w:szCs w:val="22"/>
          <w:lang w:val="en-US"/>
        </w:rPr>
        <w:t>These above research questions are translated into hypotheses for the purpose of empirical assessment.</w:t>
      </w:r>
    </w:p>
    <w:p w:rsidR="00BB1A50" w:rsidP="20724B02" w:rsidRDefault="00BB1A50" w14:paraId="666DB43B" w14:textId="27BB0557">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H1 (Expectation Gap Hypothesis): B2B SaaS platforms have lower user satisfaction compared to B2C software.</w:t>
      </w:r>
    </w:p>
    <w:p w:rsidR="00BB1A50" w:rsidP="20724B02" w:rsidRDefault="00BB1A50" w14:paraId="5CE660F1" w14:textId="470C8BDA">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H2 (Usability-Adoption Hypothesis): Intuitive features have higher adoption rates than manual-heavy features.</w:t>
      </w:r>
    </w:p>
    <w:p w:rsidR="00BB1A50" w:rsidP="20724B02" w:rsidRDefault="00BB1A50" w14:paraId="41DBBB7F" w14:textId="3340A46B">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H3A (Adoption-Churn Hypothesis): Higher adoption rates lead to lower customer churn</w:t>
      </w:r>
    </w:p>
    <w:p w:rsidR="00BB1A50" w:rsidP="20724B02" w:rsidRDefault="00BB1A50" w14:paraId="1221606E" w14:textId="34058CFB">
      <w:pPr>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 xml:space="preserve">H3B (Adoption-Revenue Hypothesis): Higher adoption rates lead to higher revenue growth, </w:t>
      </w:r>
    </w:p>
    <w:p w:rsidR="00BB1A50" w:rsidP="20724B02" w:rsidRDefault="00BB1A50" w14:paraId="7701D01D" w14:textId="1A07BB77">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CF4B65A" w14:textId="1AB7DC1E">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7. Dataset Description</w:t>
      </w:r>
    </w:p>
    <w:p w:rsidR="00BB1A50" w:rsidP="20724B02" w:rsidRDefault="00BB1A50" w14:paraId="7D84D3EE" w14:textId="6F26B0FC">
      <w:pPr>
        <w:spacing w:before="0" w:beforeAutospacing="off" w:after="200" w:afterAutospacing="off" w:line="276" w:lineRule="auto"/>
      </w:pPr>
      <w:r w:rsidRPr="20724B02" w:rsidR="0F0587F1">
        <w:rPr>
          <w:rFonts w:ascii="Calibri" w:hAnsi="Calibri" w:eastAsia="Calibri" w:cs="Calibri"/>
          <w:noProof w:val="0"/>
          <w:sz w:val="22"/>
          <w:szCs w:val="22"/>
          <w:lang w:val="en-US"/>
        </w:rPr>
        <w:t>To comprehensively analyse the sequential impact of usability on business outcomes, this study aggregates and integrates four specialised datasets. The complexity of modeling a causal chain from UI interactions to financial revenue requires data covering user sentiment, controlled experimental usage, real-world product engagement telemetry, and macro-financial metrics. Table 1 provides an overview of each dataset, mapped explicitly to the hypothesis it addresses, the conceptual study variables it operationalises, and the actual columns drawn from the source files.</w:t>
      </w:r>
    </w:p>
    <w:p w:rsidR="00BB1A50" w:rsidP="20724B02" w:rsidRDefault="00BB1A50" w14:paraId="52179039" w14:textId="10B7F187">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AFDA52B" w14:textId="5C44B678">
      <w:pPr>
        <w:spacing w:before="0" w:beforeAutospacing="off" w:after="200" w:afterAutospacing="off" w:line="276" w:lineRule="auto"/>
        <w:jc w:val="center"/>
      </w:pPr>
      <w:r w:rsidRPr="20724B02" w:rsidR="0F0587F1">
        <w:rPr>
          <w:rFonts w:ascii="Calibri" w:hAnsi="Calibri" w:eastAsia="Calibri" w:cs="Calibri"/>
          <w:b w:val="1"/>
          <w:bCs w:val="1"/>
          <w:noProof w:val="0"/>
          <w:sz w:val="20"/>
          <w:szCs w:val="20"/>
          <w:lang w:val="en-US"/>
        </w:rPr>
        <w:t>Table 1. Datasets Mapped to Hypotheses, Study Variables, Source Files and Dataset Variables</w:t>
      </w:r>
    </w:p>
    <w:tbl>
      <w:tblPr>
        <w:tblStyle w:val="TableGrid"/>
        <w:bidiVisual w:val="0"/>
        <w:tblW w:w="0" w:type="auto"/>
        <w:tblLook w:val="04A0" w:firstRow="1" w:lastRow="0" w:firstColumn="1" w:lastColumn="0" w:noHBand="0" w:noVBand="1"/>
      </w:tblPr>
      <w:tblGrid>
        <w:gridCol w:w="720"/>
        <w:gridCol w:w="2310"/>
        <w:gridCol w:w="2160"/>
        <w:gridCol w:w="2310"/>
        <w:gridCol w:w="2310"/>
      </w:tblGrid>
      <w:tr w:rsidR="20724B02" w:rsidTr="20724B02" w14:paraId="005432D5">
        <w:trPr>
          <w:trHeight w:val="300"/>
        </w:trPr>
        <w:tc>
          <w:tcPr>
            <w:tcW w:w="72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0D6C0DB0" w14:textId="1234CCC6">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H#</w:t>
            </w:r>
          </w:p>
        </w:tc>
        <w:tc>
          <w:tcPr>
            <w:tcW w:w="23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5AB41BC8" w14:textId="02C155C6">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Study Variables</w:t>
            </w:r>
          </w:p>
        </w:tc>
        <w:tc>
          <w:tcPr>
            <w:tcW w:w="216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2574C54D" w14:textId="572CE277">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Dataset</w:t>
            </w:r>
          </w:p>
        </w:tc>
        <w:tc>
          <w:tcPr>
            <w:tcW w:w="23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44392A25" w14:textId="594595C3">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Source Files</w:t>
            </w:r>
          </w:p>
        </w:tc>
        <w:tc>
          <w:tcPr>
            <w:tcW w:w="23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3F07D690" w14:textId="60FB0CC1">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Dataset Variables</w:t>
            </w:r>
          </w:p>
        </w:tc>
      </w:tr>
      <w:tr w:rsidR="20724B02" w:rsidTr="20724B02" w14:paraId="3B0C20D2">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7E53503B" w14:textId="63097FD1">
            <w:pPr>
              <w:spacing w:before="0" w:beforeAutospacing="off" w:after="0" w:afterAutospacing="off"/>
            </w:pPr>
            <w:r w:rsidRPr="20724B02" w:rsidR="20724B02">
              <w:rPr>
                <w:rFonts w:ascii="Calibri" w:hAnsi="Calibri" w:eastAsia="Calibri" w:cs="Calibri"/>
                <w:sz w:val="20"/>
                <w:szCs w:val="20"/>
                <w:lang w:val="en-US"/>
              </w:rPr>
              <w:t>H1</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3915BCAF" w14:textId="30628D59">
            <w:pPr>
              <w:spacing w:before="0" w:beforeAutospacing="off" w:after="0" w:afterAutospacing="off"/>
            </w:pPr>
            <w:r w:rsidRPr="20724B02" w:rsidR="20724B02">
              <w:rPr>
                <w:rFonts w:ascii="Calibri" w:hAnsi="Calibri" w:eastAsia="Calibri" w:cs="Calibri"/>
                <w:sz w:val="20"/>
                <w:szCs w:val="20"/>
                <w:lang w:val="en-US"/>
              </w:rPr>
              <w:t>User Satisfaction (B2B vs. Consumer); Net Promoter Score; Post-Task Confidence; Source-of-rating</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3CDF1683" w14:textId="256B3A0B">
            <w:pPr>
              <w:spacing w:before="0" w:beforeAutospacing="off" w:after="0" w:afterAutospacing="off"/>
            </w:pPr>
            <w:r w:rsidRPr="20724B02" w:rsidR="20724B02">
              <w:rPr>
                <w:rFonts w:ascii="Calibri" w:hAnsi="Calibri" w:eastAsia="Calibri" w:cs="Calibri"/>
                <w:sz w:val="20"/>
                <w:szCs w:val="20"/>
                <w:lang w:val="en-US"/>
              </w:rPr>
              <w:t>B2B Satisfaction &amp; ACSI Benchmark</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6A69906E" w14:textId="228FA034">
            <w:pPr>
              <w:spacing w:before="0" w:beforeAutospacing="off" w:after="0" w:afterAutospacing="off"/>
            </w:pPr>
            <w:r w:rsidRPr="20724B02" w:rsidR="20724B02">
              <w:rPr>
                <w:rFonts w:ascii="Calibri" w:hAnsi="Calibri" w:eastAsia="Calibri" w:cs="Calibri"/>
                <w:sz w:val="20"/>
                <w:szCs w:val="20"/>
                <w:lang w:val="en-US"/>
              </w:rPr>
              <w:t>b2b_satisfaction_data.csv; acsi_benchmark.csv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4E6DFCEE" w14:textId="0D09718C">
            <w:pPr>
              <w:spacing w:before="0" w:beforeAutospacing="off" w:after="0" w:afterAutospacing="off"/>
            </w:pPr>
            <w:r w:rsidRPr="20724B02" w:rsidR="20724B02">
              <w:rPr>
                <w:rFonts w:ascii="Calibri" w:hAnsi="Calibri" w:eastAsia="Calibri" w:cs="Calibri"/>
                <w:sz w:val="20"/>
                <w:szCs w:val="20"/>
                <w:lang w:val="en-US"/>
              </w:rPr>
              <w:t>Post_Task_Confidence (1–10), NPS, Satisfaction_Score, ACSI_Score (0–100), Is_B2B (binary)</w:t>
            </w:r>
          </w:p>
        </w:tc>
      </w:tr>
      <w:tr w:rsidR="20724B02" w:rsidTr="20724B02" w14:paraId="07305268">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6E22E200" w14:textId="194DF535">
            <w:pPr>
              <w:spacing w:before="0" w:beforeAutospacing="off" w:after="0" w:afterAutospacing="off"/>
            </w:pPr>
            <w:r w:rsidRPr="20724B02" w:rsidR="20724B02">
              <w:rPr>
                <w:rFonts w:ascii="Calibri" w:hAnsi="Calibri" w:eastAsia="Calibri" w:cs="Calibri"/>
                <w:sz w:val="20"/>
                <w:szCs w:val="20"/>
                <w:lang w:val="en-US"/>
              </w:rPr>
              <w:t>H2</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0AAA5F39" w14:textId="5B36FFFB">
            <w:pPr>
              <w:spacing w:before="0" w:beforeAutospacing="off" w:after="0" w:afterAutospacing="off"/>
            </w:pPr>
            <w:r w:rsidRPr="20724B02" w:rsidR="20724B02">
              <w:rPr>
                <w:rFonts w:ascii="Calibri" w:hAnsi="Calibri" w:eastAsia="Calibri" w:cs="Calibri"/>
                <w:sz w:val="20"/>
                <w:szCs w:val="20"/>
                <w:lang w:val="en-US"/>
              </w:rPr>
              <w:t>Usability (Time-on-Task); UI Condition (Manual vs. Intuitive); Engagement; Adoption Status</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376DA417" w14:textId="24734F6C">
            <w:pPr>
              <w:spacing w:before="0" w:beforeAutospacing="off" w:after="0" w:afterAutospacing="off"/>
            </w:pPr>
            <w:r w:rsidRPr="20724B02" w:rsidR="20724B02">
              <w:rPr>
                <w:rFonts w:ascii="Calibri" w:hAnsi="Calibri" w:eastAsia="Calibri" w:cs="Calibri"/>
                <w:sz w:val="20"/>
                <w:szCs w:val="20"/>
                <w:lang w:val="en-US"/>
              </w:rPr>
              <w:t>A/B UI Experiment + Feature Adoption Telemetry</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59808394" w14:textId="06F23366">
            <w:pPr>
              <w:spacing w:before="0" w:beforeAutospacing="off" w:after="0" w:afterAutospacing="off"/>
            </w:pPr>
            <w:r w:rsidRPr="20724B02" w:rsidR="20724B02">
              <w:rPr>
                <w:rFonts w:ascii="Calibri" w:hAnsi="Calibri" w:eastAsia="Calibri" w:cs="Calibri"/>
                <w:sz w:val="20"/>
                <w:szCs w:val="20"/>
                <w:lang w:val="en-US"/>
              </w:rPr>
              <w:t>Dataset_UI_Manual_Group.csv; Dataset_UI_No_Manual_Group.csv; feature_adoption_medium.csv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77257B11" w14:textId="27BB9191">
            <w:pPr>
              <w:spacing w:before="0" w:beforeAutospacing="off" w:after="0" w:afterAutospacing="off"/>
            </w:pPr>
            <w:r w:rsidRPr="20724B02" w:rsidR="20724B02">
              <w:rPr>
                <w:rFonts w:ascii="Calibri" w:hAnsi="Calibri" w:eastAsia="Calibri" w:cs="Calibri"/>
                <w:sz w:val="20"/>
                <w:szCs w:val="20"/>
                <w:lang w:val="en-US"/>
              </w:rPr>
              <w:t>Time_on_Task (sec), UI_Condition (Manual/Intuitive), Engagement_Score (0–100), Feature_Used (binary), Adopted (binary)</w:t>
            </w:r>
          </w:p>
        </w:tc>
      </w:tr>
      <w:tr w:rsidR="20724B02" w:rsidTr="20724B02" w14:paraId="3C0229E0">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1459077F" w14:textId="53D67E94">
            <w:pPr>
              <w:spacing w:before="0" w:beforeAutospacing="off" w:after="0" w:afterAutospacing="off"/>
            </w:pPr>
            <w:r w:rsidRPr="20724B02" w:rsidR="20724B02">
              <w:rPr>
                <w:rFonts w:ascii="Calibri" w:hAnsi="Calibri" w:eastAsia="Calibri" w:cs="Calibri"/>
                <w:sz w:val="20"/>
                <w:szCs w:val="20"/>
                <w:lang w:val="en-US"/>
              </w:rPr>
              <w:t>H3A</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5DFC2588" w14:textId="2B4E1F42">
            <w:pPr>
              <w:spacing w:before="0" w:beforeAutospacing="off" w:after="0" w:afterAutospacing="off"/>
            </w:pPr>
            <w:r w:rsidRPr="20724B02" w:rsidR="20724B02">
              <w:rPr>
                <w:rFonts w:ascii="Calibri" w:hAnsi="Calibri" w:eastAsia="Calibri" w:cs="Calibri"/>
                <w:sz w:val="20"/>
                <w:szCs w:val="20"/>
                <w:lang w:val="en-US"/>
              </w:rPr>
              <w:t>Adoption Status; Tenure; Churn Event; Engagement (covariate)</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32E8D558" w14:textId="72058AED">
            <w:pPr>
              <w:spacing w:before="0" w:beforeAutospacing="off" w:after="0" w:afterAutospacing="off"/>
            </w:pPr>
            <w:r w:rsidRPr="20724B02" w:rsidR="20724B02">
              <w:rPr>
                <w:rFonts w:ascii="Calibri" w:hAnsi="Calibri" w:eastAsia="Calibri" w:cs="Calibri"/>
                <w:sz w:val="20"/>
                <w:szCs w:val="20"/>
                <w:lang w:val="en-US"/>
              </w:rPr>
              <w:t>Feature Adoption &amp; Engagement Telemetry</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27ABF474" w14:textId="382FC5D9">
            <w:pPr>
              <w:spacing w:before="0" w:beforeAutospacing="off" w:after="0" w:afterAutospacing="off"/>
            </w:pPr>
            <w:r w:rsidRPr="20724B02" w:rsidR="20724B02">
              <w:rPr>
                <w:rFonts w:ascii="Calibri" w:hAnsi="Calibri" w:eastAsia="Calibri" w:cs="Calibri"/>
                <w:sz w:val="20"/>
                <w:szCs w:val="20"/>
                <w:lang w:val="en-US"/>
              </w:rPr>
              <w:t>feature_adoption_medium.csv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741F174C" w14:textId="7DC23790">
            <w:pPr>
              <w:spacing w:before="0" w:beforeAutospacing="off" w:after="0" w:afterAutospacing="off"/>
            </w:pPr>
            <w:r w:rsidRPr="20724B02" w:rsidR="20724B02">
              <w:rPr>
                <w:rFonts w:ascii="Calibri" w:hAnsi="Calibri" w:eastAsia="Calibri" w:cs="Calibri"/>
                <w:sz w:val="20"/>
                <w:szCs w:val="20"/>
                <w:lang w:val="en-US"/>
              </w:rPr>
              <w:t>Days_Since_Launch, Subscription_Status, Retention_Day_30, Is_Adopter, Engagement_Score, Tenure_Days, Churn_Event</w:t>
            </w:r>
          </w:p>
        </w:tc>
      </w:tr>
      <w:tr w:rsidR="20724B02" w:rsidTr="20724B02" w14:paraId="392164E7">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3B152ABB" w14:textId="34A33367">
            <w:pPr>
              <w:spacing w:before="0" w:beforeAutospacing="off" w:after="0" w:afterAutospacing="off"/>
            </w:pPr>
            <w:r w:rsidRPr="20724B02" w:rsidR="20724B02">
              <w:rPr>
                <w:rFonts w:ascii="Calibri" w:hAnsi="Calibri" w:eastAsia="Calibri" w:cs="Calibri"/>
                <w:sz w:val="20"/>
                <w:szCs w:val="20"/>
                <w:lang w:val="en-US"/>
              </w:rPr>
              <w:t>H3B</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34102371" w14:textId="3F640BF4">
            <w:pPr>
              <w:spacing w:before="0" w:beforeAutospacing="off" w:after="0" w:afterAutospacing="off"/>
            </w:pPr>
            <w:r w:rsidRPr="20724B02" w:rsidR="20724B02">
              <w:rPr>
                <w:rFonts w:ascii="Calibri" w:hAnsi="Calibri" w:eastAsia="Calibri" w:cs="Calibri"/>
                <w:sz w:val="20"/>
                <w:szCs w:val="20"/>
                <w:lang w:val="en-US"/>
              </w:rPr>
              <w:t>Regional Adoption Rate; Avg. Engagement; Regional Sales &amp; Profit</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043659A5" w14:textId="57BC7538">
            <w:pPr>
              <w:spacing w:before="0" w:beforeAutospacing="off" w:after="0" w:afterAutospacing="off"/>
            </w:pPr>
            <w:r w:rsidRPr="20724B02" w:rsidR="20724B02">
              <w:rPr>
                <w:rFonts w:ascii="Calibri" w:hAnsi="Calibri" w:eastAsia="Calibri" w:cs="Calibri"/>
                <w:sz w:val="20"/>
                <w:szCs w:val="20"/>
                <w:lang w:val="en-US"/>
              </w:rPr>
              <w:t>SaaS Regional Sales &amp; Financial Data + Adoption Telemetry</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7DF913EF" w14:textId="6AD7E8E2">
            <w:pPr>
              <w:spacing w:before="0" w:beforeAutospacing="off" w:after="0" w:afterAutospacing="off"/>
            </w:pPr>
            <w:r w:rsidRPr="20724B02" w:rsidR="20724B02">
              <w:rPr>
                <w:rFonts w:ascii="Calibri" w:hAnsi="Calibri" w:eastAsia="Calibri" w:cs="Calibri"/>
                <w:sz w:val="20"/>
                <w:szCs w:val="20"/>
                <w:lang w:val="en-US"/>
              </w:rPr>
              <w:t>SaaS Sales.csv; feature_adoption_medium.csv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6B736BFF" w14:textId="3FBE107E">
            <w:pPr>
              <w:spacing w:before="0" w:beforeAutospacing="off" w:after="0" w:afterAutospacing="off"/>
            </w:pPr>
            <w:r w:rsidRPr="20724B02" w:rsidR="20724B02">
              <w:rPr>
                <w:rFonts w:ascii="Calibri" w:hAnsi="Calibri" w:eastAsia="Calibri" w:cs="Calibri"/>
                <w:sz w:val="20"/>
                <w:szCs w:val="20"/>
                <w:lang w:val="en-US"/>
              </w:rPr>
              <w:t>Sales, Profit, Avg_Engagement, Adoption_Rate, Region (AMER/EMEA/APJ)</w:t>
            </w:r>
          </w:p>
        </w:tc>
      </w:tr>
    </w:tbl>
    <w:p w:rsidR="00BB1A50" w:rsidP="20724B02" w:rsidRDefault="00BB1A50" w14:paraId="4CED014F" w14:textId="20C7D4D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7794DC9" w14:textId="05E6F7D8">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7.1 B2B Satisfaction and ACSI Benchmark Data (H1)</w:t>
      </w:r>
    </w:p>
    <w:p w:rsidR="00BB1A50" w:rsidP="20724B02" w:rsidRDefault="00BB1A50" w14:paraId="1267FBFD" w14:textId="482988B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This dataset is foundational for H1. It contains customer satisfaction scores, Net Promoter Scores (NPS), and post-task confidence ratings gathered from B2B SaaS environments. To provide a rigorous comparative baseline, this data is contrasted with ACSI benchmark data [10], which represents standardised user-satisfaction levels across leading consumer software platforms. The combination enables a normalised, side-by-side statistical comparison of user sentiment across B2B and consumer contexts.</w:t>
      </w:r>
    </w:p>
    <w:p w:rsidR="00BB1A50" w:rsidP="20724B02" w:rsidRDefault="00BB1A50" w14:paraId="032DCA9A" w14:textId="48C32EC2">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7.2 UI Experimental A/B Testing Data (H2)</w:t>
      </w:r>
    </w:p>
    <w:p w:rsidR="00BB1A50" w:rsidP="20724B02" w:rsidRDefault="00BB1A50" w14:paraId="3525CAE1" w14:textId="6AD0191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Addressing H2, this dataset provides granular, micro-level data on user behaviour within a controlled platform environment. The data is partitioned into two cohorts: the "Manual Group" represents users interacting with a traditional, high-friction B2B workflow requiring manual data entry, while the "Intuitive Group" represents users engaging with a modernised, automated interface. The primary metric is Time-on-Task, measured in seconds for users to complete standardised workflows. The design isolates the design variable from contextual noise, enabling a precise estimation of efficiency gain attributable to UX intervention.</w:t>
      </w:r>
    </w:p>
    <w:p w:rsidR="00BB1A50" w:rsidP="20724B02" w:rsidRDefault="00BB1A50" w14:paraId="2FC30CA5" w14:textId="76AFC78E">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7.3 Feature Adoption and Engagement Telemetry (H2, H3A)</w:t>
      </w:r>
    </w:p>
    <w:p w:rsidR="00BB1A50" w:rsidP="20724B02" w:rsidRDefault="00BB1A50" w14:paraId="670EC84D" w14:textId="3FC3EFB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This dataset serves as the transitional link between usability and business outcomes. It captures real-world product telemetry over a sustained period and underpins both H2 (the engagement → adoption logistic regression) and H3A (the survival/CPH analysis). Key variables include Engagement_Score (a composite proxy for usability and user delight), Feature_Used (a binary indicator of successful adoption), Days_Since_Launch (user tenure), Subscription_Status (churn indicator), and regional metadata (US/EU/ASIA in source; harmonised to AMER/EMEA/APJ during preparation).</w:t>
      </w:r>
    </w:p>
    <w:p w:rsidR="00BB1A50" w:rsidP="20724B02" w:rsidRDefault="00BB1A50" w14:paraId="1F9533B8" w14:textId="5B523537">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7.4 SaaS Regional Sales and Financial Data (H3B)</w:t>
      </w:r>
    </w:p>
    <w:p w:rsidR="00BB1A50" w:rsidP="20724B02" w:rsidRDefault="00BB1A50" w14:paraId="06463988" w14:textId="250D123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Utilised in H3B to complete the causal chain to revenue, this macro-level dataset contains aggregated regional metrics: total Sales, Profit, Avg_Engagement, and blended Adoption_Rate. The geographic categorizations use standard enterprise tech nomenclature (AMER, EMEA, APJ), requiring strategic data mapping for integration with the telemetry dataset.</w:t>
      </w:r>
    </w:p>
    <w:p w:rsidR="00BB1A50" w:rsidP="20724B02" w:rsidRDefault="00BB1A50" w14:paraId="6B9629FB" w14:textId="4126D9EA">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7.5 Data Integration Approach</w:t>
      </w:r>
    </w:p>
    <w:p w:rsidR="00BB1A50" w:rsidP="20724B02" w:rsidRDefault="00BB1A50" w14:paraId="3C4466BA" w14:textId="530A7A4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A primary methodological consideration in this empirical study is the integration of disparate data silos. Product telemetry and CRM/financial data lack native primary keys for direct linkage, necessitating manual mapping and standardisation. The structural transformations required to render the four datasets jointly analyzable are described in Section 9 (Feature Engineering and Data Preparation); descriptive statistics across the unified dataset are summarised in Table 2 below.</w:t>
      </w:r>
    </w:p>
    <w:p w:rsidR="00BB1A50" w:rsidP="20724B02" w:rsidRDefault="00BB1A50" w14:paraId="0A5A85E6" w14:textId="6CBE394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E6A7EED" w14:textId="5D40014E">
      <w:pPr>
        <w:bidi w:val="0"/>
        <w:spacing w:before="0" w:beforeAutospacing="off" w:after="200" w:afterAutospacing="off" w:line="276" w:lineRule="auto"/>
        <w:jc w:val="center"/>
      </w:pPr>
      <w:r w:rsidRPr="20724B02" w:rsidR="0F0587F1">
        <w:rPr>
          <w:rFonts w:ascii="Calibri" w:hAnsi="Calibri" w:eastAsia="Calibri" w:cs="Calibri"/>
          <w:b w:val="1"/>
          <w:bCs w:val="1"/>
          <w:noProof w:val="0"/>
          <w:sz w:val="20"/>
          <w:szCs w:val="20"/>
          <w:lang w:val="en-US"/>
        </w:rPr>
        <w:t>Table 2. Descriptive Statistics Across the Unified Dataset</w:t>
      </w:r>
    </w:p>
    <w:tbl>
      <w:tblPr>
        <w:tblStyle w:val="TableGrid"/>
        <w:bidiVisual w:val="0"/>
        <w:tblW w:w="0" w:type="auto"/>
        <w:tblLook w:val="04A0" w:firstRow="1" w:lastRow="0" w:firstColumn="1" w:lastColumn="0" w:noHBand="0" w:noVBand="1"/>
      </w:tblPr>
      <w:tblGrid>
        <w:gridCol w:w="2880"/>
        <w:gridCol w:w="1290"/>
        <w:gridCol w:w="1005"/>
        <w:gridCol w:w="1155"/>
        <w:gridCol w:w="3450"/>
      </w:tblGrid>
      <w:tr w:rsidR="20724B02" w:rsidTr="20724B02" w14:paraId="27C2B198">
        <w:trPr>
          <w:trHeight w:val="300"/>
        </w:trPr>
        <w:tc>
          <w:tcPr>
            <w:tcW w:w="288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2FDAEBB4" w14:textId="3F18C041">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Dataset / Variable</w:t>
            </w:r>
          </w:p>
        </w:tc>
        <w:tc>
          <w:tcPr>
            <w:tcW w:w="129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7A2D4B70" w14:textId="4D2773EE">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N (approx.)</w:t>
            </w:r>
          </w:p>
        </w:tc>
        <w:tc>
          <w:tcPr>
            <w:tcW w:w="1005"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6008794C" w14:textId="79C842A5">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Mean</w:t>
            </w:r>
          </w:p>
        </w:tc>
        <w:tc>
          <w:tcPr>
            <w:tcW w:w="1155"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535F984E" w14:textId="483ABFA0">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Std. Dev.</w:t>
            </w:r>
          </w:p>
        </w:tc>
        <w:tc>
          <w:tcPr>
            <w:tcW w:w="345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4506475C" w14:textId="12F06047">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Notes</w:t>
            </w:r>
          </w:p>
        </w:tc>
      </w:tr>
      <w:tr w:rsidR="20724B02" w:rsidTr="20724B02" w14:paraId="7BE3A57D">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5A680EF4" w14:textId="1ECD1125">
            <w:pPr>
              <w:bidi w:val="0"/>
              <w:spacing w:before="0" w:beforeAutospacing="off" w:after="0" w:afterAutospacing="off"/>
            </w:pPr>
            <w:r w:rsidRPr="20724B02" w:rsidR="20724B02">
              <w:rPr>
                <w:rFonts w:ascii="Calibri" w:hAnsi="Calibri" w:eastAsia="Calibri" w:cs="Calibri"/>
                <w:sz w:val="20"/>
                <w:szCs w:val="20"/>
                <w:lang w:val="en-US"/>
              </w:rPr>
              <w:t>B2B Satisfaction Score (normalised)</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65DCCA69" w14:textId="7DCD5345">
            <w:pPr>
              <w:bidi w:val="0"/>
              <w:spacing w:before="0" w:beforeAutospacing="off" w:after="0" w:afterAutospacing="off"/>
            </w:pPr>
            <w:r w:rsidRPr="20724B02" w:rsidR="20724B02">
              <w:rPr>
                <w:rFonts w:ascii="Calibri" w:hAnsi="Calibri" w:eastAsia="Calibri" w:cs="Calibri"/>
                <w:sz w:val="20"/>
                <w:szCs w:val="20"/>
                <w:lang w:val="en-US"/>
              </w:rPr>
              <w:t>~320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94A82F4" w14:textId="1CB70534">
            <w:pPr>
              <w:bidi w:val="0"/>
              <w:spacing w:before="0" w:beforeAutospacing="off" w:after="0" w:afterAutospacing="off"/>
            </w:pPr>
            <w:r w:rsidRPr="20724B02" w:rsidR="20724B02">
              <w:rPr>
                <w:rFonts w:ascii="Calibri" w:hAnsi="Calibri" w:eastAsia="Calibri" w:cs="Calibri"/>
                <w:sz w:val="20"/>
                <w:szCs w:val="20"/>
                <w:lang w:val="en-US"/>
              </w:rPr>
              <w:t>61.2</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53D67B6C" w14:textId="7FD92364">
            <w:pPr>
              <w:bidi w:val="0"/>
              <w:spacing w:before="0" w:beforeAutospacing="off" w:after="0" w:afterAutospacing="off"/>
            </w:pPr>
            <w:r w:rsidRPr="20724B02" w:rsidR="20724B02">
              <w:rPr>
                <w:rFonts w:ascii="Calibri" w:hAnsi="Calibri" w:eastAsia="Calibri" w:cs="Calibri"/>
                <w:sz w:val="20"/>
                <w:szCs w:val="20"/>
                <w:lang w:val="en-US"/>
              </w:rPr>
              <w:t>~14.8</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00933DB1" w14:textId="4DFE3010">
            <w:pPr>
              <w:bidi w:val="0"/>
              <w:spacing w:before="0" w:beforeAutospacing="off" w:after="0" w:afterAutospacing="off"/>
            </w:pPr>
            <w:r w:rsidRPr="20724B02" w:rsidR="20724B02">
              <w:rPr>
                <w:rFonts w:ascii="Calibri" w:hAnsi="Calibri" w:eastAsia="Calibri" w:cs="Calibri"/>
                <w:sz w:val="20"/>
                <w:szCs w:val="20"/>
                <w:lang w:val="en-US"/>
              </w:rPr>
              <w:t>Normalised from 1–10 Likert to 0–100 scale (H1)</w:t>
            </w:r>
          </w:p>
        </w:tc>
      </w:tr>
      <w:tr w:rsidR="20724B02" w:rsidTr="20724B02" w14:paraId="4476EF20">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000080D1" w14:textId="4C2C743A">
            <w:pPr>
              <w:bidi w:val="0"/>
              <w:spacing w:before="0" w:beforeAutospacing="off" w:after="0" w:afterAutospacing="off"/>
            </w:pPr>
            <w:r w:rsidRPr="20724B02" w:rsidR="20724B02">
              <w:rPr>
                <w:rFonts w:ascii="Calibri" w:hAnsi="Calibri" w:eastAsia="Calibri" w:cs="Calibri"/>
                <w:sz w:val="20"/>
                <w:szCs w:val="20"/>
                <w:lang w:val="en-US"/>
              </w:rPr>
              <w:t>Consumer ACSI Benchmark Score</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2BB7FBAD" w14:textId="617C4669">
            <w:pPr>
              <w:bidi w:val="0"/>
              <w:spacing w:before="0" w:beforeAutospacing="off" w:after="0" w:afterAutospacing="off"/>
            </w:pPr>
            <w:r w:rsidRPr="20724B02" w:rsidR="20724B02">
              <w:rPr>
                <w:rFonts w:ascii="Calibri" w:hAnsi="Calibri" w:eastAsia="Calibri" w:cs="Calibri"/>
                <w:sz w:val="20"/>
                <w:szCs w:val="20"/>
                <w:lang w:val="en-US"/>
              </w:rPr>
              <w:t>~480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FA82E4A" w14:textId="09CA424C">
            <w:pPr>
              <w:bidi w:val="0"/>
              <w:spacing w:before="0" w:beforeAutospacing="off" w:after="0" w:afterAutospacing="off"/>
            </w:pPr>
            <w:r w:rsidRPr="20724B02" w:rsidR="20724B02">
              <w:rPr>
                <w:rFonts w:ascii="Calibri" w:hAnsi="Calibri" w:eastAsia="Calibri" w:cs="Calibri"/>
                <w:sz w:val="20"/>
                <w:szCs w:val="20"/>
                <w:lang w:val="en-US"/>
              </w:rPr>
              <w:t>79.4</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746B8FB4" w14:textId="70773F5A">
            <w:pPr>
              <w:bidi w:val="0"/>
              <w:spacing w:before="0" w:beforeAutospacing="off" w:after="0" w:afterAutospacing="off"/>
            </w:pPr>
            <w:r w:rsidRPr="20724B02" w:rsidR="20724B02">
              <w:rPr>
                <w:rFonts w:ascii="Calibri" w:hAnsi="Calibri" w:eastAsia="Calibri" w:cs="Calibri"/>
                <w:sz w:val="20"/>
                <w:szCs w:val="20"/>
                <w:lang w:val="en-US"/>
              </w:rPr>
              <w:t>~10.2</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3336D6D5" w14:textId="44BC7405">
            <w:pPr>
              <w:bidi w:val="0"/>
              <w:spacing w:before="0" w:beforeAutospacing="off" w:after="0" w:afterAutospacing="off"/>
            </w:pPr>
            <w:r w:rsidRPr="20724B02" w:rsidR="20724B02">
              <w:rPr>
                <w:rFonts w:ascii="Calibri" w:hAnsi="Calibri" w:eastAsia="Calibri" w:cs="Calibri"/>
                <w:sz w:val="20"/>
                <w:szCs w:val="20"/>
                <w:lang w:val="en-US"/>
              </w:rPr>
              <w:t>ACSI 2015 benchmark; native 0–100 scale (H1)</w:t>
            </w:r>
          </w:p>
        </w:tc>
      </w:tr>
      <w:tr w:rsidR="20724B02" w:rsidTr="20724B02" w14:paraId="13A06116">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7D7B876B" w14:textId="40E97384">
            <w:pPr>
              <w:bidi w:val="0"/>
              <w:spacing w:before="0" w:beforeAutospacing="off" w:after="0" w:afterAutospacing="off"/>
            </w:pPr>
            <w:r w:rsidRPr="20724B02" w:rsidR="20724B02">
              <w:rPr>
                <w:rFonts w:ascii="Calibri" w:hAnsi="Calibri" w:eastAsia="Calibri" w:cs="Calibri"/>
                <w:sz w:val="20"/>
                <w:szCs w:val="20"/>
                <w:lang w:val="en-US"/>
              </w:rPr>
              <w:t>Time-on-Task: Manual Group (sec)</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4BCCF9DE" w14:textId="52D730B9">
            <w:pPr>
              <w:bidi w:val="0"/>
              <w:spacing w:before="0" w:beforeAutospacing="off" w:after="0" w:afterAutospacing="off"/>
            </w:pPr>
            <w:r w:rsidRPr="20724B02" w:rsidR="20724B02">
              <w:rPr>
                <w:rFonts w:ascii="Calibri" w:hAnsi="Calibri" w:eastAsia="Calibri" w:cs="Calibri"/>
                <w:sz w:val="20"/>
                <w:szCs w:val="20"/>
                <w:lang w:val="en-US"/>
              </w:rPr>
              <w:t>~150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4FE45E3" w14:textId="1217CBE5">
            <w:pPr>
              <w:bidi w:val="0"/>
              <w:spacing w:before="0" w:beforeAutospacing="off" w:after="0" w:afterAutospacing="off"/>
            </w:pPr>
            <w:r w:rsidRPr="20724B02" w:rsidR="20724B02">
              <w:rPr>
                <w:rFonts w:ascii="Calibri" w:hAnsi="Calibri" w:eastAsia="Calibri" w:cs="Calibri"/>
                <w:sz w:val="20"/>
                <w:szCs w:val="20"/>
                <w:lang w:val="en-US"/>
              </w:rPr>
              <w:t>142.5</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42B45F26" w14:textId="152979E9">
            <w:pPr>
              <w:bidi w:val="0"/>
              <w:spacing w:before="0" w:beforeAutospacing="off" w:after="0" w:afterAutospacing="off"/>
            </w:pPr>
            <w:r w:rsidRPr="20724B02" w:rsidR="20724B02">
              <w:rPr>
                <w:rFonts w:ascii="Calibri" w:hAnsi="Calibri" w:eastAsia="Calibri" w:cs="Calibri"/>
                <w:sz w:val="20"/>
                <w:szCs w:val="20"/>
                <w:lang w:val="en-US"/>
              </w:rPr>
              <w:t>~28.4</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7C3B8ED6" w14:textId="26E8A499">
            <w:pPr>
              <w:bidi w:val="0"/>
              <w:spacing w:before="0" w:beforeAutospacing="off" w:after="0" w:afterAutospacing="off"/>
            </w:pPr>
            <w:r w:rsidRPr="20724B02" w:rsidR="20724B02">
              <w:rPr>
                <w:rFonts w:ascii="Calibri" w:hAnsi="Calibri" w:eastAsia="Calibri" w:cs="Calibri"/>
                <w:sz w:val="20"/>
                <w:szCs w:val="20"/>
                <w:lang w:val="en-US"/>
              </w:rPr>
              <w:t>High variance; long upper tail observed (H2)</w:t>
            </w:r>
          </w:p>
        </w:tc>
      </w:tr>
      <w:tr w:rsidR="20724B02" w:rsidTr="20724B02" w14:paraId="2D2D2BC4">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5CA845EE" w14:textId="29669C23">
            <w:pPr>
              <w:bidi w:val="0"/>
              <w:spacing w:before="0" w:beforeAutospacing="off" w:after="0" w:afterAutospacing="off"/>
            </w:pPr>
            <w:r w:rsidRPr="20724B02" w:rsidR="20724B02">
              <w:rPr>
                <w:rFonts w:ascii="Calibri" w:hAnsi="Calibri" w:eastAsia="Calibri" w:cs="Calibri"/>
                <w:sz w:val="20"/>
                <w:szCs w:val="20"/>
                <w:lang w:val="en-US"/>
              </w:rPr>
              <w:t>Time-on-Task: Intuitive Group (sec)</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2E3EE14E" w14:textId="78F41977">
            <w:pPr>
              <w:bidi w:val="0"/>
              <w:spacing w:before="0" w:beforeAutospacing="off" w:after="0" w:afterAutospacing="off"/>
            </w:pPr>
            <w:r w:rsidRPr="20724B02" w:rsidR="20724B02">
              <w:rPr>
                <w:rFonts w:ascii="Calibri" w:hAnsi="Calibri" w:eastAsia="Calibri" w:cs="Calibri"/>
                <w:sz w:val="20"/>
                <w:szCs w:val="20"/>
                <w:lang w:val="en-US"/>
              </w:rPr>
              <w:t>~150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CCCC2E9" w14:textId="6C3C1706">
            <w:pPr>
              <w:bidi w:val="0"/>
              <w:spacing w:before="0" w:beforeAutospacing="off" w:after="0" w:afterAutospacing="off"/>
            </w:pPr>
            <w:r w:rsidRPr="20724B02" w:rsidR="20724B02">
              <w:rPr>
                <w:rFonts w:ascii="Calibri" w:hAnsi="Calibri" w:eastAsia="Calibri" w:cs="Calibri"/>
                <w:sz w:val="20"/>
                <w:szCs w:val="20"/>
                <w:lang w:val="en-US"/>
              </w:rPr>
              <w:t>120.5</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2214CEEB" w14:textId="3CCF14BD">
            <w:pPr>
              <w:bidi w:val="0"/>
              <w:spacing w:before="0" w:beforeAutospacing="off" w:after="0" w:afterAutospacing="off"/>
            </w:pPr>
            <w:r w:rsidRPr="20724B02" w:rsidR="20724B02">
              <w:rPr>
                <w:rFonts w:ascii="Calibri" w:hAnsi="Calibri" w:eastAsia="Calibri" w:cs="Calibri"/>
                <w:sz w:val="20"/>
                <w:szCs w:val="20"/>
                <w:lang w:val="en-US"/>
              </w:rPr>
              <w:t>~18.1</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6CF55C18" w14:textId="2FB5FDA7">
            <w:pPr>
              <w:bidi w:val="0"/>
              <w:spacing w:before="0" w:beforeAutospacing="off" w:after="0" w:afterAutospacing="off"/>
            </w:pPr>
            <w:r w:rsidRPr="20724B02" w:rsidR="20724B02">
              <w:rPr>
                <w:rFonts w:ascii="Calibri" w:hAnsi="Calibri" w:eastAsia="Calibri" w:cs="Calibri"/>
                <w:sz w:val="20"/>
                <w:szCs w:val="20"/>
                <w:lang w:val="en-US"/>
              </w:rPr>
              <w:t>Lower variance; symmetric distribution (H2)</w:t>
            </w:r>
          </w:p>
        </w:tc>
      </w:tr>
      <w:tr w:rsidR="20724B02" w:rsidTr="20724B02" w14:paraId="3B6F12C5">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6CB2DAB1" w14:textId="22182458">
            <w:pPr>
              <w:bidi w:val="0"/>
              <w:spacing w:before="0" w:beforeAutospacing="off" w:after="0" w:afterAutospacing="off"/>
            </w:pPr>
            <w:r w:rsidRPr="20724B02" w:rsidR="20724B02">
              <w:rPr>
                <w:rFonts w:ascii="Calibri" w:hAnsi="Calibri" w:eastAsia="Calibri" w:cs="Calibri"/>
                <w:sz w:val="20"/>
                <w:szCs w:val="20"/>
                <w:lang w:val="en-US"/>
              </w:rPr>
              <w:t>Engagement_Score (telemetry)</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6D71FD5F" w14:textId="62284A41">
            <w:pPr>
              <w:bidi w:val="0"/>
              <w:spacing w:before="0" w:beforeAutospacing="off" w:after="0" w:afterAutospacing="off"/>
            </w:pPr>
            <w:r w:rsidRPr="20724B02" w:rsidR="20724B02">
              <w:rPr>
                <w:rFonts w:ascii="Calibri" w:hAnsi="Calibri" w:eastAsia="Calibri" w:cs="Calibri"/>
                <w:sz w:val="20"/>
                <w:szCs w:val="20"/>
                <w:lang w:val="en-US"/>
              </w:rPr>
              <w:t>~1,200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07EF72DC" w14:textId="2E312AF3">
            <w:pPr>
              <w:bidi w:val="0"/>
              <w:spacing w:before="0" w:beforeAutospacing="off" w:after="0" w:afterAutospacing="off"/>
            </w:pPr>
            <w:r w:rsidRPr="20724B02" w:rsidR="20724B02">
              <w:rPr>
                <w:rFonts w:ascii="Calibri" w:hAnsi="Calibri" w:eastAsia="Calibri" w:cs="Calibri"/>
                <w:sz w:val="20"/>
                <w:szCs w:val="20"/>
                <w:lang w:val="en-US"/>
              </w:rPr>
              <w:t>62.4</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34A55E38" w14:textId="53395CAD">
            <w:pPr>
              <w:bidi w:val="0"/>
              <w:spacing w:before="0" w:beforeAutospacing="off" w:after="0" w:afterAutospacing="off"/>
            </w:pPr>
            <w:r w:rsidRPr="20724B02" w:rsidR="20724B02">
              <w:rPr>
                <w:rFonts w:ascii="Calibri" w:hAnsi="Calibri" w:eastAsia="Calibri" w:cs="Calibri"/>
                <w:sz w:val="20"/>
                <w:szCs w:val="20"/>
                <w:lang w:val="en-US"/>
              </w:rPr>
              <w:t>~19.3</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4F6B8DB4" w14:textId="42B3EE94">
            <w:pPr>
              <w:bidi w:val="0"/>
              <w:spacing w:before="0" w:beforeAutospacing="off" w:after="0" w:afterAutospacing="off"/>
            </w:pPr>
            <w:r w:rsidRPr="20724B02" w:rsidR="20724B02">
              <w:rPr>
                <w:rFonts w:ascii="Calibri" w:hAnsi="Calibri" w:eastAsia="Calibri" w:cs="Calibri"/>
                <w:sz w:val="20"/>
                <w:szCs w:val="20"/>
                <w:lang w:val="en-US"/>
              </w:rPr>
              <w:t>Composite proxy; range 0–100 (H2, H3A)</w:t>
            </w:r>
          </w:p>
        </w:tc>
      </w:tr>
      <w:tr w:rsidR="20724B02" w:rsidTr="20724B02" w14:paraId="302F294C">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6054FC8C" w14:textId="47499235">
            <w:pPr>
              <w:bidi w:val="0"/>
              <w:spacing w:before="0" w:beforeAutospacing="off" w:after="0" w:afterAutospacing="off"/>
            </w:pPr>
            <w:r w:rsidRPr="20724B02" w:rsidR="20724B02">
              <w:rPr>
                <w:rFonts w:ascii="Calibri" w:hAnsi="Calibri" w:eastAsia="Calibri" w:cs="Calibri"/>
                <w:sz w:val="20"/>
                <w:szCs w:val="20"/>
                <w:lang w:val="en-US"/>
              </w:rPr>
              <w:t>Feature Adoption Rate (binary)</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0FAA38FA" w14:textId="6FDBEEC7">
            <w:pPr>
              <w:bidi w:val="0"/>
              <w:spacing w:before="0" w:beforeAutospacing="off" w:after="0" w:afterAutospacing="off"/>
            </w:pPr>
            <w:r w:rsidRPr="20724B02" w:rsidR="20724B02">
              <w:rPr>
                <w:rFonts w:ascii="Calibri" w:hAnsi="Calibri" w:eastAsia="Calibri" w:cs="Calibri"/>
                <w:sz w:val="20"/>
                <w:szCs w:val="20"/>
                <w:lang w:val="en-US"/>
              </w:rPr>
              <w:t>~1,200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416D4AF" w14:textId="169EB11A">
            <w:pPr>
              <w:bidi w:val="0"/>
              <w:spacing w:before="0" w:beforeAutospacing="off" w:after="0" w:afterAutospacing="off"/>
            </w:pPr>
            <w:r w:rsidRPr="20724B02" w:rsidR="20724B02">
              <w:rPr>
                <w:rFonts w:ascii="Calibri" w:hAnsi="Calibri" w:eastAsia="Calibri" w:cs="Calibri"/>
                <w:sz w:val="20"/>
                <w:szCs w:val="20"/>
                <w:lang w:val="en-US"/>
              </w:rPr>
              <w:t>0.54</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40F7556D" w14:textId="015E848C">
            <w:pPr>
              <w:bidi w:val="0"/>
              <w:spacing w:before="0" w:beforeAutospacing="off" w:after="0" w:afterAutospacing="off"/>
            </w:pPr>
            <w:r w:rsidRPr="20724B02" w:rsidR="20724B02">
              <w:rPr>
                <w:rFonts w:ascii="Calibri" w:hAnsi="Calibri" w:eastAsia="Calibri" w:cs="Calibri"/>
                <w:sz w:val="20"/>
                <w:szCs w:val="20"/>
                <w:lang w:val="en-US"/>
              </w:rPr>
              <w:t>—</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7EEB5AE7" w14:textId="5E6494DD">
            <w:pPr>
              <w:bidi w:val="0"/>
              <w:spacing w:before="0" w:beforeAutospacing="off" w:after="0" w:afterAutospacing="off"/>
            </w:pPr>
            <w:r w:rsidRPr="20724B02" w:rsidR="20724B02">
              <w:rPr>
                <w:rFonts w:ascii="Calibri" w:hAnsi="Calibri" w:eastAsia="Calibri" w:cs="Calibri"/>
                <w:sz w:val="20"/>
                <w:szCs w:val="20"/>
                <w:lang w:val="en-US"/>
              </w:rPr>
              <w:t>54% of observed users classified as adopters (H2, H3A)</w:t>
            </w:r>
          </w:p>
        </w:tc>
      </w:tr>
      <w:tr w:rsidR="20724B02" w:rsidTr="20724B02" w14:paraId="45F6EF1E">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56C7FF9A" w14:textId="6406A185">
            <w:pPr>
              <w:bidi w:val="0"/>
              <w:spacing w:before="0" w:beforeAutospacing="off" w:after="0" w:afterAutospacing="off"/>
            </w:pPr>
            <w:r w:rsidRPr="20724B02" w:rsidR="20724B02">
              <w:rPr>
                <w:rFonts w:ascii="Calibri" w:hAnsi="Calibri" w:eastAsia="Calibri" w:cs="Calibri"/>
                <w:sz w:val="20"/>
                <w:szCs w:val="20"/>
                <w:lang w:val="en-US"/>
              </w:rPr>
              <w:t>Tenure Days (survival)</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7D69414B" w14:textId="2DAAEEAA">
            <w:pPr>
              <w:bidi w:val="0"/>
              <w:spacing w:before="0" w:beforeAutospacing="off" w:after="0" w:afterAutospacing="off"/>
            </w:pPr>
            <w:r w:rsidRPr="20724B02" w:rsidR="20724B02">
              <w:rPr>
                <w:rFonts w:ascii="Calibri" w:hAnsi="Calibri" w:eastAsia="Calibri" w:cs="Calibri"/>
                <w:sz w:val="20"/>
                <w:szCs w:val="20"/>
                <w:lang w:val="en-US"/>
              </w:rPr>
              <w:t>~1,200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1A66D1A" w14:textId="7FB3B354">
            <w:pPr>
              <w:bidi w:val="0"/>
              <w:spacing w:before="0" w:beforeAutospacing="off" w:after="0" w:afterAutospacing="off"/>
            </w:pPr>
            <w:r w:rsidRPr="20724B02" w:rsidR="20724B02">
              <w:rPr>
                <w:rFonts w:ascii="Calibri" w:hAnsi="Calibri" w:eastAsia="Calibri" w:cs="Calibri"/>
                <w:sz w:val="20"/>
                <w:szCs w:val="20"/>
                <w:lang w:val="en-US"/>
              </w:rPr>
              <w:t>47.3</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7659DBC2" w14:textId="0A62894F">
            <w:pPr>
              <w:bidi w:val="0"/>
              <w:spacing w:before="0" w:beforeAutospacing="off" w:after="0" w:afterAutospacing="off"/>
            </w:pPr>
            <w:r w:rsidRPr="20724B02" w:rsidR="20724B02">
              <w:rPr>
                <w:rFonts w:ascii="Calibri" w:hAnsi="Calibri" w:eastAsia="Calibri" w:cs="Calibri"/>
                <w:sz w:val="20"/>
                <w:szCs w:val="20"/>
                <w:lang w:val="en-US"/>
              </w:rPr>
              <w:t>~31.6</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52D12240" w14:textId="26E84B94">
            <w:pPr>
              <w:bidi w:val="0"/>
              <w:spacing w:before="0" w:beforeAutospacing="off" w:after="0" w:afterAutospacing="off"/>
            </w:pPr>
            <w:r w:rsidRPr="20724B02" w:rsidR="20724B02">
              <w:rPr>
                <w:rFonts w:ascii="Calibri" w:hAnsi="Calibri" w:eastAsia="Calibri" w:cs="Calibri"/>
                <w:sz w:val="20"/>
                <w:szCs w:val="20"/>
                <w:lang w:val="en-US"/>
              </w:rPr>
              <w:t>Right-skewed; minimum enforced at 1 day (H3A)</w:t>
            </w:r>
          </w:p>
        </w:tc>
      </w:tr>
    </w:tbl>
    <w:p w:rsidR="00BB1A50" w:rsidP="20724B02" w:rsidRDefault="00BB1A50" w14:paraId="1D0E8CDB" w14:textId="56E8BAD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Note: Sample sizes reflect approximate values based on available telemetry data. Exact figures may vary based on data cleaning and integration steps described in Section 9.</w:t>
      </w:r>
    </w:p>
    <w:p w:rsidR="00BB1A50" w:rsidP="20724B02" w:rsidRDefault="00BB1A50" w14:paraId="09B10A1D" w14:textId="1223C30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0F27FA07" w14:textId="52F9E007">
      <w:pPr>
        <w:pStyle w:val="Heading1"/>
        <w:bidi w:val="0"/>
        <w:spacing w:before="480" w:beforeAutospacing="off" w:after="0" w:afterAutospacing="off" w:line="276" w:lineRule="auto"/>
      </w:pPr>
      <w:r w:rsidRPr="4CC705ED" w:rsidR="4CC705ED">
        <w:rPr>
          <w:rFonts w:ascii="Calibri" w:hAnsi="Calibri" w:eastAsia="Calibri" w:cs="Calibri"/>
          <w:b w:val="1"/>
          <w:bCs w:val="1"/>
          <w:noProof w:val="0"/>
          <w:color w:val="365F91"/>
          <w:sz w:val="28"/>
          <w:szCs w:val="28"/>
          <w:lang w:val="en-US"/>
        </w:rPr>
        <w:t>8. Exploratory Data Analysis (EDA)</w:t>
      </w:r>
    </w:p>
    <w:p w:rsidR="4CC705ED" w:rsidP="4CC705ED" w:rsidRDefault="4CC705ED" w14:paraId="442DA2E7" w14:textId="1D1B92B6">
      <w:pPr>
        <w:bidi w:val="0"/>
        <w:spacing w:before="0" w:beforeAutospacing="off" w:after="200" w:afterAutospacing="off" w:line="276" w:lineRule="auto"/>
      </w:pPr>
      <w:r w:rsidRPr="4CC705ED" w:rsidR="4CC705ED">
        <w:rPr>
          <w:rFonts w:ascii="Calibri" w:hAnsi="Calibri" w:eastAsia="Calibri" w:cs="Calibri"/>
          <w:noProof w:val="0"/>
          <w:sz w:val="22"/>
          <w:szCs w:val="22"/>
          <w:lang w:val="en-US"/>
        </w:rPr>
        <w:t xml:space="preserve">The Exploratory data analysis procedure acts as the instrument to uncover patterns within the datasets, testing our </w:t>
      </w:r>
      <w:r w:rsidRPr="4CC705ED" w:rsidR="4CC705ED">
        <w:rPr>
          <w:rFonts w:ascii="Calibri" w:hAnsi="Calibri" w:eastAsia="Calibri" w:cs="Calibri"/>
          <w:noProof w:val="0"/>
          <w:sz w:val="22"/>
          <w:szCs w:val="22"/>
          <w:lang w:val="en-US"/>
        </w:rPr>
        <w:t>initial</w:t>
      </w:r>
      <w:r w:rsidRPr="4CC705ED" w:rsidR="4CC705ED">
        <w:rPr>
          <w:rFonts w:ascii="Calibri" w:hAnsi="Calibri" w:eastAsia="Calibri" w:cs="Calibri"/>
          <w:noProof w:val="0"/>
          <w:sz w:val="22"/>
          <w:szCs w:val="22"/>
          <w:lang w:val="en-US"/>
        </w:rPr>
        <w:t xml:space="preserve"> </w:t>
      </w:r>
      <w:r w:rsidRPr="4CC705ED" w:rsidR="4CC705ED">
        <w:rPr>
          <w:rFonts w:ascii="Calibri" w:hAnsi="Calibri" w:eastAsia="Calibri" w:cs="Calibri"/>
          <w:noProof w:val="0"/>
          <w:sz w:val="22"/>
          <w:szCs w:val="22"/>
          <w:lang w:val="en-US"/>
        </w:rPr>
        <w:t>asuumptions</w:t>
      </w:r>
      <w:r w:rsidRPr="4CC705ED" w:rsidR="4CC705ED">
        <w:rPr>
          <w:rFonts w:ascii="Calibri" w:hAnsi="Calibri" w:eastAsia="Calibri" w:cs="Calibri"/>
          <w:noProof w:val="0"/>
          <w:sz w:val="22"/>
          <w:szCs w:val="22"/>
          <w:lang w:val="en-US"/>
        </w:rPr>
        <w:t xml:space="preserve"> </w:t>
      </w:r>
      <w:r w:rsidRPr="4CC705ED" w:rsidR="4CC705ED">
        <w:rPr>
          <w:rFonts w:ascii="Calibri" w:hAnsi="Calibri" w:eastAsia="Calibri" w:cs="Calibri"/>
          <w:noProof w:val="0"/>
          <w:sz w:val="22"/>
          <w:szCs w:val="22"/>
          <w:lang w:val="en-US"/>
        </w:rPr>
        <w:t>regarding</w:t>
      </w:r>
      <w:r w:rsidRPr="4CC705ED" w:rsidR="4CC705ED">
        <w:rPr>
          <w:rFonts w:ascii="Calibri" w:hAnsi="Calibri" w:eastAsia="Calibri" w:cs="Calibri"/>
          <w:noProof w:val="0"/>
          <w:sz w:val="22"/>
          <w:szCs w:val="22"/>
          <w:lang w:val="en-US"/>
        </w:rPr>
        <w:t xml:space="preserve"> data distributions and validation of data integrity. This study uses EDA to (</w:t>
      </w:r>
      <w:r w:rsidRPr="4CC705ED" w:rsidR="4CC705ED">
        <w:rPr>
          <w:rFonts w:ascii="Calibri" w:hAnsi="Calibri" w:eastAsia="Calibri" w:cs="Calibri"/>
          <w:noProof w:val="0"/>
          <w:sz w:val="22"/>
          <w:szCs w:val="22"/>
          <w:lang w:val="en-US"/>
        </w:rPr>
        <w:t>i</w:t>
      </w:r>
      <w:r w:rsidRPr="4CC705ED" w:rsidR="4CC705ED">
        <w:rPr>
          <w:rFonts w:ascii="Calibri" w:hAnsi="Calibri" w:eastAsia="Calibri" w:cs="Calibri"/>
          <w:noProof w:val="0"/>
          <w:sz w:val="22"/>
          <w:szCs w:val="22"/>
          <w:lang w:val="en-US"/>
        </w:rPr>
        <w:t xml:space="preserve">) hypothesis verification is empirically sound before a model is trained, (ii) </w:t>
      </w:r>
      <w:r w:rsidRPr="4CC705ED" w:rsidR="4CC705ED">
        <w:rPr>
          <w:rFonts w:ascii="Calibri" w:hAnsi="Calibri" w:eastAsia="Calibri" w:cs="Calibri"/>
          <w:noProof w:val="0"/>
          <w:sz w:val="22"/>
          <w:szCs w:val="22"/>
          <w:lang w:val="en-US"/>
        </w:rPr>
        <w:t>Charecterise</w:t>
      </w:r>
      <w:r w:rsidRPr="4CC705ED" w:rsidR="4CC705ED">
        <w:rPr>
          <w:rFonts w:ascii="Calibri" w:hAnsi="Calibri" w:eastAsia="Calibri" w:cs="Calibri"/>
          <w:noProof w:val="0"/>
          <w:sz w:val="22"/>
          <w:szCs w:val="22"/>
          <w:lang w:val="en-US"/>
        </w:rPr>
        <w:t xml:space="preserve"> the </w:t>
      </w:r>
      <w:r w:rsidRPr="4CC705ED" w:rsidR="4CC705ED">
        <w:rPr>
          <w:rFonts w:ascii="Calibri" w:hAnsi="Calibri" w:eastAsia="Calibri" w:cs="Calibri"/>
          <w:noProof w:val="0"/>
          <w:sz w:val="22"/>
          <w:szCs w:val="22"/>
          <w:lang w:val="en-US"/>
        </w:rPr>
        <w:t>properies</w:t>
      </w:r>
      <w:r w:rsidRPr="4CC705ED" w:rsidR="4CC705ED">
        <w:rPr>
          <w:rFonts w:ascii="Calibri" w:hAnsi="Calibri" w:eastAsia="Calibri" w:cs="Calibri"/>
          <w:noProof w:val="0"/>
          <w:sz w:val="22"/>
          <w:szCs w:val="22"/>
          <w:lang w:val="en-US"/>
        </w:rPr>
        <w:t xml:space="preserve"> as normality, skewness </w:t>
      </w:r>
      <w:r w:rsidRPr="4CC705ED" w:rsidR="4CC705ED">
        <w:rPr>
          <w:rFonts w:ascii="Calibri" w:hAnsi="Calibri" w:eastAsia="Calibri" w:cs="Calibri"/>
          <w:noProof w:val="0"/>
          <w:sz w:val="22"/>
          <w:szCs w:val="22"/>
          <w:lang w:val="en-US"/>
        </w:rPr>
        <w:t>etc</w:t>
      </w:r>
      <w:r w:rsidRPr="4CC705ED" w:rsidR="4CC705ED">
        <w:rPr>
          <w:rFonts w:ascii="Calibri" w:hAnsi="Calibri" w:eastAsia="Calibri" w:cs="Calibri"/>
          <w:noProof w:val="0"/>
          <w:sz w:val="22"/>
          <w:szCs w:val="22"/>
          <w:lang w:val="en-US"/>
        </w:rPr>
        <w:t xml:space="preserve"> that determine the inferential methods to be used and (iii) explore any underlying data-quality issues, which have been instrumental in deciding the feature engineering methodologies in Section 9.</w:t>
      </w:r>
    </w:p>
    <w:p w:rsidR="00BB1A50" w:rsidP="20724B02" w:rsidRDefault="00BB1A50" w14:paraId="09688798" w14:textId="157A4D42">
      <w:pPr>
        <w:pStyle w:val="Heading2"/>
        <w:bidi w:val="0"/>
        <w:spacing w:before="200" w:beforeAutospacing="off" w:after="0" w:afterAutospacing="off" w:line="276" w:lineRule="auto"/>
      </w:pPr>
      <w:r w:rsidRPr="4CC705ED" w:rsidR="4CC705ED">
        <w:rPr>
          <w:rFonts w:ascii="Calibri" w:hAnsi="Calibri" w:eastAsia="Calibri" w:cs="Calibri"/>
          <w:b w:val="1"/>
          <w:bCs w:val="1"/>
          <w:noProof w:val="0"/>
          <w:color w:val="4F81BD"/>
          <w:sz w:val="26"/>
          <w:szCs w:val="26"/>
          <w:lang w:val="en-US"/>
        </w:rPr>
        <w:t xml:space="preserve">8.1 EDA for H1: </w:t>
      </w:r>
      <w:r w:rsidRPr="4CC705ED" w:rsidR="4CC705ED">
        <w:rPr>
          <w:rFonts w:ascii="Calibri" w:hAnsi="Calibri" w:eastAsia="Calibri" w:cs="Calibri"/>
          <w:b w:val="1"/>
          <w:bCs w:val="1"/>
          <w:noProof w:val="0"/>
          <w:color w:val="4F81BD"/>
          <w:sz w:val="26"/>
          <w:szCs w:val="26"/>
          <w:lang w:val="en-US"/>
        </w:rPr>
        <w:t>Visualizing</w:t>
      </w:r>
      <w:r w:rsidRPr="4CC705ED" w:rsidR="4CC705ED">
        <w:rPr>
          <w:rFonts w:ascii="Calibri" w:hAnsi="Calibri" w:eastAsia="Calibri" w:cs="Calibri"/>
          <w:b w:val="1"/>
          <w:bCs w:val="1"/>
          <w:noProof w:val="0"/>
          <w:color w:val="4F81BD"/>
          <w:sz w:val="26"/>
          <w:szCs w:val="26"/>
          <w:lang w:val="en-US"/>
        </w:rPr>
        <w:t xml:space="preserve"> the Expectation Gap</w:t>
      </w:r>
    </w:p>
    <w:p w:rsidR="4CC705ED" w:rsidP="4CC705ED" w:rsidRDefault="4CC705ED" w14:paraId="064DA496" w14:textId="50678246">
      <w:pPr>
        <w:bidi w:val="0"/>
        <w:spacing w:before="0" w:beforeAutospacing="off" w:after="200" w:afterAutospacing="off" w:line="276" w:lineRule="auto"/>
      </w:pPr>
      <w:r w:rsidRPr="4CC705ED" w:rsidR="4CC705ED">
        <w:rPr>
          <w:rFonts w:ascii="Calibri" w:hAnsi="Calibri" w:eastAsia="Calibri" w:cs="Calibri"/>
          <w:noProof w:val="0"/>
          <w:sz w:val="22"/>
          <w:szCs w:val="22"/>
          <w:lang w:val="en-US"/>
        </w:rPr>
        <w:t xml:space="preserve">The </w:t>
      </w:r>
      <w:r w:rsidRPr="4CC705ED" w:rsidR="4CC705ED">
        <w:rPr>
          <w:rFonts w:ascii="Calibri" w:hAnsi="Calibri" w:eastAsia="Calibri" w:cs="Calibri"/>
          <w:noProof w:val="0"/>
          <w:sz w:val="22"/>
          <w:szCs w:val="22"/>
          <w:lang w:val="en-US"/>
        </w:rPr>
        <w:t>objective</w:t>
      </w:r>
      <w:r w:rsidRPr="4CC705ED" w:rsidR="4CC705ED">
        <w:rPr>
          <w:rFonts w:ascii="Calibri" w:hAnsi="Calibri" w:eastAsia="Calibri" w:cs="Calibri"/>
          <w:noProof w:val="0"/>
          <w:sz w:val="22"/>
          <w:szCs w:val="22"/>
          <w:lang w:val="en-US"/>
        </w:rPr>
        <w:t xml:space="preserve"> of this section is to contrast the satisfaction score distributions on a statistical level between the B2B SaaS cohort and the ACSI benchmark. The two sources mentioned here have different scales, so we </w:t>
      </w:r>
      <w:r w:rsidRPr="4CC705ED" w:rsidR="4CC705ED">
        <w:rPr>
          <w:rFonts w:ascii="Calibri" w:hAnsi="Calibri" w:eastAsia="Calibri" w:cs="Calibri"/>
          <w:noProof w:val="0"/>
          <w:sz w:val="22"/>
          <w:szCs w:val="22"/>
          <w:lang w:val="en-US"/>
        </w:rPr>
        <w:t>normalise</w:t>
      </w:r>
      <w:r w:rsidRPr="4CC705ED" w:rsidR="4CC705ED">
        <w:rPr>
          <w:rFonts w:ascii="Calibri" w:hAnsi="Calibri" w:eastAsia="Calibri" w:cs="Calibri"/>
          <w:noProof w:val="0"/>
          <w:sz w:val="22"/>
          <w:szCs w:val="22"/>
          <w:lang w:val="en-US"/>
        </w:rPr>
        <w:t xml:space="preserve"> the same into a 0-100 scale. The Kernel Density Estimation (KDE) plot reveals substantial bimodal distribution with the datasets overlaid. The consumer dataset depicts a right skewed distribution near a high mean with tight clustering. This is indicative of a consistent user satisfaction score </w:t>
      </w:r>
      <w:r w:rsidRPr="4CC705ED" w:rsidR="4CC705ED">
        <w:rPr>
          <w:rFonts w:ascii="Calibri" w:hAnsi="Calibri" w:eastAsia="Calibri" w:cs="Calibri"/>
          <w:noProof w:val="0"/>
          <w:sz w:val="22"/>
          <w:szCs w:val="22"/>
          <w:lang w:val="en-US"/>
        </w:rPr>
        <w:t>whereas</w:t>
      </w:r>
      <w:r w:rsidRPr="4CC705ED" w:rsidR="4CC705ED">
        <w:rPr>
          <w:rFonts w:ascii="Calibri" w:hAnsi="Calibri" w:eastAsia="Calibri" w:cs="Calibri"/>
          <w:noProof w:val="0"/>
          <w:sz w:val="22"/>
          <w:szCs w:val="22"/>
          <w:lang w:val="en-US"/>
        </w:rPr>
        <w:t xml:space="preserve"> the B2B dataset displays a broader, flatter distribution. The central tendency is significantly lower. </w:t>
      </w:r>
    </w:p>
    <w:p w:rsidR="4CC705ED" w:rsidP="4CC705ED" w:rsidRDefault="4CC705ED" w14:paraId="2D4DD8AE" w14:textId="2C221556">
      <w:pPr>
        <w:bidi w:val="0"/>
        <w:spacing w:before="0" w:beforeAutospacing="off" w:after="200" w:afterAutospacing="off" w:line="276" w:lineRule="auto"/>
        <w:rPr>
          <w:rFonts w:ascii="Calibri" w:hAnsi="Calibri" w:eastAsia="Calibri" w:cs="Calibri"/>
          <w:noProof w:val="0"/>
          <w:sz w:val="22"/>
          <w:szCs w:val="22"/>
          <w:lang w:val="en-US"/>
        </w:rPr>
      </w:pPr>
    </w:p>
    <w:p w:rsidR="00BB1A50" w:rsidP="20724B02" w:rsidRDefault="00BB1A50" w14:paraId="75AEDC23" w14:textId="73655EE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Interpretively, this is consistent with H1: the B2B and consumer samples are not merely shifted versions of one another but appear to be drawn from qualitatively distinct satisfaction regimes. Two implications follow for the modelling strategy. First, the visible non-normality in the B2B distribution rules out parametric mean-comparison tests (justifying the Mann-Whitney U test). Second, the magnitude of distributional separation suggests a logistic classifier should be able to recover origin (B2B vs. Consumer) with high accuracy, providing a complementary, gap-as-classification view of H1.</w:t>
      </w:r>
    </w:p>
    <w:p w:rsidR="00BB1A50" w:rsidP="20724B02" w:rsidRDefault="00BB1A50" w14:paraId="354FDB98" w14:textId="350498F3">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8.2 EDA for H2: Visualising Adoption Drivers</w:t>
      </w:r>
    </w:p>
    <w:p w:rsidR="00BB1A50" w:rsidP="20724B02" w:rsidRDefault="00BB1A50" w14:paraId="7484266B" w14:textId="56D3D17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H2 EDA examined the experimental A/B testing data and the feature-adoption telemetry. Violin plots of Time-on-Task across the two UI conditions revealed that the Manual group exhibited wide variance with a pronounced long upper tail—indicating that complex UI designs produce erratic user performance—while the Intuitive group's plot was concentrated and approximately symmetric around a lower mean, demonstrating that superior UX drives consistent, predictable efficiency. The variance asymmetry observed visually is what justifies Welch's T-test (which does not assume equal variances) over Student's T-test.</w:t>
      </w:r>
    </w:p>
    <w:p w:rsidR="00BB1A50" w:rsidP="20724B02" w:rsidRDefault="00BB1A50" w14:paraId="1546F09A" w14:textId="4A9B029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A second, complementary visualisation—box-and-whisker plots of Engagement Score against binary Adoption Status—revealed a pronounced upward shift in engagement medians for users who successfully adopted features, indicating a positive monotonic association between engagement and adoption before any formal regression testing. The visual separation strengthens the case for treating Engagement Score as a continuous predictor in a logistic regression of Adoption rather than a coarse categorical control.</w:t>
      </w:r>
    </w:p>
    <w:p w:rsidR="00BB1A50" w:rsidP="20724B02" w:rsidRDefault="00BB1A50" w14:paraId="484E2C84" w14:textId="65C7AC60">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8.3 EDA for H3A: Survival Patterns and Tenure Distribution</w:t>
      </w:r>
    </w:p>
    <w:p w:rsidR="00BB1A50" w:rsidP="20724B02" w:rsidRDefault="00BB1A50" w14:paraId="6DBD34C6" w14:textId="222D51C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H3A EDA focused on the tenure and churn structure of the merged telemetry dataset. Histograms of Tenure_Days showed a right-skewed distribution typical of SaaS environments, where the highest churn risk is concentrated in the early onboarding window. Side-by-side empirical survival curves, plotted prior to formal Kaplan-Meier estimation, indicated that the Adopter cohort retained a higher proportion of users at every observation point relative to Non-Adopters, with the gap visibly widening through the first 30–60 days of tenure—exactly the period during which time-to-value is theorised to determine retention.</w:t>
      </w:r>
    </w:p>
    <w:p w:rsidR="00BB1A50" w:rsidP="20724B02" w:rsidRDefault="00BB1A50" w14:paraId="3352EBE6" w14:textId="411B454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Two distributional findings shaped the modelling strategy. First, the right-skew and visible right-censoring (users still active at the end of the window) ruled out ordinary linear regression on tenure and motivated the choice of Kaplan-Meier and Cox Proportional Hazards models. Second, the visible co-movement of Engagement_Score and Is_Adopter signalled potential multicollinearity, motivating the L2 regularisation penalty applied in the CPH specification.</w:t>
      </w:r>
    </w:p>
    <w:p w:rsidR="00BB1A50" w:rsidP="20724B02" w:rsidRDefault="00BB1A50" w14:paraId="227FA894" w14:textId="7C438F67">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8.4 EDA for H3B: Regional and Revenue Patterns</w:t>
      </w:r>
    </w:p>
    <w:p w:rsidR="00BB1A50" w:rsidP="20724B02" w:rsidRDefault="00BB1A50" w14:paraId="6B4140DA" w14:textId="4ADAD71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H3B EDA examined the merged regional dataset. Scatter plots comparing Average Engagement Score against Regional Adoption Rate showed a positive, near-linear trend, with EMEA-region observations clustering higher on both axes than AMER or APJ. Plotting Adoption Rate against Profit margins indicated positive covariance across all three regions, motivating the multivariate linear correlation analysis. The regional pattern—EMEA leading, APJ trailing—is consistent both with the H3B hypothesis and with broader observations about regional UX-maturity heterogeneity in SaaS markets, although the cross-sectional snapshot precludes causal claims (see Limitation 4).</w:t>
      </w:r>
    </w:p>
    <w:p w:rsidR="00BB1A50" w:rsidP="20724B02" w:rsidRDefault="00BB1A50" w14:paraId="2903715D" w14:textId="1296F2E2">
      <w:pPr>
        <w:bidi w:val="0"/>
        <w:spacing w:before="0" w:beforeAutospacing="off" w:after="200" w:afterAutospacing="off" w:line="276" w:lineRule="auto"/>
      </w:pPr>
      <w:r w:rsidRPr="20724B02" w:rsidR="0F0587F1">
        <w:rPr>
          <w:rFonts w:ascii="Arial" w:hAnsi="Arial" w:eastAsia="Arial" w:cs="Arial"/>
          <w:noProof w:val="0"/>
          <w:sz w:val="22"/>
          <w:szCs w:val="22"/>
          <w:lang w:val="en-US"/>
        </w:rPr>
        <w:t xml:space="preserve"> </w:t>
      </w:r>
    </w:p>
    <w:p w:rsidR="00BB1A50" w:rsidP="20724B02" w:rsidRDefault="00BB1A50" w14:paraId="2ED62A07" w14:textId="07580607">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9. Feature Engineering and Data Preparation</w:t>
      </w:r>
    </w:p>
    <w:p w:rsidR="00BB1A50" w:rsidP="20724B02" w:rsidRDefault="00BB1A50" w14:paraId="1D422650" w14:textId="685ED86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Three concise transformations were applied to render the four source datasets jointly analyzable; each maps directly to a hypothesis. (i) For H1, B2B Likert scores (1–10) were re-scaled to the 0–100 ACSI metric via a min-max transformation—Score_Normalised = ((Score − min) / (max − min)) × 100—and combined with the consumer benchmark under a single binary target variable Is_B2B (0 = Consumer, 1 = B2B). (ii) For H3B, telemetry region labels (US/EU/ASIA/Other) were harmonised to the financial dataset's nomenclature (AMER/EMEA/APJ) via an explicit dictionary mapping (US → AMER, EU → EMEA, ASIA → APJ, Other → EMEA), enabling an inner join on a clean Region_Clean key. (iii) For H3A, two survival-analysis variables were engineered: Tenure_Days (Days_Since_Launch with a floor of 1) and a binary Churn_Event flag derived from Subscription_Status where available (0 → Churn_Event = 1; 1 → Churn_Event = 0 [right-censored]) and from a Retention_Day_30 &lt; 20 fallback rule otherwise. Feature usage metrics were coerced into a clean binary Is_Adopter variable. No further transformations were required prior to modelling.</w:t>
      </w:r>
    </w:p>
    <w:p w:rsidR="00BB1A50" w:rsidP="20724B02" w:rsidRDefault="00BB1A50" w14:paraId="641825C3" w14:textId="4ADAAC14">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36BB2E11" w14:textId="6C787ED0">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10. Modeling Methodology</w:t>
      </w:r>
    </w:p>
    <w:p w:rsidR="00BB1A50" w:rsidP="20724B02" w:rsidRDefault="00BB1A50" w14:paraId="457F50EA" w14:textId="27551E5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modelling strategy has been purposefully designed in order to match the mathematical characteristics of the engineered variables under each hypothesis, ensuring robust inference from the data.</w:t>
      </w:r>
    </w:p>
    <w:p w:rsidR="00BB1A50" w:rsidP="20724B02" w:rsidRDefault="00BB1A50" w14:paraId="2C125FDD" w14:textId="1CE34714">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 xml:space="preserve">10.1 H1 </w:t>
      </w:r>
    </w:p>
    <w:p w:rsidR="00BB1A50" w:rsidP="20724B02" w:rsidRDefault="00BB1A50" w14:paraId="11AA57F7" w14:textId="21D47BBB">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10.1.1 Non-Parametric Hypothesis Testing: Mann-Whitney U Test</w:t>
      </w:r>
    </w:p>
    <w:p w:rsidR="00BB1A50" w:rsidP="20724B02" w:rsidRDefault="00BB1A50" w14:paraId="0EED6ABA" w14:textId="193F48A4">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User satisfaction scores frequently deviate from Gaussian normality—they are often negatively skewed as satisfied users cluster at the high end of the scale. Parametric t-tests are therefore inappropriate and prone to Type I errors under these distributional conditions. The Mann-Whitney U test [5] was selected as a non-parametric rank-based alternative. It evaluates whether the ranks of consumer satisfaction scores are systematically higher than those of B2B scores without assuming a particular distributional form, providing a statistically principled test of H1.</w:t>
      </w:r>
    </w:p>
    <w:p w:rsidR="00BB1A50" w:rsidP="20724B02" w:rsidRDefault="00BB1A50" w14:paraId="538C6DED" w14:textId="71177B83">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10.1.2 Logistic Regression Classifier</w:t>
      </w:r>
    </w:p>
    <w:p w:rsidR="00BB1A50" w:rsidP="20724B02" w:rsidRDefault="00BB1A50" w14:paraId="7E5ABC6C" w14:textId="1738B7A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To operationalise the magnitude of the satisfaction gap as a predictive characteristic, a Logistic Regression model was constructed. The consolidated dataset was split into 70% training and 30% testing subsets using stratified sampling on the Is_B2B target variable to ensure class balance. The model was trained to predict whether a given satisfaction score originated from a consumer or B2B environment. The accuracy of this classifier serves as a proxy for the separability of the two distributions; high predictive accuracy indicates that the satisfaction gap is sufficiently large to constitute a defining characteristic of B2B user experience, supporting H1.</w:t>
      </w:r>
    </w:p>
    <w:p w:rsidR="00BB1A50" w:rsidP="20724B02" w:rsidRDefault="00BB1A50" w14:paraId="6684A414" w14:textId="0A086985">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 xml:space="preserve">10.2 H2 </w:t>
      </w:r>
    </w:p>
    <w:p w:rsidR="00BB1A50" w:rsidP="20724B02" w:rsidRDefault="00BB1A50" w14:paraId="374DA4F4" w14:textId="46E9BAB7">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10.2.1 Independent Two-Sample Welch's T-Test</w:t>
      </w:r>
    </w:p>
    <w:p w:rsidR="00BB1A50" w:rsidP="20724B02" w:rsidRDefault="00BB1A50" w14:paraId="60104F44" w14:textId="51D2981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experimental A/B dataset compared Time-on-Task across the Manual and Intuitive UI conditions. Because the variances of the two groups are expected to differ (high friction generates wider variance, Welch's T-test was selected over Student's T-test, explicitly setting equal_var=False. This rigorously tested the null hypothesis that mean task completion times are equal across both UI designs, and constitutes the experimental arm of H2.</w:t>
      </w:r>
    </w:p>
    <w:p w:rsidR="00BB1A50" w:rsidP="20724B02" w:rsidRDefault="00BB1A50" w14:paraId="6D213C36" w14:textId="1DEBD214">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10.2.2 Logistic Regression with Odds Ratio</w:t>
      </w:r>
    </w:p>
    <w:p w:rsidR="00BB1A50" w:rsidP="20724B02" w:rsidRDefault="00BB1A50" w14:paraId="0A769346" w14:textId="276693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To quantify usability's influence on real-world feature adoption, a Logistic Regression model was deployed via the statsmodels API. The binary outcome Adopted was regressed against the continuous predictor Engagement_Score with an explicit intercept term. Odds Ratios were calculated by exponentiating the model coefficients, isolating the percentage change in adoption probability associated with a unit-level improvement in the UX engagement score. This constitutes the telemetry arm of H2.</w:t>
      </w:r>
    </w:p>
    <w:p w:rsidR="00BB1A50" w:rsidP="20724B02" w:rsidRDefault="00BB1A50" w14:paraId="7320503E" w14:textId="1A358415">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 xml:space="preserve">10.3 H3A and H3B </w:t>
      </w:r>
    </w:p>
    <w:p w:rsidR="00BB1A50" w:rsidP="20724B02" w:rsidRDefault="00BB1A50" w14:paraId="5766EC9B" w14:textId="4054E56A">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10.3.1 Kaplan-Meier Survival Analysis (H3A)</w:t>
      </w:r>
    </w:p>
    <w:p w:rsidR="00BB1A50" w:rsidP="20724B02" w:rsidRDefault="00BB1A50" w14:paraId="1CEC2E54" w14:textId="18BE269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Kaplan-Meier (KM) Fitter [4] was deployed to estimate the survival function S(t)—the probability that a given user remains active (non-churned) beyond time t—for two cohorts: Adopters versus Non-Adopters. The KM estimator is a non-parametric approach that accommodates right-censored data (users still active at the end of the observation window) without parametric assumptions about the underlying survival distribution, making it well-suited to SaaS customer-lifecycle data and to the visual statement of H3A.</w:t>
      </w:r>
    </w:p>
    <w:p w:rsidR="00BB1A50" w:rsidP="20724B02" w:rsidRDefault="00BB1A50" w14:paraId="3CC4A427" w14:textId="5EB62E68">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10.3.2 Cox Proportional Hazards Modelling (H3A)</w:t>
      </w:r>
    </w:p>
    <w:p w:rsidR="00BB1A50" w:rsidP="20724B02" w:rsidRDefault="00BB1A50" w14:paraId="012F5956" w14:textId="05FCCE3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To control for multivariate effects and generate a quantifiable hazard metric for H3A, a Cox Proportional Hazards (CPH) model [11] was constructed. The dataset included Tenure_Days, Churn_Event, Is_Adopter, and Engagement_Score. An L2 regularisation penalizer (set to 0.5) was applied to address the multicollinearity flagged (highly engaged users are typically adopters as well), stabilising coefficient estimation and enabling the model to isolate the specific Hazard Ratio (HR) attributable to the Is_Adopter status.</w:t>
      </w:r>
    </w:p>
    <w:p w:rsidR="00BB1A50" w:rsidP="20724B02" w:rsidRDefault="00BB1A50" w14:paraId="0506CEF7" w14:textId="2E88C66B">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10.3.3 Multivariate Regional Revenue Analysis (H3B)</w:t>
      </w:r>
    </w:p>
    <w:p w:rsidR="00BB1A50" w:rsidP="20724B02" w:rsidRDefault="00BB1A50" w14:paraId="119D45BB" w14:textId="36D54E7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H3B test linked behavioural adoption metrics to macro-financial performance through group-by aggregations at the regional level, followed by multivariate linear correlation between regional Average Engagement Score, regional Adoption Rate, regional Sales, and regional Profit. By constructing the analytical unit at the region level, this approach completes the causal chain from UX quality to commercial financial outcomes.</w:t>
      </w:r>
    </w:p>
    <w:p w:rsidR="00BB1A50" w:rsidP="20724B02" w:rsidRDefault="00BB1A50" w14:paraId="551BE7CA" w14:textId="40F7D44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18522BAE" w14:textId="0E8F60C6">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11. Evaluation Metrics</w:t>
      </w:r>
    </w:p>
    <w:p w:rsidR="00BB1A50" w:rsidP="20724B02" w:rsidRDefault="00BB1A50" w14:paraId="02CE830F" w14:textId="33150DA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quantitative claims in this study are anchored to standard, widely accepted evaluation metrics, ensuring reproducibility and academic rigor.</w:t>
      </w:r>
    </w:p>
    <w:p w:rsidR="00BB1A50" w:rsidP="20724B02" w:rsidRDefault="00BB1A50" w14:paraId="261EAE34" w14:textId="525E5DE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Hypothesis Testing (H1, H2). For the Mann-Whitney U and Welch's T-tests, the primary metric is the p-value with a significance threshold of α = 0.05. Effect sizes are quantified using Cohen's d [13] to provide practical context for the magnitude of observed differences, distinguishing statistical significance from real-world relevance.</w:t>
      </w:r>
    </w:p>
    <w:p w:rsidR="00BB1A50" w:rsidP="20724B02" w:rsidRDefault="00BB1A50" w14:paraId="2D339558" w14:textId="1712F9A1">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Classification Performance (H1). The Logistic Regression classifier is evaluated using the Receiver Operating Characteristic Area Under the Curve (ROC-AUC). An ROC-AUC of 0.5 indicates random classification, while a score approaching 1.0 indicates near-perfect separability. Precision, Recall, and F1-score derived from the model's confusion matrix on the testing dataset provide additional granularity.</w:t>
      </w:r>
    </w:p>
    <w:p w:rsidR="00BB1A50" w:rsidP="20724B02" w:rsidRDefault="00BB1A50" w14:paraId="5558F65B" w14:textId="7A3258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Odds Ratio (H2). For the logistic relationship defining adoption likelihood, the focal metric is the Odds Ratio (OR), interpreted alongside its model p-value. An OR &gt; 1 indicates that an increase in the predictor (usability) increases the probability of the outcome (adoption), with the magnitude of OR quantifying the percentage uplift per unit improvement.</w:t>
      </w:r>
    </w:p>
    <w:p w:rsidR="00BB1A50" w:rsidP="20724B02" w:rsidRDefault="00BB1A50" w14:paraId="711AEC61" w14:textId="6D0C6B9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Survival Analysis Metrics (H3A). For the Cox Proportional Hazards model, the defining metric is the Hazard Ratio (HR). An HR &lt; 1 indicates a protective effect (the variable reduces churn risk), while an HR &gt; 1 indicates increased risk. Overall predictive power is evaluated using the Concordance Index (C-index), where a value above 0.5 indicates predictive capacity superior to random chance.</w:t>
      </w:r>
    </w:p>
    <w:p w:rsidR="00BB1A50" w:rsidP="20724B02" w:rsidRDefault="00BB1A50" w14:paraId="73EDD763" w14:textId="4A60A1B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Multivariate Regional Analysis Metrics (H3B). For the regional revenue analysis, the focal metrics are the Pearson correlation coefficient between Adoption Rate and Sales/Profit and the directional consistency of the per-region rank ordering across Engagement, Adoption, and revenue measures.</w:t>
      </w:r>
    </w:p>
    <w:p w:rsidR="00BB1A50" w:rsidP="20724B02" w:rsidRDefault="00BB1A50" w14:paraId="756925DD" w14:textId="0AEEC32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5B95BAC" w14:textId="0A098760">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12. Results</w:t>
      </w:r>
    </w:p>
    <w:p w:rsidR="00BB1A50" w:rsidP="20724B02" w:rsidRDefault="00BB1A50" w14:paraId="74809656" w14:textId="78874D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empirical results are structured sequentially across the four hypotheses, building from user sentiment (H1) to behavioural adoption (H2) to commercial outcomes (H3A: churn; H3B: revenue). Table 3 summarises the key findings before the per-hypothesis detail.</w:t>
      </w:r>
    </w:p>
    <w:p w:rsidR="00BB1A50" w:rsidP="20724B02" w:rsidRDefault="00BB1A50" w14:paraId="79ACC86C" w14:textId="43F4962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4F99800D" w14:textId="1C2A0069">
      <w:pPr>
        <w:bidi w:val="0"/>
        <w:spacing w:before="0" w:beforeAutospacing="off" w:after="200" w:afterAutospacing="off" w:line="276" w:lineRule="auto"/>
        <w:jc w:val="center"/>
      </w:pPr>
      <w:r w:rsidRPr="20724B02" w:rsidR="0F0587F1">
        <w:rPr>
          <w:rFonts w:ascii="Calibri" w:hAnsi="Calibri" w:eastAsia="Calibri" w:cs="Calibri"/>
          <w:b w:val="1"/>
          <w:bCs w:val="1"/>
          <w:noProof w:val="0"/>
          <w:sz w:val="20"/>
          <w:szCs w:val="20"/>
          <w:lang w:val="en-US"/>
        </w:rPr>
        <w:t>Table 3. Summary of Key Empirical Findings</w:t>
      </w:r>
    </w:p>
    <w:tbl>
      <w:tblPr>
        <w:tblStyle w:val="TableGrid"/>
        <w:bidiVisual w:val="0"/>
        <w:tblW w:w="0" w:type="auto"/>
        <w:tblLook w:val="04A0" w:firstRow="1" w:lastRow="0" w:firstColumn="1" w:lastColumn="0" w:noHBand="0" w:noVBand="1"/>
      </w:tblPr>
      <w:tblGrid>
        <w:gridCol w:w="720"/>
        <w:gridCol w:w="2010"/>
        <w:gridCol w:w="1590"/>
        <w:gridCol w:w="1875"/>
        <w:gridCol w:w="3600"/>
      </w:tblGrid>
      <w:tr w:rsidR="20724B02" w:rsidTr="20724B02" w14:paraId="32291B6A">
        <w:trPr>
          <w:trHeight w:val="300"/>
        </w:trPr>
        <w:tc>
          <w:tcPr>
            <w:tcW w:w="72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6F059546" w14:textId="08666E31">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H#</w:t>
            </w:r>
          </w:p>
        </w:tc>
        <w:tc>
          <w:tcPr>
            <w:tcW w:w="20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5003E2BC" w14:textId="71C6E671">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Test / Model</w:t>
            </w:r>
          </w:p>
        </w:tc>
        <w:tc>
          <w:tcPr>
            <w:tcW w:w="159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4FC230ED" w14:textId="55AF29DC">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Key Metric</w:t>
            </w:r>
          </w:p>
        </w:tc>
        <w:tc>
          <w:tcPr>
            <w:tcW w:w="1875"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3F3BC05E" w14:textId="1695E246">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Result</w:t>
            </w:r>
          </w:p>
        </w:tc>
        <w:tc>
          <w:tcPr>
            <w:tcW w:w="360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3DD7C8D4" w14:textId="65AE52DA">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Finding</w:t>
            </w:r>
          </w:p>
        </w:tc>
      </w:tr>
      <w:tr w:rsidR="20724B02" w:rsidTr="20724B02" w14:paraId="6A86C96F">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4C8D68D9" w14:textId="7C4BA6B3">
            <w:pPr>
              <w:bidi w:val="0"/>
              <w:spacing w:before="0" w:beforeAutospacing="off" w:after="0" w:afterAutospacing="off"/>
            </w:pPr>
            <w:r w:rsidRPr="20724B02" w:rsidR="20724B02">
              <w:rPr>
                <w:rFonts w:ascii="Calibri" w:hAnsi="Calibri" w:eastAsia="Calibri" w:cs="Calibri"/>
                <w:sz w:val="20"/>
                <w:szCs w:val="20"/>
                <w:lang w:val="en-US"/>
              </w:rPr>
              <w:t>H1</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1BB65A42" w14:textId="583D6787">
            <w:pPr>
              <w:bidi w:val="0"/>
              <w:spacing w:before="0" w:beforeAutospacing="off" w:after="0" w:afterAutospacing="off"/>
            </w:pPr>
            <w:r w:rsidRPr="20724B02" w:rsidR="20724B02">
              <w:rPr>
                <w:rFonts w:ascii="Calibri" w:hAnsi="Calibri" w:eastAsia="Calibri" w:cs="Calibri"/>
                <w:sz w:val="20"/>
                <w:szCs w:val="20"/>
                <w:lang w:val="en-US"/>
              </w:rPr>
              <w:t>Mann-Whitney U Test</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0A4B98C4" w14:textId="03669AAD">
            <w:pPr>
              <w:bidi w:val="0"/>
              <w:spacing w:before="0" w:beforeAutospacing="off" w:after="0" w:afterAutospacing="off"/>
            </w:pPr>
            <w:r w:rsidRPr="20724B02" w:rsidR="20724B02">
              <w:rPr>
                <w:rFonts w:ascii="Calibri" w:hAnsi="Calibri" w:eastAsia="Calibri" w:cs="Calibri"/>
                <w:sz w:val="20"/>
                <w:szCs w:val="20"/>
                <w:lang w:val="en-US"/>
              </w:rPr>
              <w:t>p-value; Cohen's d</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606430BE" w14:textId="77508A2D">
            <w:pPr>
              <w:bidi w:val="0"/>
              <w:spacing w:before="0" w:beforeAutospacing="off" w:after="0" w:afterAutospacing="off"/>
            </w:pPr>
            <w:r w:rsidRPr="20724B02" w:rsidR="20724B02">
              <w:rPr>
                <w:rFonts w:ascii="Calibri" w:hAnsi="Calibri" w:eastAsia="Calibri" w:cs="Calibri"/>
                <w:sz w:val="20"/>
                <w:szCs w:val="20"/>
                <w:lang w:val="en-US"/>
              </w:rPr>
              <w:t>p &lt; 0.001; d = 1.34</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5A9779E0" w14:textId="47ADD781">
            <w:pPr>
              <w:bidi w:val="0"/>
              <w:spacing w:before="0" w:beforeAutospacing="off" w:after="0" w:afterAutospacing="off"/>
            </w:pPr>
            <w:r w:rsidRPr="20724B02" w:rsidR="20724B02">
              <w:rPr>
                <w:rFonts w:ascii="Calibri" w:hAnsi="Calibri" w:eastAsia="Calibri" w:cs="Calibri"/>
                <w:sz w:val="20"/>
                <w:szCs w:val="20"/>
                <w:lang w:val="en-US"/>
              </w:rPr>
              <w:t>B2B mean satisfaction (61.2) is materially below consumer ACSI mean (79.4); effect size is 'very large'. H1 supported.</w:t>
            </w:r>
          </w:p>
        </w:tc>
      </w:tr>
      <w:tr w:rsidR="20724B02" w:rsidTr="20724B02" w14:paraId="657F2559">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3979E3CC" w14:textId="0B36C441">
            <w:pPr>
              <w:bidi w:val="0"/>
              <w:spacing w:before="0" w:beforeAutospacing="off" w:after="0" w:afterAutospacing="off"/>
            </w:pPr>
            <w:r w:rsidRPr="20724B02" w:rsidR="20724B02">
              <w:rPr>
                <w:rFonts w:ascii="Calibri" w:hAnsi="Calibri" w:eastAsia="Calibri" w:cs="Calibri"/>
                <w:sz w:val="20"/>
                <w:szCs w:val="20"/>
                <w:lang w:val="en-US"/>
              </w:rPr>
              <w:t>H1</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251AF265" w14:textId="2252781C">
            <w:pPr>
              <w:bidi w:val="0"/>
              <w:spacing w:before="0" w:beforeAutospacing="off" w:after="0" w:afterAutospacing="off"/>
            </w:pPr>
            <w:r w:rsidRPr="20724B02" w:rsidR="20724B02">
              <w:rPr>
                <w:rFonts w:ascii="Calibri" w:hAnsi="Calibri" w:eastAsia="Calibri" w:cs="Calibri"/>
                <w:sz w:val="20"/>
                <w:szCs w:val="20"/>
                <w:lang w:val="en-US"/>
              </w:rPr>
              <w:t>Logistic Regression Classifier</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6AB78757" w14:textId="0954A241">
            <w:pPr>
              <w:bidi w:val="0"/>
              <w:spacing w:before="0" w:beforeAutospacing="off" w:after="0" w:afterAutospacing="off"/>
            </w:pPr>
            <w:r w:rsidRPr="20724B02" w:rsidR="20724B02">
              <w:rPr>
                <w:rFonts w:ascii="Calibri" w:hAnsi="Calibri" w:eastAsia="Calibri" w:cs="Calibri"/>
                <w:sz w:val="20"/>
                <w:szCs w:val="20"/>
                <w:lang w:val="en-US"/>
              </w:rPr>
              <w:t>ROC-AUC</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4E49011D" w14:textId="6F519D15">
            <w:pPr>
              <w:bidi w:val="0"/>
              <w:spacing w:before="0" w:beforeAutospacing="off" w:after="0" w:afterAutospacing="off"/>
            </w:pPr>
            <w:r w:rsidRPr="20724B02" w:rsidR="20724B02">
              <w:rPr>
                <w:rFonts w:ascii="Calibri" w:hAnsi="Calibri" w:eastAsia="Calibri" w:cs="Calibri"/>
                <w:sz w:val="20"/>
                <w:szCs w:val="20"/>
                <w:lang w:val="en-US"/>
              </w:rPr>
              <w:t>0.89</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4B08DE20" w14:textId="21931CB1">
            <w:pPr>
              <w:bidi w:val="0"/>
              <w:spacing w:before="0" w:beforeAutospacing="off" w:after="0" w:afterAutospacing="off"/>
            </w:pPr>
            <w:r w:rsidRPr="20724B02" w:rsidR="20724B02">
              <w:rPr>
                <w:rFonts w:ascii="Calibri" w:hAnsi="Calibri" w:eastAsia="Calibri" w:cs="Calibri"/>
                <w:sz w:val="20"/>
                <w:szCs w:val="20"/>
                <w:lang w:val="en-US"/>
              </w:rPr>
              <w:t>Satisfaction score alone separates B2B from consumer origin with high accuracy, indicating the gap is a defining, predictive characteristic. H1 supported.</w:t>
            </w:r>
          </w:p>
        </w:tc>
      </w:tr>
      <w:tr w:rsidR="20724B02" w:rsidTr="20724B02" w14:paraId="4250094F">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0E1BE4EC" w14:textId="0D278EDD">
            <w:pPr>
              <w:bidi w:val="0"/>
              <w:spacing w:before="0" w:beforeAutospacing="off" w:after="0" w:afterAutospacing="off"/>
            </w:pPr>
            <w:r w:rsidRPr="20724B02" w:rsidR="20724B02">
              <w:rPr>
                <w:rFonts w:ascii="Calibri" w:hAnsi="Calibri" w:eastAsia="Calibri" w:cs="Calibri"/>
                <w:sz w:val="20"/>
                <w:szCs w:val="20"/>
                <w:lang w:val="en-US"/>
              </w:rPr>
              <w:t>H2</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4214C783" w14:textId="183D4B34">
            <w:pPr>
              <w:bidi w:val="0"/>
              <w:spacing w:before="0" w:beforeAutospacing="off" w:after="0" w:afterAutospacing="off"/>
            </w:pPr>
            <w:r w:rsidRPr="20724B02" w:rsidR="20724B02">
              <w:rPr>
                <w:rFonts w:ascii="Calibri" w:hAnsi="Calibri" w:eastAsia="Calibri" w:cs="Calibri"/>
                <w:sz w:val="20"/>
                <w:szCs w:val="20"/>
                <w:lang w:val="en-US"/>
              </w:rPr>
              <w:t>Welch's T-Test (A/B Experiment)</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501517E1" w14:textId="29C35545">
            <w:pPr>
              <w:bidi w:val="0"/>
              <w:spacing w:before="0" w:beforeAutospacing="off" w:after="0" w:afterAutospacing="off"/>
            </w:pPr>
            <w:r w:rsidRPr="20724B02" w:rsidR="20724B02">
              <w:rPr>
                <w:rFonts w:ascii="Calibri" w:hAnsi="Calibri" w:eastAsia="Calibri" w:cs="Calibri"/>
                <w:sz w:val="20"/>
                <w:szCs w:val="20"/>
                <w:lang w:val="en-US"/>
              </w:rPr>
              <w:t>p-value; Efficiency Gain</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69CD59D9" w14:textId="4BD23D90">
            <w:pPr>
              <w:bidi w:val="0"/>
              <w:spacing w:before="0" w:beforeAutospacing="off" w:after="0" w:afterAutospacing="off"/>
            </w:pPr>
            <w:r w:rsidRPr="20724B02" w:rsidR="20724B02">
              <w:rPr>
                <w:rFonts w:ascii="Calibri" w:hAnsi="Calibri" w:eastAsia="Calibri" w:cs="Calibri"/>
                <w:sz w:val="20"/>
                <w:szCs w:val="20"/>
                <w:lang w:val="en-US"/>
              </w:rPr>
              <w:t>p &lt; 0.001; 15.4% faster</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3A17D7C5" w14:textId="71F96508">
            <w:pPr>
              <w:bidi w:val="0"/>
              <w:spacing w:before="0" w:beforeAutospacing="off" w:after="0" w:afterAutospacing="off"/>
            </w:pPr>
            <w:r w:rsidRPr="20724B02" w:rsidR="20724B02">
              <w:rPr>
                <w:rFonts w:ascii="Calibri" w:hAnsi="Calibri" w:eastAsia="Calibri" w:cs="Calibri"/>
                <w:sz w:val="20"/>
                <w:szCs w:val="20"/>
                <w:lang w:val="en-US"/>
              </w:rPr>
              <w:t>Intuitive group completed standardised tasks 15.4% faster than Manual group (120.5s vs. 142.5s). H2 supported.</w:t>
            </w:r>
          </w:p>
        </w:tc>
      </w:tr>
      <w:tr w:rsidR="20724B02" w:rsidTr="20724B02" w14:paraId="282B5D67">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1B723C00" w14:textId="00681B1C">
            <w:pPr>
              <w:bidi w:val="0"/>
              <w:spacing w:before="0" w:beforeAutospacing="off" w:after="0" w:afterAutospacing="off"/>
            </w:pPr>
            <w:r w:rsidRPr="20724B02" w:rsidR="20724B02">
              <w:rPr>
                <w:rFonts w:ascii="Calibri" w:hAnsi="Calibri" w:eastAsia="Calibri" w:cs="Calibri"/>
                <w:sz w:val="20"/>
                <w:szCs w:val="20"/>
                <w:lang w:val="en-US"/>
              </w:rPr>
              <w:t>H2</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536410AD" w14:textId="5B9E4DB6">
            <w:pPr>
              <w:bidi w:val="0"/>
              <w:spacing w:before="0" w:beforeAutospacing="off" w:after="0" w:afterAutospacing="off"/>
            </w:pPr>
            <w:r w:rsidRPr="20724B02" w:rsidR="20724B02">
              <w:rPr>
                <w:rFonts w:ascii="Calibri" w:hAnsi="Calibri" w:eastAsia="Calibri" w:cs="Calibri"/>
                <w:sz w:val="20"/>
                <w:szCs w:val="20"/>
                <w:lang w:val="en-US"/>
              </w:rPr>
              <w:t>Logistic Regression (Adoption)</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66F101F1" w14:textId="7E21BFCE">
            <w:pPr>
              <w:bidi w:val="0"/>
              <w:spacing w:before="0" w:beforeAutospacing="off" w:after="0" w:afterAutospacing="off"/>
            </w:pPr>
            <w:r w:rsidRPr="20724B02" w:rsidR="20724B02">
              <w:rPr>
                <w:rFonts w:ascii="Calibri" w:hAnsi="Calibri" w:eastAsia="Calibri" w:cs="Calibri"/>
                <w:sz w:val="20"/>
                <w:szCs w:val="20"/>
                <w:lang w:val="en-US"/>
              </w:rPr>
              <w:t>Odds Ratio (OR)</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60D09166" w14:textId="121FA2F3">
            <w:pPr>
              <w:bidi w:val="0"/>
              <w:spacing w:before="0" w:beforeAutospacing="off" w:after="0" w:afterAutospacing="off"/>
            </w:pPr>
            <w:r w:rsidRPr="20724B02" w:rsidR="20724B02">
              <w:rPr>
                <w:rFonts w:ascii="Calibri" w:hAnsi="Calibri" w:eastAsia="Calibri" w:cs="Calibri"/>
                <w:sz w:val="20"/>
                <w:szCs w:val="20"/>
                <w:lang w:val="en-US"/>
              </w:rPr>
              <w:t>OR = 1.12, p &lt; 0.001</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2062B9EA" w14:textId="66272D9F">
            <w:pPr>
              <w:bidi w:val="0"/>
              <w:spacing w:before="0" w:beforeAutospacing="off" w:after="0" w:afterAutospacing="off"/>
            </w:pPr>
            <w:r w:rsidRPr="20724B02" w:rsidR="20724B02">
              <w:rPr>
                <w:rFonts w:ascii="Calibri" w:hAnsi="Calibri" w:eastAsia="Calibri" w:cs="Calibri"/>
                <w:sz w:val="20"/>
                <w:szCs w:val="20"/>
                <w:lang w:val="en-US"/>
              </w:rPr>
              <w:t>Each 1-point increase in Engagement_Score raises the odds of feature adoption by ~12%. H2 supported.</w:t>
            </w:r>
          </w:p>
        </w:tc>
      </w:tr>
      <w:tr w:rsidR="20724B02" w:rsidTr="20724B02" w14:paraId="0A980F5A">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714417EB" w14:textId="0251923E">
            <w:pPr>
              <w:bidi w:val="0"/>
              <w:spacing w:before="0" w:beforeAutospacing="off" w:after="0" w:afterAutospacing="off"/>
            </w:pPr>
            <w:r w:rsidRPr="20724B02" w:rsidR="20724B02">
              <w:rPr>
                <w:rFonts w:ascii="Calibri" w:hAnsi="Calibri" w:eastAsia="Calibri" w:cs="Calibri"/>
                <w:sz w:val="20"/>
                <w:szCs w:val="20"/>
                <w:lang w:val="en-US"/>
              </w:rPr>
              <w:t>H3A</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69EB5298" w14:textId="2AE7FAED">
            <w:pPr>
              <w:bidi w:val="0"/>
              <w:spacing w:before="0" w:beforeAutospacing="off" w:after="0" w:afterAutospacing="off"/>
            </w:pPr>
            <w:r w:rsidRPr="20724B02" w:rsidR="20724B02">
              <w:rPr>
                <w:rFonts w:ascii="Calibri" w:hAnsi="Calibri" w:eastAsia="Calibri" w:cs="Calibri"/>
                <w:sz w:val="20"/>
                <w:szCs w:val="20"/>
                <w:lang w:val="en-US"/>
              </w:rPr>
              <w:t>Kaplan-Meier Survival</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5351E451" w14:textId="49B84341">
            <w:pPr>
              <w:bidi w:val="0"/>
              <w:spacing w:before="0" w:beforeAutospacing="off" w:after="0" w:afterAutospacing="off"/>
            </w:pPr>
            <w:r w:rsidRPr="20724B02" w:rsidR="20724B02">
              <w:rPr>
                <w:rFonts w:ascii="Calibri" w:hAnsi="Calibri" w:eastAsia="Calibri" w:cs="Calibri"/>
                <w:sz w:val="20"/>
                <w:szCs w:val="20"/>
                <w:lang w:val="en-US"/>
              </w:rPr>
              <w:t>Survival Curves</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55967C1E" w14:textId="719026BF">
            <w:pPr>
              <w:bidi w:val="0"/>
              <w:spacing w:before="0" w:beforeAutospacing="off" w:after="0" w:afterAutospacing="off"/>
            </w:pPr>
            <w:r w:rsidRPr="20724B02" w:rsidR="20724B02">
              <w:rPr>
                <w:rFonts w:ascii="Calibri" w:hAnsi="Calibri" w:eastAsia="Calibri" w:cs="Calibri"/>
                <w:sz w:val="20"/>
                <w:szCs w:val="20"/>
                <w:lang w:val="en-US"/>
              </w:rPr>
              <w:t>100-day cohort divergence</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3E2EF652" w14:textId="30D6E156">
            <w:pPr>
              <w:bidi w:val="0"/>
              <w:spacing w:before="0" w:beforeAutospacing="off" w:after="0" w:afterAutospacing="off"/>
            </w:pPr>
            <w:r w:rsidRPr="20724B02" w:rsidR="20724B02">
              <w:rPr>
                <w:rFonts w:ascii="Calibri" w:hAnsi="Calibri" w:eastAsia="Calibri" w:cs="Calibri"/>
                <w:sz w:val="20"/>
                <w:szCs w:val="20"/>
                <w:lang w:val="en-US"/>
              </w:rPr>
              <w:t>Adopters retain a substantially higher 100-day survival probability than non-adopters; survival gap widens during the early onboarding window. H3A directionally supported.</w:t>
            </w:r>
          </w:p>
        </w:tc>
      </w:tr>
      <w:tr w:rsidR="20724B02" w:rsidTr="20724B02" w14:paraId="473D1546">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0B96A9EB" w14:textId="61346CD4">
            <w:pPr>
              <w:bidi w:val="0"/>
              <w:spacing w:before="0" w:beforeAutospacing="off" w:after="0" w:afterAutospacing="off"/>
            </w:pPr>
            <w:r w:rsidRPr="20724B02" w:rsidR="20724B02">
              <w:rPr>
                <w:rFonts w:ascii="Calibri" w:hAnsi="Calibri" w:eastAsia="Calibri" w:cs="Calibri"/>
                <w:sz w:val="20"/>
                <w:szCs w:val="20"/>
                <w:lang w:val="en-US"/>
              </w:rPr>
              <w:t>H3A</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18684A7C" w14:textId="665D91FA">
            <w:pPr>
              <w:bidi w:val="0"/>
              <w:spacing w:before="0" w:beforeAutospacing="off" w:after="0" w:afterAutospacing="off"/>
            </w:pPr>
            <w:r w:rsidRPr="20724B02" w:rsidR="20724B02">
              <w:rPr>
                <w:rFonts w:ascii="Calibri" w:hAnsi="Calibri" w:eastAsia="Calibri" w:cs="Calibri"/>
                <w:sz w:val="20"/>
                <w:szCs w:val="20"/>
                <w:lang w:val="en-US"/>
              </w:rPr>
              <w:t>Cox Proportional Hazards</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03562A22" w14:textId="4D94ED2A">
            <w:pPr>
              <w:bidi w:val="0"/>
              <w:spacing w:before="0" w:beforeAutospacing="off" w:after="0" w:afterAutospacing="off"/>
            </w:pPr>
            <w:r w:rsidRPr="20724B02" w:rsidR="20724B02">
              <w:rPr>
                <w:rFonts w:ascii="Calibri" w:hAnsi="Calibri" w:eastAsia="Calibri" w:cs="Calibri"/>
                <w:sz w:val="20"/>
                <w:szCs w:val="20"/>
                <w:lang w:val="en-US"/>
              </w:rPr>
              <w:t>Hazard Ratio (HR)</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100B92AA" w14:textId="13026840">
            <w:pPr>
              <w:bidi w:val="0"/>
              <w:spacing w:before="0" w:beforeAutospacing="off" w:after="0" w:afterAutospacing="off"/>
            </w:pPr>
            <w:r w:rsidRPr="20724B02" w:rsidR="20724B02">
              <w:rPr>
                <w:rFonts w:ascii="Calibri" w:hAnsi="Calibri" w:eastAsia="Calibri" w:cs="Calibri"/>
                <w:sz w:val="20"/>
                <w:szCs w:val="20"/>
                <w:lang w:val="en-US"/>
              </w:rPr>
              <w:t>HR = 0.77 (p = 0.08)</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41C27E2B" w14:textId="55113912">
            <w:pPr>
              <w:bidi w:val="0"/>
              <w:spacing w:before="0" w:beforeAutospacing="off" w:after="0" w:afterAutospacing="off"/>
            </w:pPr>
            <w:r w:rsidRPr="20724B02" w:rsidR="20724B02">
              <w:rPr>
                <w:rFonts w:ascii="Calibri" w:hAnsi="Calibri" w:eastAsia="Calibri" w:cs="Calibri"/>
                <w:sz w:val="20"/>
                <w:szCs w:val="20"/>
                <w:lang w:val="en-US"/>
              </w:rPr>
              <w:t>Adopters exhibit ~23% lower churn hazard than non-adopters; p-value is borderline (above α = 0.05) due to sample-size and L2 shrinkage. H3A directionally supported pending replication.</w:t>
            </w:r>
          </w:p>
        </w:tc>
      </w:tr>
      <w:tr w:rsidR="20724B02" w:rsidTr="20724B02" w14:paraId="4D372248">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42DA064E" w14:textId="3ACA8BDA">
            <w:pPr>
              <w:bidi w:val="0"/>
              <w:spacing w:before="0" w:beforeAutospacing="off" w:after="0" w:afterAutospacing="off"/>
            </w:pPr>
            <w:r w:rsidRPr="20724B02" w:rsidR="20724B02">
              <w:rPr>
                <w:rFonts w:ascii="Calibri" w:hAnsi="Calibri" w:eastAsia="Calibri" w:cs="Calibri"/>
                <w:sz w:val="20"/>
                <w:szCs w:val="20"/>
                <w:lang w:val="en-US"/>
              </w:rPr>
              <w:t>H3B</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40809142" w14:textId="17281255">
            <w:pPr>
              <w:bidi w:val="0"/>
              <w:spacing w:before="0" w:beforeAutospacing="off" w:after="0" w:afterAutospacing="off"/>
            </w:pPr>
            <w:r w:rsidRPr="20724B02" w:rsidR="20724B02">
              <w:rPr>
                <w:rFonts w:ascii="Calibri" w:hAnsi="Calibri" w:eastAsia="Calibri" w:cs="Calibri"/>
                <w:sz w:val="20"/>
                <w:szCs w:val="20"/>
                <w:lang w:val="en-US"/>
              </w:rPr>
              <w:t>Multivariate Regional Revenue Analysis</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1B39AC99" w14:textId="6A58E821">
            <w:pPr>
              <w:bidi w:val="0"/>
              <w:spacing w:before="0" w:beforeAutospacing="off" w:after="0" w:afterAutospacing="off"/>
            </w:pPr>
            <w:r w:rsidRPr="20724B02" w:rsidR="20724B02">
              <w:rPr>
                <w:rFonts w:ascii="Calibri" w:hAnsi="Calibri" w:eastAsia="Calibri" w:cs="Calibri"/>
                <w:sz w:val="20"/>
                <w:szCs w:val="20"/>
                <w:lang w:val="en-US"/>
              </w:rPr>
              <w:t>Cross-region rank consistency; positive covariance</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5123D7AA" w14:textId="3D157489">
            <w:pPr>
              <w:bidi w:val="0"/>
              <w:spacing w:before="0" w:beforeAutospacing="off" w:after="0" w:afterAutospacing="off"/>
            </w:pPr>
            <w:r w:rsidRPr="20724B02" w:rsidR="20724B02">
              <w:rPr>
                <w:rFonts w:ascii="Calibri" w:hAnsi="Calibri" w:eastAsia="Calibri" w:cs="Calibri"/>
                <w:sz w:val="20"/>
                <w:szCs w:val="20"/>
                <w:lang w:val="en-US"/>
              </w:rPr>
              <w:t>EMEA highest on Engagement, Adoption, Sales and Profit; APJ lowest on all four</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064F7980" w14:textId="50B0F8B6">
            <w:pPr>
              <w:bidi w:val="0"/>
              <w:spacing w:before="0" w:beforeAutospacing="off" w:after="0" w:afterAutospacing="off"/>
            </w:pPr>
            <w:r w:rsidRPr="20724B02" w:rsidR="20724B02">
              <w:rPr>
                <w:rFonts w:ascii="Calibri" w:hAnsi="Calibri" w:eastAsia="Calibri" w:cs="Calibri"/>
                <w:sz w:val="20"/>
                <w:szCs w:val="20"/>
                <w:lang w:val="en-US"/>
              </w:rPr>
              <w:t>Higher regional adoption co-occurs with higher regional sales and profit; rank-ordering is consistent across all four metrics. H3B supported (cross-sectional).</w:t>
            </w:r>
          </w:p>
        </w:tc>
      </w:tr>
    </w:tbl>
    <w:p w:rsidR="00BB1A50" w:rsidP="20724B02" w:rsidRDefault="00BB1A50" w14:paraId="52A46551" w14:textId="065CCFA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85168E7" w14:textId="7F8E84CF">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12.1 Results for H1: Quantifying the Expectation Gap</w:t>
      </w:r>
    </w:p>
    <w:p w:rsidR="00BB1A50" w:rsidP="20724B02" w:rsidRDefault="00BB1A50" w14:paraId="39FAEE2A" w14:textId="6F86760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comparative analysis between B2B satisfaction metrics and the ACSI consumer benchmark provided evidence for a substantive expectation gap. Descriptive statistics indicated a notable disparity in central tendencies: the mean normalised satisfaction score for the consumer dataset was 79.4 (out of 100), while the mean normalised score for the B2B dataset was 61.2—a gap of 18.2 points.</w:t>
      </w:r>
    </w:p>
    <w:p w:rsidR="00BB1A50" w:rsidP="20724B02" w:rsidRDefault="00BB1A50" w14:paraId="2881B287" w14:textId="4CEFBFC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Mann-Whitney U test confirmed that this distributional difference is statistically significant (p &lt; 0.001), allowing for the rejection of the null hypothesis that the two samples originate from the same distribution. Cohen's d was calculated to measure the effect size, yielding d = 1.34—categorised as a "very large" effect in behavioural statistics [13]. This indicates that the B2B satisfaction distribution is shifted lower by more than one full standard deviation relative to consumer scores, representing a practically significant disparity beyond the threshold of statistical significance.</w:t>
      </w:r>
    </w:p>
    <w:p w:rsidR="00BB1A50" w:rsidP="20724B02" w:rsidRDefault="00BB1A50" w14:paraId="477B510A" w14:textId="42CD7EC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Logistic Regression classifier trained to distinguish Consumer from B2B satisfaction scores achieved an ROC-AUC of 0.89, indicating high separability between the two distributions. H1 is supported.</w:t>
      </w:r>
    </w:p>
    <w:p w:rsidR="00BB1A50" w:rsidP="20724B02" w:rsidRDefault="00BB1A50" w14:paraId="3E6BB9C7" w14:textId="283A356E">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12.2 Results for H2: Usability as the Catalyst for Adoption</w:t>
      </w:r>
    </w:p>
    <w:p w:rsidR="00BB1A50" w:rsidP="20724B02" w:rsidRDefault="00BB1A50" w14:paraId="4B043F08" w14:textId="3165BDB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investigation into the micro-mechanics of usability yielded evidence that intuitive design directly influences task efficiency and subsequent feature adoption. The A/B experimental analysis revealed a mean task-completion time of 142.5 seconds for the Manual (complex, high-friction) group and 120.5 seconds for the Intuitive (automated, low-friction) group. The Welch's T-test applied to these distributions yielded p &lt; 0.001, confirming statistically significant variance between the cohorts. This equates to an efficiency gain of 15.4%, attributable solely to the UX intervention.</w:t>
      </w:r>
    </w:p>
    <w:p w:rsidR="00BB1A50" w:rsidP="20724B02" w:rsidRDefault="00BB1A50" w14:paraId="32CB37EF" w14:textId="6D54C556">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Logistic Regression model applied to real-world product telemetry yielded an Odds Ratio (OR) of 1.12 with p &lt; 0.001: for every single-unit (1-point) increase in Engagement_Score, the odds of feature adoption increase by approximately 12%. H2 is supported.</w:t>
      </w:r>
    </w:p>
    <w:p w:rsidR="00BB1A50" w:rsidP="20724B02" w:rsidRDefault="00BB1A50" w14:paraId="2DD6CF65" w14:textId="5F5EB044">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12.3 Results for H3A: Adoption and Customer Churn</w:t>
      </w:r>
    </w:p>
    <w:p w:rsidR="00BB1A50" w:rsidP="20724B02" w:rsidRDefault="00BB1A50" w14:paraId="19886A8F" w14:textId="6B5B495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Kaplan-Meier survival curves generated for the Adopter and Non-Adopter cohorts demonstrated a consistent survival advantage for adopters over the 100-day observation window. The survival curve for non-adopters exhibited rapid early-stage decay, consistent with the early onboarding-failure pattern common in SaaS environments where users fail to find immediate value.</w:t>
      </w:r>
    </w:p>
    <w:p w:rsidR="00BB1A50" w:rsidP="20724B02" w:rsidRDefault="00BB1A50" w14:paraId="1E447B0E" w14:textId="1EA2DFC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Cox Proportional Hazards (CPH) model quantified this survival advantage via a Hazard Ratio (HR) of 0.77 for the Is_Adopter variable. An HR &lt; 1.0 indicates a protective effect; an HR of 0.77 therefore indicates that successful feature adoption is associated with a 23% reduction in the baseline churn risk. Methodological caveat (Limitation 1): The p-value for this covariate was 0.08, falling slightly outside the conventional α = 0.05 threshold, likely attributable to sample-size constraints and the conservative L2 shrinkage applied for numerical stability. The directional trend is consistent with the survival curves; H3A is directionally supported pending replication in a larger longitudinal dataset.</w:t>
      </w:r>
    </w:p>
    <w:p w:rsidR="00BB1A50" w:rsidP="20724B02" w:rsidRDefault="00BB1A50" w14:paraId="367F4D3D" w14:textId="6BAFE26B">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12.4 Results for H3B: Adoption and Revenue Growth</w:t>
      </w:r>
    </w:p>
    <w:p w:rsidR="00BB1A50" w:rsidP="20724B02" w:rsidRDefault="00BB1A50" w14:paraId="7D1555DD" w14:textId="5D3CE11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regional revenue analysis revealed that the EMEA market exhibited both the highest average Engagement Score and the highest Adoption Rate; correspondingly, EMEA generated the highest composite Sales and Profit metrics in the financial dataset. APJ exhibited the lowest values on all four measures, with AMER positioned between the two. The cross-region rank ordering was consistent across Engagement, Adoption, Sales, and Profit, and the pairwise covariance between Adoption Rate and Profit was positive in all three regions. H3B is supported in the cross-section.</w:t>
      </w:r>
    </w:p>
    <w:p w:rsidR="00BB1A50" w:rsidP="20724B02" w:rsidRDefault="00BB1A50" w14:paraId="6D129D52" w14:textId="618F292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472A7C9" w14:textId="31F3FC43">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13. Discussion</w:t>
      </w:r>
    </w:p>
    <w:p w:rsidR="00BB1A50" w:rsidP="20724B02" w:rsidRDefault="00BB1A50" w14:paraId="1918B9C9" w14:textId="602DFF9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synthesis of these empirical findings constructs a data-driven narrative that challenges prevailing assumptions in B2B SaaS development. For decades, the industry operated under the assumption that enterprise users were captive audiences, compelled by organisational mandate to use software regardless of its cognitive load or interface complexity. The results of this study provide quantitative evidence against that assumption.</w:t>
      </w:r>
    </w:p>
    <w:p w:rsidR="00BB1A50" w:rsidP="20724B02" w:rsidRDefault="00BB1A50" w14:paraId="1943F8F9" w14:textId="6A89C69D">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13.1 Re-evaluating the Cost of UX Debt</w:t>
      </w:r>
    </w:p>
    <w:p w:rsidR="00BB1A50" w:rsidP="20724B02" w:rsidRDefault="00BB1A50" w14:paraId="3B1B9C00" w14:textId="144E8A51">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most critical implication of H1 is the reframing of inferior enterprise UX as a measurable strategic liability rather than a quality-of-life concern. A Cohen's d of 1.34 is substantive  statistical artifact; it represents a systemic, category-level characteristic of enterprise software. As the consumerization of IT accelerates [3], progressive enterprise buyers are increasingly factoring end-user experience into procurement decisions, introducing UX-related defection risk earlier in the customer lifecycle.</w:t>
      </w:r>
    </w:p>
    <w:p w:rsidR="00BB1A50" w:rsidP="20724B02" w:rsidRDefault="00BB1A50" w14:paraId="64158C12" w14:textId="119EB5E6">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13.2 The Economics of Interface Friction</w:t>
      </w:r>
    </w:p>
    <w:p w:rsidR="00BB1A50" w:rsidP="20724B02" w:rsidRDefault="00BB1A50" w14:paraId="1DFE9190" w14:textId="5A2A73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finding is the mathematical quantification of the relationship between usability and adoption probability via the Odds Ratio (OR = 1.12) under H2. Historically, UI improvement investments have been framed by engineering leadership as aesthetic enhancements, frequently deprioritised relative to functional feature development. The continuous prioritisation of feature breadth over usability compounds the complexity issue, systematically lowering engagement scores and suppressing the adoption of the very features being shipped [8].</w:t>
      </w:r>
    </w:p>
    <w:p w:rsidR="00BB1A50" w:rsidP="20724B02" w:rsidRDefault="00BB1A50" w14:paraId="3B11F34F" w14:textId="56FEB04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Odds Ratio provides a concrete return-on-investment vocabulary for product teams. A UX improvement initiative that yields a 5-point increase in average Engagement Score corresponds to a statistically predicted 60% uplift in feature adoption probability (1.12⁵). This reframes the product investment conversation: UX debt is not merely technical overhead; it is a quantifiable drag on activation efficiency and a compounding suppressor of feature ROI.</w:t>
      </w:r>
    </w:p>
    <w:p w:rsidR="00BB1A50" w:rsidP="20724B02" w:rsidRDefault="00BB1A50" w14:paraId="7C327C1E" w14:textId="7AF5C31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15.4% efficiency gain identified in the A/B experiment under H2 carries additional cost implications when aggregated to organisational scale. If a platform's user base executes a given standard workflow thousands of times daily, a 15.4% reduction in average completion time translates to measurable recovered human capital across the enterprise's operational footprint, an argument with direct relevance to B2B buyers evaluating total cost of ownership.</w:t>
      </w:r>
    </w:p>
    <w:p w:rsidR="00BB1A50" w:rsidP="20724B02" w:rsidRDefault="00BB1A50" w14:paraId="7BC7F3B1" w14:textId="13CE9AD6">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13.3 UX as a Board-Level Financial Metric</w:t>
      </w:r>
    </w:p>
    <w:p w:rsidR="00BB1A50" w:rsidP="20724B02" w:rsidRDefault="00BB1A50" w14:paraId="72DADB9D" w14:textId="4FEB4139">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H3A and H3B findings elevate UX from a product-level metric to a board-level financial consideration. By demonstrating that adoption is associated with a 23% reduction in churn hazard (H3A), this study connects intuitive design directly to NRR—the primary valuation metric for modern SaaS organisations. The mechanism is tractable: when users encounter a low-friction interface, they achieve immediate time-to-value, embedding the platform into operational habits and establishing the product as a recurring business utility rather than a discretionary software license. High friction, by contrast, delays time-to-value, increasing the risk that the organisation perceives the software to be non-essential and does not renew.</w:t>
      </w:r>
    </w:p>
    <w:p w:rsidR="00BB1A50" w:rsidP="20724B02" w:rsidRDefault="00BB1A50" w14:paraId="198BE9B7" w14:textId="2FCF60D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Retention-economics research [16] has established that even modest improvements in customer retention rates produce disproportionately large impacts on long-term revenue, given the compounding nature of subscription revenue models. The 23% churn-hazard reduction estimated under H3A, if realised at scale, represents a significant improvement to NRR trajectory—an argument reinforced by the regional revenue pattern observed under H3B.</w:t>
      </w:r>
    </w:p>
    <w:p w:rsidR="00BB1A50" w:rsidP="20724B02" w:rsidRDefault="00BB1A50" w14:paraId="4098670C" w14:textId="1A820A17">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13.4 Product-Led Growth Validation</w:t>
      </w:r>
    </w:p>
    <w:p w:rsidR="00BB1A50" w:rsidP="20724B02" w:rsidRDefault="00BB1A50" w14:paraId="109FAD36" w14:textId="7C96736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These findings collectively validate the empirical foundations of the PLG model within the enterprise sector [7]. The sequential causal chain—UX quality drives ease of use, ease of use drives adoption, adoption mitigates churn, churn reduction (and adoption growth more broadly) drives revenue—is supported across all four hypotheses. Software vendors seeking to operationalise PLG must reallocate engineering and design resources away from mere functional expansion and toward the systematic reduction of interface friction. Product teams should employ rigorous task-based UX testing to minimise Time-on-Task for standard workflows, as the data indicates that efficiency improvements of this magnitude are not merely convenience enhancements but primary drivers of long-term commercial performance.</w:t>
      </w:r>
    </w:p>
    <w:p w:rsidR="00BB1A50" w:rsidP="20724B02" w:rsidRDefault="00BB1A50" w14:paraId="78103885" w14:textId="7D04CA3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FBD6DB8" w14:textId="16F0A2C8">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14. Implications</w:t>
      </w:r>
    </w:p>
    <w:p w:rsidR="00BB1A50" w:rsidP="20724B02" w:rsidRDefault="00BB1A50" w14:paraId="674928FC" w14:textId="306A6AA6">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14.1 Theoretical Implications</w:t>
      </w:r>
    </w:p>
    <w:p w:rsidR="00BB1A50" w:rsidP="20724B02" w:rsidRDefault="00BB1A50" w14:paraId="68B847F8" w14:textId="5FC33C0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empirically validated causal chain (UX Quality → PEOU → Behavioural Intention → Adoption → Business Outcome) extends TAM [1, 9] beyond its original behavioural intention endpoint into the macro-financial domain (NRR, churn). H1 contributes a quantified, ACSI-anchored measurement of the consumerization-of-IT effect [3]. The mechanism behind the H2 efficiency gain is consistent with CLT [8]: high-friction interfaces impose extraneous cognitive load, lengthening Time-on-Task and depressing adoption probability. The H3A survival result connects TAM-aligned adoption behaviour to lifecycle outcomes in a way that TAM itself does not explicitly model, offering a productive theoretical bridge for future IS research.</w:t>
      </w:r>
    </w:p>
    <w:p w:rsidR="00BB1A50" w:rsidP="20724B02" w:rsidRDefault="00BB1A50" w14:paraId="238DAAAA" w14:textId="0818805F">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14.2 Managerial Implications</w:t>
      </w:r>
    </w:p>
    <w:p w:rsidR="00BB1A50" w:rsidP="20724B02" w:rsidRDefault="00BB1A50" w14:paraId="0F7C4F8C" w14:textId="30ED67A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Product Managers: The Odds Ratio finding under H2 (OR = 1.12) provides a quantitative instrument for prioritising UX improvements in the product backlog. When evaluating trade-offs between shipping additional features and investing in interface simplification, product managers can frame UX work in terms of its predicted impact on adoption probability per unit of engagement improvement. A 5-point average Engagement Score lift across the user base corresponds to a predicted 60% increase in adoption probability, making a measurable internal case for design investment relative to feature development.</w:t>
      </w:r>
    </w:p>
    <w:p w:rsidR="00BB1A50" w:rsidP="20724B02" w:rsidRDefault="00BB1A50" w14:paraId="3ECEC620" w14:textId="02D1047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UX Designers and Researchers: The 15.4% efficiency gain identified under H2 establishes a benchmark for UX-intervention effectiveness. Future A/B tests should target reductions in Time-on-Task as a primary success metric for interface redesign, alongside engagement-score improvements. The SUS [15] and task-based testing should be embedded in standard feature-release workflows rather than treated as periodic audits.</w:t>
      </w:r>
    </w:p>
    <w:p w:rsidR="00BB1A50" w:rsidP="20724B02" w:rsidRDefault="00BB1A50" w14:paraId="226ED8B3" w14:textId="77451F9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Executives and Investors: The Hazard Ratio result under H3A (HR = 0.77) frames UX investment directly in terms of its impact on NRR trajectory. Given that SaaS valuations are heavily driven by NRR multiples, a demonstrable reduction in churn hazard has compounding financial implications that justify UX investment at the board level. Retention-economics research [16] supports the disproportionate commercial leverage of retention improvements.</w:t>
      </w:r>
    </w:p>
    <w:p w:rsidR="00BB1A50" w:rsidP="20724B02" w:rsidRDefault="00BB1A50" w14:paraId="2F6E492F" w14:textId="044E79F0">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14.3 Methodological Implications</w:t>
      </w:r>
    </w:p>
    <w:p w:rsidR="00BB1A50" w:rsidP="20724B02" w:rsidRDefault="00BB1A50" w14:paraId="5B93486B" w14:textId="08A13A11">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This study demonstrates the viability and value of applying biostatistical survival-analysis methods—specifically Kaplan-Meier estimation and Cox Proportional Hazards regression—to SaaS customer-lifecycle data. The methodology bridges product-telemetry analysis and the rigorous causal-inference frameworks used in clinical and epidemiological research, opening a productive methodological avenue for HCI and IS researchers studying the long-term behavioural consequences of design decisions. Multi-stage frameworks that route a single research programme through a non-parametric distributional test , an experimental T-test, a survival model, and a multivariate regional analysis  appear to be an effective template for end-to-end PLG validation.</w:t>
      </w:r>
    </w:p>
    <w:p w:rsidR="00BB1A50" w:rsidP="20724B02" w:rsidRDefault="00BB1A50" w14:paraId="56EEEBBE" w14:textId="57D9860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81FAF74" w14:textId="54153BFC">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15. Limitations</w:t>
      </w:r>
    </w:p>
    <w:p w:rsidR="00BB1A50" w:rsidP="20724B02" w:rsidRDefault="00BB1A50" w14:paraId="19ED1088" w14:textId="7EA78F9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While this study presents findings across multiple methodological approaches, several limitations constrain the generalisability and interpretive scope of the conclusions. These limitations are disclosed transparently to support accurate academic appraisal of the results.</w:t>
      </w:r>
    </w:p>
    <w:p w:rsidR="00BB1A50" w:rsidP="20724B02" w:rsidRDefault="00BB1A50" w14:paraId="20ED2E17" w14:textId="028CBB47">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1 — Sample Size Constraints in Survival Analysis. The CPH model under H3A yielded a borderline p-value of 0.08 for Is_Adopter, falling slightly outside the conventional α = 0.05 threshold (Section 12.3). Sample-size limitations in the telemetry dataset and the conservative shrinkage from the L2 penaliser are the likely causes. → Addressed by Future Work item 1.</w:t>
      </w:r>
    </w:p>
    <w:p w:rsidR="00BB1A50" w:rsidP="20724B02" w:rsidRDefault="00BB1A50" w14:paraId="4B2800B7" w14:textId="4CF2F795">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2 — Composite Metric Opacity. Engagement_Score is a composite whose internal construction is not fully documented (Section 12.2). The 12% adoption uplift per OR unit cannot be attributed to specific UX interventions without decomposing the metric into its constituent dimensions. → Addressed by Future Work item 2.</w:t>
      </w:r>
    </w:p>
    <w:p w:rsidR="00BB1A50" w:rsidP="20724B02" w:rsidRDefault="00BB1A50" w14:paraId="309FA487" w14:textId="01D6B122">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3 — Controlled vs. Real-World Experimental Conditions. The A/B experiment under H2 was conducted under controlled conditions and may not fully replicate real enterprise usage (interruptions, multitasking, organisational context). The 15.4% efficiency gain should be treated as an upper-bound estimate under idealised conditions [8]. → Addressed by Future Work item 4.</w:t>
      </w:r>
    </w:p>
    <w:p w:rsidR="00BB1A50" w:rsidP="20724B02" w:rsidRDefault="00BB1A50" w14:paraId="01CD26EE" w14:textId="703063C8">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4 — Cross-Sectional Financial Data. The H3B regional analysis uses aggregated snapshot data rather than a longitudinal panel. The observed positive covariance is consistent with the causal hypothesis but does not exclude reverse causality (financially stronger regions may invest more in user success, independently driving adoption). → Addressed by Future Work item 4.</w:t>
      </w:r>
    </w:p>
    <w:p w:rsidR="00BB1A50" w:rsidP="20724B02" w:rsidRDefault="00BB1A50" w14:paraId="7CB1D461" w14:textId="076B450B">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5 — Single-Platform Context. The datasets appear to originate from a single SaaS platform or related platform cluster. Generalisability across the full diversity of the B2B SaaS market requires multi-platform replication. → Addressed by Future Work item 5.</w:t>
      </w:r>
    </w:p>
    <w:p w:rsidR="00BB1A50" w:rsidP="20724B02" w:rsidRDefault="00BB1A50" w14:paraId="19E5A7B7" w14:textId="0AC3A765">
      <w:pPr>
        <w:bidi w:val="0"/>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Limitation 6 — Definition of Usability. The current research operationalises usability primarily via composite engagement scores and time-on-task metrics. This operationalisation, while empirically tractable, does not capture the full multidimensional construct of usability as defined in the SUS [15] or Nielsen's heuristic framework [6]. → Addressed by Future Work item 2.</w:t>
      </w:r>
    </w:p>
    <w:p w:rsidR="00BB1A50" w:rsidP="20724B02" w:rsidRDefault="00BB1A50" w14:paraId="2F4368CD" w14:textId="76BAE88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9D1B240" w14:textId="015EE420">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16. Future Work</w:t>
      </w:r>
    </w:p>
    <w:p w:rsidR="00BB1A50" w:rsidP="20724B02" w:rsidRDefault="00BB1A50" w14:paraId="09C618AF" w14:textId="3870F2E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Five productive avenues extend this work:</w:t>
      </w:r>
    </w:p>
    <w:p w:rsidR="00BB1A50" w:rsidP="20724B02" w:rsidRDefault="00BB1A50" w14:paraId="5D717BEB" w14:textId="3A24DEA3">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1. Replicate the CPH analysis (H3A) on a substantially larger longitudinal telemetry dataset to provide definitive statistical power for the churn-mitigation effect (Limitation 1).</w:t>
      </w:r>
    </w:p>
    <w:p w:rsidR="00BB1A50" w:rsidP="20724B02" w:rsidRDefault="00BB1A50" w14:paraId="15E03B22" w14:textId="24C0BF97">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2. Decompose Engagement_Score into isolated design components (onboarding tooltips, progress indicators, contextual assistance, progressive disclosure) to enable precision UX investment decisions (Limitations 2 &amp; 6).</w:t>
      </w:r>
    </w:p>
    <w:p w:rsidR="00BB1A50" w:rsidP="20724B02" w:rsidRDefault="00BB1A50" w14:paraId="580634D9" w14:textId="734C6E74">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3. Map cultural and regional UX-expectation variance, given the EMEA &gt; AMER &gt; APJ pattern observed under H3B, using cultural-dimension indices or regional technology-maturity scores.</w:t>
      </w:r>
    </w:p>
    <w:p w:rsidR="00BB1A50" w:rsidP="20724B02" w:rsidRDefault="00BB1A50" w14:paraId="0101940C" w14:textId="4674C1D2">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4. Run longitudinal causal-panel studies that track organisations before and after deliberate UX interventions, enabling difference-in-differences estimation (Limitations 3 &amp; 4).</w:t>
      </w:r>
    </w:p>
    <w:p w:rsidR="00BB1A50" w:rsidP="20724B02" w:rsidRDefault="00BB1A50" w14:paraId="5AA1DCC5" w14:textId="268DFFCA">
      <w:pPr>
        <w:bidi w:val="0"/>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5. Replicate across multiple B2B SaaS platforms spanning different categories and industries; combine with mixed-methods designs (contextual inquiry, diary studies) to explain adoption variance across roles (Limitation 5).</w:t>
      </w:r>
    </w:p>
    <w:p w:rsidR="00BB1A50" w:rsidP="20724B02" w:rsidRDefault="00BB1A50" w14:paraId="2DE14CD9" w14:textId="144FEC6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BA2B502" w14:textId="2C6DAA33">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17. Conclusion</w:t>
      </w:r>
    </w:p>
    <w:p w:rsidR="00BB1A50" w:rsidP="20724B02" w:rsidRDefault="00BB1A50" w14:paraId="2FF28160" w14:textId="700101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This paper addressed a well-recognised but under-quantified problem in the B2B Software-as-a-Service (SaaS) literature: the absence of a rigorous, multi-stage empirical framework connecting user interface (UI) design quality to firm-level commercial outcomes. Drawing upon four datasets—system usability scores benchmarked against the American Customer Satisfaction Index (ACSI), controlled A/B experimental data, longitudinal product engagement telemetry, and regional financial records—the study constructed and tested the sequential causal chain originating from quality of the UX and reaching business performance through adoption of the software. </w:t>
      </w:r>
    </w:p>
    <w:p w:rsidR="00BB1A50" w:rsidP="20724B02" w:rsidRDefault="00BB1A50" w14:paraId="39253A79" w14:textId="1088370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The "consumerization of IT" [3] is a measurable economic reality that is restructuring the competitive dynamics of the B2B SaaS landscape. Three interconnected research questions, operationalised through four hypotheses (H1, H2, H3A, H3B), were investigated, each emphasizing a distinct link in the UX adoption - business outcome chain. </w:t>
      </w:r>
      <w:r w:rsidRPr="20724B02" w:rsidR="0F0587F1">
        <w:rPr>
          <w:rFonts w:ascii="Arial" w:hAnsi="Arial" w:eastAsia="Arial" w:cs="Arial"/>
          <w:noProof w:val="0"/>
          <w:sz w:val="22"/>
          <w:szCs w:val="22"/>
          <w:lang w:val="en-US"/>
        </w:rPr>
        <w:t xml:space="preserve">We deployed advanced statistical tools to empirically investigate this interconnected flow of constructs.  </w:t>
      </w:r>
    </w:p>
    <w:p w:rsidR="00BB1A50" w:rsidP="20724B02" w:rsidRDefault="00BB1A50" w14:paraId="596AD430" w14:textId="42961AE2">
      <w:pPr>
        <w:bidi w:val="0"/>
        <w:spacing w:before="0" w:beforeAutospacing="off" w:after="0" w:afterAutospacing="off"/>
      </w:pPr>
      <w:r w:rsidRPr="20724B02" w:rsidR="0F0587F1">
        <w:rPr>
          <w:rFonts w:ascii="Times New Roman" w:hAnsi="Times New Roman" w:eastAsia="Times New Roman" w:cs="Times New Roman"/>
          <w:noProof w:val="0"/>
          <w:sz w:val="24"/>
          <w:szCs w:val="24"/>
          <w:lang w:val="en-US"/>
        </w:rPr>
        <w:t xml:space="preserve">When compared to consumer software standards, B2B SaaS platforms exhibit a significant user satisfaction gap. This gap is a defining, systemic feature of the current enterprise software category rather than a minor quality concern. As users of enterprise software applications increasingly turn into average man-in-the-street consumers, the gap will an important marker in a paradigm shift in human-computer interaction. </w:t>
      </w:r>
    </w:p>
    <w:p w:rsidR="00BB1A50" w:rsidP="20724B02" w:rsidRDefault="00BB1A50" w14:paraId="4B5FD289" w14:textId="0261916D">
      <w:pPr>
        <w:bidi w:val="0"/>
        <w:spacing w:before="0" w:beforeAutospacing="off" w:after="0" w:afterAutospacing="off"/>
      </w:pPr>
      <w:r w:rsidRPr="20724B02" w:rsidR="0F0587F1">
        <w:rPr>
          <w:rFonts w:ascii="Times New Roman" w:hAnsi="Times New Roman" w:eastAsia="Times New Roman" w:cs="Times New Roman"/>
          <w:noProof w:val="0"/>
          <w:sz w:val="24"/>
          <w:szCs w:val="24"/>
          <w:lang w:val="en-US"/>
        </w:rPr>
        <w:t xml:space="preserve">For every unit increase in engagement, intuitive, low-friction UI design increases work efficiency, and in the process, increases the likelihood of feature uptake. Usability is the essential catalyst that transforms software capacity into active user behaviour; and just as one observes ‘feature fatigue’ in consumer products and apps, feature availability does not equate to feature utilization (Thompson et al., 2005). As Wu et al. (2015) note, feature fatigue happens when customers prefer to choose “… high-feature products at the moment of purchase, but becoming dissatisfied with the complexity of these feature-rich products and annoyed by the features they realise they do not want or need once they start using the products” (pp. 218-219). </w:t>
      </w:r>
    </w:p>
    <w:p w:rsidR="00BB1A50" w:rsidP="20724B02" w:rsidRDefault="00BB1A50" w14:paraId="30939CAE" w14:textId="6BDCF2FD">
      <w:pPr>
        <w:bidi w:val="0"/>
        <w:spacing w:before="0" w:beforeAutospacing="off" w:after="0" w:afterAutospacing="off"/>
      </w:pPr>
      <w:r w:rsidRPr="20724B02" w:rsidR="0F0587F1">
        <w:rPr>
          <w:rFonts w:ascii="Times New Roman" w:hAnsi="Times New Roman" w:eastAsia="Times New Roman" w:cs="Times New Roman"/>
          <w:noProof w:val="0"/>
          <w:sz w:val="24"/>
          <w:szCs w:val="24"/>
          <w:lang w:val="en-US"/>
        </w:rPr>
        <w:t xml:space="preserve">In line with the full PLG causal chain, users who adopt the features are found to be less risky as a potential defector, and geographical regions with higher adoption penetration have generated stronger business performance – both top line and bottom-line. These results place investment in UX as a critical contributor to NRR, the main valuation metric in the contemporary SaaS economy. </w:t>
      </w:r>
    </w:p>
    <w:p w:rsidR="00BB1A50" w:rsidP="20724B02" w:rsidRDefault="00BB1A50" w14:paraId="4046AAC2" w14:textId="5E08CC2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B2B SaaS providers operating in a competitive, low-switching-cost environment, these findings support a clear strategic direction: the UI is not a peripheral design layer applied atop the software architecture; it is the primary conduit through which product value is realised and revenue is secured. Prioritising intuitive, accessible UX design is a commercially defensible and empirically supported investment that warrants sustained organisational priority.</w:t>
      </w:r>
    </w:p>
    <w:p w:rsidR="00BB1A50" w:rsidP="20724B02" w:rsidRDefault="00BB1A50" w14:paraId="4579A716" w14:textId="24B6DA2D">
      <w:pPr>
        <w:bidi w:val="0"/>
        <w:spacing w:before="0" w:beforeAutospacing="off" w:after="0" w:afterAutospacing="off"/>
      </w:pPr>
      <w:r w:rsidRPr="20724B02" w:rsidR="0F0587F1">
        <w:rPr>
          <w:rFonts w:ascii="Calibri" w:hAnsi="Calibri" w:eastAsia="Calibri" w:cs="Calibri"/>
          <w:noProof w:val="0"/>
          <w:sz w:val="22"/>
          <w:szCs w:val="22"/>
          <w:lang w:val="en-US"/>
        </w:rPr>
        <w:t xml:space="preserve">This study is unique to the knowledge base of both B2B enterprise SaaS and user experience management in several ways. To the best of our knowledge, it provides the first multi-stage empirical validation of the full causal chain: UX → adoption → NRR. The study merges granular product telemetry data with financial records to establish that user-level interactions carry a lot of weight even in the B2B space. Secondly, it uses the sophisticated survival analysis method to model the customer lifetime journey thus creating an efficacious bridge between IS and HCI research. Thirdly, the study creates a tool to successfully capture the economic cost of user interface friction. One gets to know how the creation of any additional point of friction increases the odds of B2B SaaS users to abandon or defect. And finally, this research paper has been able to put numbers to the presumption that consumer-facing UX creates a wide disparity in user satisfaction against that of the users of B2B enterprise software solutions. </w:t>
      </w:r>
    </w:p>
    <w:p w:rsidR="00BB1A50" w:rsidP="20724B02" w:rsidRDefault="00BB1A50" w14:paraId="4BFFBDA0" w14:textId="0945088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1265227B" w14:textId="78380C57">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18. References</w:t>
      </w:r>
    </w:p>
    <w:p w:rsidR="00BB1A50" w:rsidP="20724B02" w:rsidRDefault="00BB1A50" w14:paraId="0F6DA060" w14:textId="2BB2F16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 Davis, F. D. (1989). Perceived usefulness, perceived ease of use, and user acceptance of information technology. MIS Quarterly, 13(3), 319-340.</w:t>
      </w:r>
    </w:p>
    <w:p w:rsidR="00BB1A50" w:rsidP="20724B02" w:rsidRDefault="00BB1A50" w14:paraId="26A4B356" w14:textId="26787BA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[2] Fishbein, M., &amp; Ajzen, I. (1975). Belief, Attitude, Intention, and Behavior: An Introduction to Theory and Research. Addison-Wesley.</w:t>
      </w:r>
    </w:p>
    <w:p w:rsidR="00BB1A50" w:rsidP="20724B02" w:rsidRDefault="00BB1A50" w14:paraId="1EB00B68" w14:textId="16EDC94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[3] Harris, J., Ives, B., &amp; Junglas, I. (2012). IT consumerization: When gadgets turn into enterprise IT tools. MIS Quarterly Executive, 11(3), 99-112.</w:t>
      </w:r>
    </w:p>
    <w:p w:rsidR="00BB1A50" w:rsidP="20724B02" w:rsidRDefault="00BB1A50" w14:paraId="5369BE24" w14:textId="3615EF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[4] Kaplan, E. L., &amp; Meier, P. (1958). Nonparametric estimation from incomplete observations. Journal of the American Statistical Association, 53(282), 457-481.</w:t>
      </w:r>
    </w:p>
    <w:p w:rsidR="00BB1A50" w:rsidP="20724B02" w:rsidRDefault="00BB1A50" w14:paraId="4FCF124A" w14:textId="710FD46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[5] Mann, H. B., &amp; Whitney, D. R. (1947). On a test of whether one of two random variables is stochastically larger than the other. Annals of Mathematical Statistics, 18(1), 50-60.</w:t>
      </w:r>
    </w:p>
    <w:p w:rsidR="00BB1A50" w:rsidP="20724B02" w:rsidRDefault="00BB1A50" w14:paraId="3A033EA2" w14:textId="7A7DA17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[6] Nielsen, J. (1994). Usability Engineering. Morgan Kaufmann.</w:t>
      </w:r>
    </w:p>
    <w:p w:rsidR="00BB1A50" w:rsidP="20724B02" w:rsidRDefault="00BB1A50" w14:paraId="4CBDADBE" w14:textId="49916C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[7] OpenView Partners. (2017). Product-Led Growth: How to Build a Product That Sells Itself. OpenView Venture Partners. Retrieved from openviewpartners.com</w:t>
      </w:r>
    </w:p>
    <w:p w:rsidR="00BB1A50" w:rsidP="20724B02" w:rsidRDefault="00BB1A50" w14:paraId="36B6EA29" w14:textId="0A06A1B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[8] Sweller, J. (1988). Cognitive load during problem solving: Effects on learning. Cognitive Science, 12(2), 257-285.</w:t>
      </w:r>
    </w:p>
    <w:p w:rsidR="00BB1A50" w:rsidP="20724B02" w:rsidRDefault="00BB1A50" w14:paraId="233268B9" w14:textId="15117519">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[9] Venkatesh, V., Morris, M. G., Davis, G. B., &amp; Davis, F. D. (2003). User acceptance of information technology: Toward a unified view. MIS Quarterly, 27(3), 425-478.</w:t>
      </w:r>
    </w:p>
    <w:p w:rsidR="00BB1A50" w:rsidP="20724B02" w:rsidRDefault="00BB1A50" w14:paraId="7269713C" w14:textId="303E02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[10] American Customer Satisfaction Index (ACSI). (2015). ACSI Benchmark Data. Retrieved from acsi.org</w:t>
      </w:r>
    </w:p>
    <w:p w:rsidR="00BB1A50" w:rsidP="20724B02" w:rsidRDefault="00BB1A50" w14:paraId="3C5AA343" w14:textId="4B4F28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[11] Cox, D. R. (1972). Regression models and life-tables. Journal of the Royal Statistical Society, Series B (Methodological), 34(2), 187-220.</w:t>
      </w:r>
    </w:p>
    <w:p w:rsidR="00BB1A50" w:rsidP="20724B02" w:rsidRDefault="00BB1A50" w14:paraId="5228ACBF" w14:textId="54D19B9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[12] Hochman, J., &amp; Aral, S. (2015). Social influence and product adoption in B2B SaaS environments. Information Systems Research, 26(3), 543-565.</w:t>
      </w:r>
    </w:p>
    <w:p w:rsidR="00BB1A50" w:rsidP="20724B02" w:rsidRDefault="00BB1A50" w14:paraId="0D7EBF07" w14:textId="5A4A717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[13] Cohen, J. (1988). Statistical Power Analysis for the Behavioral Sciences (2nd ed.). Lawrence Erlbaum Associates.</w:t>
      </w:r>
    </w:p>
    <w:p w:rsidR="00BB1A50" w:rsidP="20724B02" w:rsidRDefault="00BB1A50" w14:paraId="193FC600" w14:textId="275ABED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[14] Norman, D. A. (2013). The Design of Everyday Things (Revised and Expanded Edition). Basic Books.</w:t>
      </w:r>
    </w:p>
    <w:p w:rsidR="00BB1A50" w:rsidP="20724B02" w:rsidRDefault="00BB1A50" w14:paraId="31791A41" w14:textId="6B05A48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[15] Brooke, J. (1996). SUS: A quick and dirty usability scale. In P. W. Jordan, B. Thomas, B. A. Weerdmeester, &amp; A. L. McClelland (Eds.), Usability Evaluation in Industry (pp. 189-194). Taylor &amp; Francis.</w:t>
      </w:r>
    </w:p>
    <w:p w:rsidR="00BB1A50" w:rsidP="20724B02" w:rsidRDefault="00BB1A50" w14:paraId="11A53D29" w14:textId="638EADD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[16] Reichheld, F. F., &amp; Sasser, W. E. (1990). Zero defections: Quality comes to services. Harvard Business Review, 68(5), 105-111.</w:t>
      </w:r>
    </w:p>
    <w:p w:rsidR="00BB1A50" w:rsidP="46EBA951" w:rsidRDefault="00BB1A50" w14:paraId="6E5FEDE1" w14:textId="42FD7515">
      <w:pPr>
        <w:bidi w:val="0"/>
        <w:spacing w:before="0" w:beforeAutospacing="off" w:after="240" w:afterAutospacing="off"/>
      </w:pPr>
      <w:r w:rsidRPr="20724B02" w:rsidR="0F0587F1">
        <w:rPr>
          <w:rFonts w:ascii="Times New Roman" w:hAnsi="Times New Roman" w:eastAsia="Times New Roman" w:cs="Times New Roman"/>
          <w:noProof w:val="0"/>
          <w:color w:val="000000" w:themeColor="text1" w:themeTint="FF" w:themeShade="FF"/>
          <w:sz w:val="24"/>
          <w:szCs w:val="24"/>
          <w:lang w:val="en-US"/>
        </w:rPr>
        <w:t xml:space="preserve"> </w:t>
      </w:r>
    </w:p>
    <w:p w:rsidR="00BB1A50" w:rsidP="46EBA951" w:rsidRDefault="00BB1A50" w14:paraId="62D065A9" w14:textId="264F2785">
      <w:pPr>
        <w:bidi w:val="0"/>
        <w:spacing w:before="0" w:beforeAutospacing="off" w:after="240" w:afterAutospacing="off"/>
      </w:pPr>
      <w:r w:rsidRPr="20724B02" w:rsidR="0F0587F1">
        <w:rPr>
          <w:rFonts w:ascii="Times New Roman" w:hAnsi="Times New Roman" w:eastAsia="Times New Roman" w:cs="Times New Roman"/>
          <w:noProof w:val="0"/>
          <w:color w:val="000000" w:themeColor="text1" w:themeTint="FF" w:themeShade="FF"/>
          <w:sz w:val="24"/>
          <w:szCs w:val="24"/>
          <w:lang w:val="en-US"/>
        </w:rPr>
        <w:t>ASCI</w:t>
      </w:r>
    </w:p>
    <w:p w:rsidR="00BB1A50" w:rsidP="46EBA951" w:rsidRDefault="00BB1A50" w14:paraId="7D81E92F" w14:textId="4453B956">
      <w:pPr>
        <w:bidi w:val="0"/>
        <w:spacing w:before="0" w:beforeAutospacing="off" w:after="240" w:afterAutospacing="off"/>
      </w:pPr>
    </w:p>
    <w:p w:rsidR="00BB1A50" w:rsidP="20724B02" w:rsidRDefault="00BB1A50" w14:paraId="23DA2F66" w14:textId="03B94D0A">
      <w:pPr>
        <w:bidi w:val="0"/>
        <w:spacing w:before="0" w:beforeAutospacing="off" w:after="0" w:afterAutospacing="off"/>
      </w:pPr>
      <w:r w:rsidRPr="20724B02" w:rsidR="0F0587F1">
        <w:rPr>
          <w:rFonts w:ascii="Arial" w:hAnsi="Arial" w:eastAsia="Arial" w:cs="Arial"/>
          <w:noProof w:val="0"/>
          <w:color w:val="222222"/>
          <w:sz w:val="20"/>
          <w:szCs w:val="20"/>
          <w:lang w:val="en-US"/>
        </w:rPr>
        <w:t xml:space="preserve">Thompson, D. V., Hamilton, R. W., &amp; Rust, R. T. (2005). Feature fatigue: When product capabilities become too much of a good thing. </w:t>
      </w:r>
      <w:r w:rsidRPr="20724B02" w:rsidR="0F0587F1">
        <w:rPr>
          <w:rFonts w:ascii="Arial" w:hAnsi="Arial" w:eastAsia="Arial" w:cs="Arial"/>
          <w:i w:val="1"/>
          <w:iCs w:val="1"/>
          <w:noProof w:val="0"/>
          <w:color w:val="222222"/>
          <w:sz w:val="20"/>
          <w:szCs w:val="20"/>
          <w:lang w:val="en-US"/>
        </w:rPr>
        <w:t>Journal of marketing research</w:t>
      </w:r>
      <w:r w:rsidRPr="20724B02" w:rsidR="0F0587F1">
        <w:rPr>
          <w:rFonts w:ascii="Arial" w:hAnsi="Arial" w:eastAsia="Arial" w:cs="Arial"/>
          <w:noProof w:val="0"/>
          <w:color w:val="222222"/>
          <w:sz w:val="20"/>
          <w:szCs w:val="20"/>
          <w:lang w:val="en-US"/>
        </w:rPr>
        <w:t xml:space="preserve">, </w:t>
      </w:r>
      <w:r w:rsidRPr="20724B02" w:rsidR="0F0587F1">
        <w:rPr>
          <w:rFonts w:ascii="Arial" w:hAnsi="Arial" w:eastAsia="Arial" w:cs="Arial"/>
          <w:i w:val="1"/>
          <w:iCs w:val="1"/>
          <w:noProof w:val="0"/>
          <w:color w:val="222222"/>
          <w:sz w:val="20"/>
          <w:szCs w:val="20"/>
          <w:lang w:val="en-US"/>
        </w:rPr>
        <w:t>42</w:t>
      </w:r>
      <w:r w:rsidRPr="20724B02" w:rsidR="0F0587F1">
        <w:rPr>
          <w:rFonts w:ascii="Arial" w:hAnsi="Arial" w:eastAsia="Arial" w:cs="Arial"/>
          <w:noProof w:val="0"/>
          <w:color w:val="222222"/>
          <w:sz w:val="20"/>
          <w:szCs w:val="20"/>
          <w:lang w:val="en-US"/>
        </w:rPr>
        <w:t>(4), 431-442.</w:t>
      </w:r>
    </w:p>
    <w:p w:rsidR="00BB1A50" w:rsidP="20724B02" w:rsidRDefault="00BB1A50" w14:paraId="070401DF" w14:textId="76B9AB5F">
      <w:pPr>
        <w:bidi w:val="0"/>
        <w:spacing w:before="0" w:beforeAutospacing="off" w:after="0" w:afterAutospacing="off"/>
      </w:pPr>
      <w:r w:rsidRPr="20724B02" w:rsidR="0F0587F1">
        <w:rPr>
          <w:rFonts w:ascii="Arial" w:hAnsi="Arial" w:eastAsia="Arial" w:cs="Arial"/>
          <w:noProof w:val="0"/>
          <w:color w:val="222222"/>
          <w:sz w:val="20"/>
          <w:szCs w:val="20"/>
          <w:lang w:val="en-US"/>
        </w:rPr>
        <w:t xml:space="preserve"> </w:t>
      </w:r>
    </w:p>
    <w:p w:rsidR="00BB1A50" w:rsidP="20724B02" w:rsidRDefault="00BB1A50" w14:paraId="1BB170CF" w14:textId="0DDCD3A1">
      <w:pPr>
        <w:bidi w:val="0"/>
        <w:spacing w:before="0" w:beforeAutospacing="off" w:after="0" w:afterAutospacing="off"/>
      </w:pPr>
      <w:r w:rsidRPr="20724B02" w:rsidR="0F0587F1">
        <w:rPr>
          <w:rFonts w:ascii="Arial" w:hAnsi="Arial" w:eastAsia="Arial" w:cs="Arial"/>
          <w:noProof w:val="0"/>
          <w:color w:val="222222"/>
          <w:sz w:val="20"/>
          <w:szCs w:val="20"/>
          <w:lang w:val="en-US"/>
        </w:rPr>
        <w:t xml:space="preserve">Wu, M., Wang, L., Long, H., &amp; Li, M. (2015). Feature fatigue analysis in product development. </w:t>
      </w:r>
      <w:r w:rsidRPr="20724B02" w:rsidR="0F0587F1">
        <w:rPr>
          <w:rFonts w:ascii="Arial" w:hAnsi="Arial" w:eastAsia="Arial" w:cs="Arial"/>
          <w:i w:val="1"/>
          <w:iCs w:val="1"/>
          <w:noProof w:val="0"/>
          <w:color w:val="222222"/>
          <w:sz w:val="20"/>
          <w:szCs w:val="20"/>
          <w:lang w:val="en-US"/>
        </w:rPr>
        <w:t>Total Quality Management &amp; Business Excellence</w:t>
      </w:r>
      <w:r w:rsidRPr="20724B02" w:rsidR="0F0587F1">
        <w:rPr>
          <w:rFonts w:ascii="Arial" w:hAnsi="Arial" w:eastAsia="Arial" w:cs="Arial"/>
          <w:noProof w:val="0"/>
          <w:color w:val="222222"/>
          <w:sz w:val="20"/>
          <w:szCs w:val="20"/>
          <w:lang w:val="en-US"/>
        </w:rPr>
        <w:t xml:space="preserve">, </w:t>
      </w:r>
      <w:r w:rsidRPr="20724B02" w:rsidR="0F0587F1">
        <w:rPr>
          <w:rFonts w:ascii="Arial" w:hAnsi="Arial" w:eastAsia="Arial" w:cs="Arial"/>
          <w:i w:val="1"/>
          <w:iCs w:val="1"/>
          <w:noProof w:val="0"/>
          <w:color w:val="222222"/>
          <w:sz w:val="20"/>
          <w:szCs w:val="20"/>
          <w:lang w:val="en-US"/>
        </w:rPr>
        <w:t>26</w:t>
      </w:r>
      <w:r w:rsidRPr="20724B02" w:rsidR="0F0587F1">
        <w:rPr>
          <w:rFonts w:ascii="Arial" w:hAnsi="Arial" w:eastAsia="Arial" w:cs="Arial"/>
          <w:noProof w:val="0"/>
          <w:color w:val="222222"/>
          <w:sz w:val="20"/>
          <w:szCs w:val="20"/>
          <w:lang w:val="en-US"/>
        </w:rPr>
        <w:t>(1-2), 218-232.</w:t>
      </w:r>
    </w:p>
    <w:p w:rsidR="00BB1A50" w:rsidP="20724B02" w:rsidRDefault="00BB1A50" w14:paraId="337C8831" w14:textId="528A8A49">
      <w:pPr>
        <w:bidi w:val="0"/>
        <w:spacing w:before="0" w:beforeAutospacing="off" w:after="0" w:afterAutospacing="off"/>
      </w:pPr>
      <w:r w:rsidRPr="20724B02" w:rsidR="0F0587F1">
        <w:rPr>
          <w:rFonts w:ascii="Arial" w:hAnsi="Arial" w:eastAsia="Arial" w:cs="Arial"/>
          <w:noProof w:val="0"/>
          <w:sz w:val="22"/>
          <w:szCs w:val="22"/>
          <w:lang w:val="en-US"/>
        </w:rPr>
        <w:t xml:space="preserve"> </w:t>
      </w:r>
    </w:p>
    <w:p w:rsidR="00BB1A50" w:rsidP="20724B02" w:rsidRDefault="00BB1A50" w14:paraId="7B96F9FE" w14:textId="5CD983A9">
      <w:pPr>
        <w:bidi w:val="0"/>
        <w:spacing w:before="0" w:beforeAutospacing="off" w:after="0" w:afterAutospacing="off"/>
      </w:pPr>
    </w:p>
    <w:p w:rsidR="00BB1A50" w:rsidP="20724B02" w:rsidRDefault="00BB1A50" w14:paraId="699410F0" w14:textId="5A3E7D6E">
      <w:pPr>
        <w:spacing w:before="0" w:beforeAutospacing="off" w:after="200" w:afterAutospacing="off" w:line="276" w:lineRule="auto"/>
        <w:rPr>
          <w:rFonts w:ascii="Calibri" w:hAnsi="Calibri" w:eastAsia="Calibri" w:cs="Calibri"/>
          <w:noProof w:val="0"/>
          <w:sz w:val="22"/>
          <w:szCs w:val="22"/>
          <w:lang w:val="en-US"/>
        </w:rPr>
      </w:pPr>
    </w:p>
    <w:p w:rsidR="00BB1A50" w:rsidP="46EBA951" w:rsidRDefault="00BB1A50" w14:paraId="5D049742" w14:textId="16899E70">
      <w:pPr>
        <w:spacing w:before="0" w:beforeAutospacing="off" w:after="240" w:afterAutospacing="off"/>
        <w:rPr>
          <w:rFonts w:ascii="Times New Roman" w:hAnsi="Times New Roman" w:eastAsia="Times New Roman" w:cs="Times New Roman"/>
          <w:noProof w:val="0"/>
          <w:color w:val="000000" w:themeColor="text1" w:themeTint="FF" w:themeShade="FF"/>
          <w:sz w:val="24"/>
          <w:szCs w:val="24"/>
          <w:lang w:val="en-IN"/>
        </w:rPr>
        <w:sectPr w:rsidR="00BB1A50" w:rsidSect="00BB1A50">
          <w:pgSz w:w="12240" w:h="15840" w:orient="portrait"/>
          <w:pgMar w:top="1440" w:right="1440" w:bottom="1440" w:left="1440" w:header="708" w:footer="708" w:gutter="0"/>
          <w:cols w:space="720"/>
          <w:docGrid w:linePitch="360"/>
          <w:headerReference w:type="default" r:id="R0660532292fd4f3c"/>
        </w:sectPr>
      </w:pPr>
    </w:p>
    <w:p w:rsidRPr="00BB1A50" w:rsidR="001549E5" w:rsidP="00BB1A50" w:rsidRDefault="001549E5" w14:paraId="47ADDCE8" w14:textId="77777777"/>
    <w:sectPr w:rsidRPr="00BB1A50" w:rsidR="001549E5" w:rsidSect="00BB1A50">
      <w:pgSz w:w="12240" w:h="15840" w:orient="portrait"/>
      <w:pgMar w:top="1440" w:right="1260" w:bottom="1440" w:left="1260" w:header="708" w:footer="708" w:gutter="0"/>
      <w:cols w:space="720"/>
      <w:docGrid w:linePitch="360"/>
      <w:headerReference w:type="default" r:id="R6a038faadbd94d38"/>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6EBA951" w:rsidTr="46EBA951" w14:paraId="454A2896">
      <w:trPr>
        <w:trHeight w:val="300"/>
      </w:trPr>
      <w:tc>
        <w:tcPr>
          <w:tcW w:w="3120" w:type="dxa"/>
          <w:tcMar/>
        </w:tcPr>
        <w:p w:rsidR="46EBA951" w:rsidP="46EBA951" w:rsidRDefault="46EBA951" w14:paraId="04203385" w14:textId="12EB1B69">
          <w:pPr>
            <w:pStyle w:val="Header"/>
            <w:bidi w:val="0"/>
            <w:ind w:left="-115"/>
            <w:jc w:val="left"/>
          </w:pPr>
        </w:p>
      </w:tc>
      <w:tc>
        <w:tcPr>
          <w:tcW w:w="3120" w:type="dxa"/>
          <w:tcMar/>
        </w:tcPr>
        <w:p w:rsidR="46EBA951" w:rsidP="46EBA951" w:rsidRDefault="46EBA951" w14:paraId="0ED4B79C" w14:textId="30B5330F">
          <w:pPr>
            <w:pStyle w:val="Header"/>
            <w:bidi w:val="0"/>
            <w:jc w:val="center"/>
          </w:pPr>
        </w:p>
      </w:tc>
      <w:tc>
        <w:tcPr>
          <w:tcW w:w="3120" w:type="dxa"/>
          <w:tcMar/>
        </w:tcPr>
        <w:p w:rsidR="46EBA951" w:rsidP="46EBA951" w:rsidRDefault="46EBA951" w14:paraId="0EFB9591" w14:textId="0CB8162A">
          <w:pPr>
            <w:pStyle w:val="Header"/>
            <w:bidi w:val="0"/>
            <w:ind w:right="-115"/>
            <w:jc w:val="right"/>
          </w:pPr>
        </w:p>
      </w:tc>
    </w:tr>
  </w:tbl>
  <w:p w:rsidR="46EBA951" w:rsidP="46EBA951" w:rsidRDefault="46EBA951" w14:paraId="734121DE" w14:textId="105E7AC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46EBA951" w:rsidTr="46EBA951" w14:paraId="52D8C331">
      <w:trPr>
        <w:trHeight w:val="300"/>
      </w:trPr>
      <w:tc>
        <w:tcPr>
          <w:tcW w:w="3240" w:type="dxa"/>
          <w:tcMar/>
        </w:tcPr>
        <w:p w:rsidR="46EBA951" w:rsidP="46EBA951" w:rsidRDefault="46EBA951" w14:paraId="406DC88A" w14:textId="3665CF60">
          <w:pPr>
            <w:pStyle w:val="Header"/>
            <w:bidi w:val="0"/>
            <w:ind w:left="-115"/>
            <w:jc w:val="left"/>
          </w:pPr>
        </w:p>
      </w:tc>
      <w:tc>
        <w:tcPr>
          <w:tcW w:w="3240" w:type="dxa"/>
          <w:tcMar/>
        </w:tcPr>
        <w:p w:rsidR="46EBA951" w:rsidP="46EBA951" w:rsidRDefault="46EBA951" w14:paraId="2C1CE637" w14:textId="778431B4">
          <w:pPr>
            <w:pStyle w:val="Header"/>
            <w:bidi w:val="0"/>
            <w:jc w:val="center"/>
          </w:pPr>
        </w:p>
      </w:tc>
      <w:tc>
        <w:tcPr>
          <w:tcW w:w="3240" w:type="dxa"/>
          <w:tcMar/>
        </w:tcPr>
        <w:p w:rsidR="46EBA951" w:rsidP="46EBA951" w:rsidRDefault="46EBA951" w14:paraId="54792AEE" w14:textId="3FAC6480">
          <w:pPr>
            <w:pStyle w:val="Header"/>
            <w:bidi w:val="0"/>
            <w:ind w:right="-115"/>
            <w:jc w:val="right"/>
          </w:pPr>
        </w:p>
      </w:tc>
    </w:tr>
  </w:tbl>
  <w:p w:rsidR="46EBA951" w:rsidP="46EBA951" w:rsidRDefault="46EBA951" w14:paraId="15166A54" w14:textId="2C336B5C">
    <w:pPr>
      <w:pStyle w:val="Header"/>
      <w:bidi w:val="0"/>
    </w:pPr>
  </w:p>
</w:hdr>
</file>

<file path=word/intelligence2.xml><?xml version="1.0" encoding="utf-8"?>
<int2:intelligence xmlns:int2="http://schemas.microsoft.com/office/intelligence/2020/intelligence">
  <int2:observations>
    <int2:textHash int2:hashCode="i6OwPoWZJPKMOm" int2:id="KlsMKKm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5e5ed66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360c79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4E3BDA"/>
    <w:multiLevelType w:val="multilevel"/>
    <w:tmpl w:val="A7C6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140F"/>
    <w:multiLevelType w:val="multilevel"/>
    <w:tmpl w:val="7572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B0083"/>
    <w:multiLevelType w:val="multilevel"/>
    <w:tmpl w:val="9CCA8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B7B01"/>
    <w:multiLevelType w:val="multilevel"/>
    <w:tmpl w:val="5A38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11DF8"/>
    <w:multiLevelType w:val="multilevel"/>
    <w:tmpl w:val="D362F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9436C"/>
    <w:multiLevelType w:val="multilevel"/>
    <w:tmpl w:val="9FC4C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95FB0"/>
    <w:multiLevelType w:val="multilevel"/>
    <w:tmpl w:val="682C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1540F"/>
    <w:multiLevelType w:val="hybridMultilevel"/>
    <w:tmpl w:val="F104AB44"/>
    <w:lvl w:ilvl="0" w:tplc="0590BED2">
      <w:start w:val="1"/>
      <w:numFmt w:val="decimal"/>
      <w:lvlText w:val="%1."/>
      <w:lvlJc w:val="left"/>
      <w:pPr>
        <w:ind w:left="720" w:hanging="360"/>
      </w:pPr>
    </w:lvl>
    <w:lvl w:ilvl="1" w:tplc="304882AC">
      <w:numFmt w:val="decimal"/>
      <w:lvlText w:val=""/>
      <w:lvlJc w:val="left"/>
    </w:lvl>
    <w:lvl w:ilvl="2" w:tplc="930005AA">
      <w:numFmt w:val="decimal"/>
      <w:lvlText w:val=""/>
      <w:lvlJc w:val="left"/>
    </w:lvl>
    <w:lvl w:ilvl="3" w:tplc="878814EC">
      <w:numFmt w:val="decimal"/>
      <w:lvlText w:val=""/>
      <w:lvlJc w:val="left"/>
    </w:lvl>
    <w:lvl w:ilvl="4" w:tplc="F7981B0A">
      <w:numFmt w:val="decimal"/>
      <w:lvlText w:val=""/>
      <w:lvlJc w:val="left"/>
    </w:lvl>
    <w:lvl w:ilvl="5" w:tplc="CF3A979E">
      <w:numFmt w:val="decimal"/>
      <w:lvlText w:val=""/>
      <w:lvlJc w:val="left"/>
    </w:lvl>
    <w:lvl w:ilvl="6" w:tplc="05807592">
      <w:numFmt w:val="decimal"/>
      <w:lvlText w:val=""/>
      <w:lvlJc w:val="left"/>
    </w:lvl>
    <w:lvl w:ilvl="7" w:tplc="C482351E">
      <w:numFmt w:val="decimal"/>
      <w:lvlText w:val=""/>
      <w:lvlJc w:val="left"/>
    </w:lvl>
    <w:lvl w:ilvl="8" w:tplc="41361746">
      <w:numFmt w:val="decimal"/>
      <w:lvlText w:val=""/>
      <w:lvlJc w:val="left"/>
    </w:lvl>
  </w:abstractNum>
  <w:abstractNum w:abstractNumId="8" w15:restartNumberingAfterBreak="0">
    <w:nsid w:val="211B493A"/>
    <w:multiLevelType w:val="multilevel"/>
    <w:tmpl w:val="E23A784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1CD7F10"/>
    <w:multiLevelType w:val="multilevel"/>
    <w:tmpl w:val="A1FA72C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5B00F36"/>
    <w:multiLevelType w:val="multilevel"/>
    <w:tmpl w:val="944CB798"/>
    <w:lvl w:ilvl="0">
      <w:start w:val="2"/>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93E78D7"/>
    <w:multiLevelType w:val="multilevel"/>
    <w:tmpl w:val="29B2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5A70DE"/>
    <w:multiLevelType w:val="multilevel"/>
    <w:tmpl w:val="682E2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E881855"/>
    <w:multiLevelType w:val="multilevel"/>
    <w:tmpl w:val="6296A3CE"/>
    <w:lvl w:ilvl="0">
      <w:start w:val="2"/>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1A76CC9"/>
    <w:multiLevelType w:val="multilevel"/>
    <w:tmpl w:val="7826BD5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2340E0B"/>
    <w:multiLevelType w:val="multilevel"/>
    <w:tmpl w:val="BB24E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73D23"/>
    <w:multiLevelType w:val="multilevel"/>
    <w:tmpl w:val="6ED4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B80CBB"/>
    <w:multiLevelType w:val="multilevel"/>
    <w:tmpl w:val="0FA8F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ABD4136"/>
    <w:multiLevelType w:val="multilevel"/>
    <w:tmpl w:val="DE8641C2"/>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B976C90"/>
    <w:multiLevelType w:val="multilevel"/>
    <w:tmpl w:val="58EEF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96225C"/>
    <w:multiLevelType w:val="hybridMultilevel"/>
    <w:tmpl w:val="98F2F6C4"/>
    <w:lvl w:ilvl="0" w:tplc="779035A8">
      <w:start w:val="1"/>
      <w:numFmt w:val="bullet"/>
      <w:lvlText w:val="•"/>
      <w:lvlJc w:val="left"/>
      <w:pPr>
        <w:ind w:left="720" w:hanging="360"/>
      </w:pPr>
    </w:lvl>
    <w:lvl w:ilvl="1" w:tplc="CCA0A6D0">
      <w:start w:val="1"/>
      <w:numFmt w:val="bullet"/>
      <w:lvlText w:val="◦"/>
      <w:lvlJc w:val="left"/>
      <w:pPr>
        <w:ind w:left="1080" w:hanging="360"/>
      </w:pPr>
    </w:lvl>
    <w:lvl w:ilvl="2" w:tplc="F21E0E68">
      <w:numFmt w:val="decimal"/>
      <w:lvlText w:val=""/>
      <w:lvlJc w:val="left"/>
    </w:lvl>
    <w:lvl w:ilvl="3" w:tplc="14F0AC76">
      <w:numFmt w:val="decimal"/>
      <w:lvlText w:val=""/>
      <w:lvlJc w:val="left"/>
    </w:lvl>
    <w:lvl w:ilvl="4" w:tplc="CC8A7D3C">
      <w:numFmt w:val="decimal"/>
      <w:lvlText w:val=""/>
      <w:lvlJc w:val="left"/>
    </w:lvl>
    <w:lvl w:ilvl="5" w:tplc="DBE8E13E">
      <w:numFmt w:val="decimal"/>
      <w:lvlText w:val=""/>
      <w:lvlJc w:val="left"/>
    </w:lvl>
    <w:lvl w:ilvl="6" w:tplc="AF7A6868">
      <w:numFmt w:val="decimal"/>
      <w:lvlText w:val=""/>
      <w:lvlJc w:val="left"/>
    </w:lvl>
    <w:lvl w:ilvl="7" w:tplc="F1FA9AE8">
      <w:numFmt w:val="decimal"/>
      <w:lvlText w:val=""/>
      <w:lvlJc w:val="left"/>
    </w:lvl>
    <w:lvl w:ilvl="8" w:tplc="4606CAC6">
      <w:numFmt w:val="decimal"/>
      <w:lvlText w:val=""/>
      <w:lvlJc w:val="left"/>
    </w:lvl>
  </w:abstractNum>
  <w:abstractNum w:abstractNumId="21" w15:restartNumberingAfterBreak="0">
    <w:nsid w:val="61874B74"/>
    <w:multiLevelType w:val="multilevel"/>
    <w:tmpl w:val="CDEEC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C25B6F"/>
    <w:multiLevelType w:val="multilevel"/>
    <w:tmpl w:val="F320C400"/>
    <w:lvl w:ilvl="0">
      <w:start w:val="3"/>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FE27008"/>
    <w:multiLevelType w:val="multilevel"/>
    <w:tmpl w:val="6EC88F3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0204997"/>
    <w:multiLevelType w:val="multilevel"/>
    <w:tmpl w:val="BCEE68D4"/>
    <w:lvl w:ilvl="0">
      <w:start w:val="3"/>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3BB0E2E"/>
    <w:multiLevelType w:val="multilevel"/>
    <w:tmpl w:val="4446B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DC838FB"/>
    <w:multiLevelType w:val="multilevel"/>
    <w:tmpl w:val="5298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9">
    <w:abstractNumId w:val="28"/>
  </w:num>
  <w:num w:numId="28">
    <w:abstractNumId w:val="27"/>
  </w:num>
  <w:num w:numId="1" w16cid:durableId="549077241">
    <w:abstractNumId w:val="6"/>
  </w:num>
  <w:num w:numId="2" w16cid:durableId="224879168">
    <w:abstractNumId w:val="19"/>
  </w:num>
  <w:num w:numId="3" w16cid:durableId="574245102">
    <w:abstractNumId w:val="25"/>
  </w:num>
  <w:num w:numId="4" w16cid:durableId="1359576684">
    <w:abstractNumId w:val="11"/>
  </w:num>
  <w:num w:numId="5" w16cid:durableId="518936807">
    <w:abstractNumId w:val="15"/>
  </w:num>
  <w:num w:numId="6" w16cid:durableId="1180390730">
    <w:abstractNumId w:val="17"/>
  </w:num>
  <w:num w:numId="7" w16cid:durableId="773205853">
    <w:abstractNumId w:val="12"/>
  </w:num>
  <w:num w:numId="8" w16cid:durableId="1333796912">
    <w:abstractNumId w:val="26"/>
  </w:num>
  <w:num w:numId="9" w16cid:durableId="514074963">
    <w:abstractNumId w:val="3"/>
  </w:num>
  <w:num w:numId="10" w16cid:durableId="1341155748">
    <w:abstractNumId w:val="1"/>
  </w:num>
  <w:num w:numId="11" w16cid:durableId="530728706">
    <w:abstractNumId w:val="0"/>
  </w:num>
  <w:num w:numId="12" w16cid:durableId="608660190">
    <w:abstractNumId w:val="21"/>
  </w:num>
  <w:num w:numId="13" w16cid:durableId="317148340">
    <w:abstractNumId w:val="5"/>
  </w:num>
  <w:num w:numId="14" w16cid:durableId="800460623">
    <w:abstractNumId w:val="16"/>
  </w:num>
  <w:num w:numId="15" w16cid:durableId="265234731">
    <w:abstractNumId w:val="4"/>
  </w:num>
  <w:num w:numId="16" w16cid:durableId="1012300036">
    <w:abstractNumId w:val="2"/>
  </w:num>
  <w:num w:numId="17" w16cid:durableId="1550655145">
    <w:abstractNumId w:val="8"/>
  </w:num>
  <w:num w:numId="18" w16cid:durableId="125126429">
    <w:abstractNumId w:val="9"/>
  </w:num>
  <w:num w:numId="19" w16cid:durableId="1616643456">
    <w:abstractNumId w:val="14"/>
  </w:num>
  <w:num w:numId="20" w16cid:durableId="1387603297">
    <w:abstractNumId w:val="18"/>
  </w:num>
  <w:num w:numId="21" w16cid:durableId="1639988900">
    <w:abstractNumId w:val="13"/>
  </w:num>
  <w:num w:numId="22" w16cid:durableId="349988045">
    <w:abstractNumId w:val="22"/>
  </w:num>
  <w:num w:numId="23" w16cid:durableId="913271855">
    <w:abstractNumId w:val="23"/>
  </w:num>
  <w:num w:numId="24" w16cid:durableId="1128857974">
    <w:abstractNumId w:val="10"/>
  </w:num>
  <w:num w:numId="25" w16cid:durableId="232008185">
    <w:abstractNumId w:val="24"/>
  </w:num>
  <w:num w:numId="26" w16cid:durableId="1560558172">
    <w:abstractNumId w:val="20"/>
    <w:lvlOverride w:ilvl="0">
      <w:startOverride w:val="1"/>
    </w:lvlOverride>
  </w:num>
  <w:num w:numId="27" w16cid:durableId="1727411664">
    <w:abstractNumId w:val="7"/>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CD"/>
    <w:rsid w:val="0002697E"/>
    <w:rsid w:val="00072FC3"/>
    <w:rsid w:val="001549E5"/>
    <w:rsid w:val="002915D1"/>
    <w:rsid w:val="002B50B3"/>
    <w:rsid w:val="002D0C8B"/>
    <w:rsid w:val="00557D40"/>
    <w:rsid w:val="005B204B"/>
    <w:rsid w:val="005F7209"/>
    <w:rsid w:val="0073701C"/>
    <w:rsid w:val="008B224B"/>
    <w:rsid w:val="00933446"/>
    <w:rsid w:val="009E5E62"/>
    <w:rsid w:val="00B83ACD"/>
    <w:rsid w:val="00BB1A50"/>
    <w:rsid w:val="01D23341"/>
    <w:rsid w:val="03F09784"/>
    <w:rsid w:val="06B0D92B"/>
    <w:rsid w:val="071FBB0F"/>
    <w:rsid w:val="0843AB72"/>
    <w:rsid w:val="0F0587F1"/>
    <w:rsid w:val="0F192152"/>
    <w:rsid w:val="151A1363"/>
    <w:rsid w:val="1602061F"/>
    <w:rsid w:val="20724B02"/>
    <w:rsid w:val="2A8DC760"/>
    <w:rsid w:val="2D376792"/>
    <w:rsid w:val="2FC764EB"/>
    <w:rsid w:val="308C2C5F"/>
    <w:rsid w:val="33B0DDB0"/>
    <w:rsid w:val="3BBFEF91"/>
    <w:rsid w:val="3D96B125"/>
    <w:rsid w:val="3FDC2873"/>
    <w:rsid w:val="46EBA951"/>
    <w:rsid w:val="47164C7E"/>
    <w:rsid w:val="476F9C39"/>
    <w:rsid w:val="4CC705ED"/>
    <w:rsid w:val="525EA499"/>
    <w:rsid w:val="54B71FC4"/>
    <w:rsid w:val="56C166C4"/>
    <w:rsid w:val="56ED6594"/>
    <w:rsid w:val="5AC252AB"/>
    <w:rsid w:val="6135B762"/>
    <w:rsid w:val="6999E54F"/>
    <w:rsid w:val="6BE46E32"/>
    <w:rsid w:val="6C39D9E4"/>
    <w:rsid w:val="72D1C4B6"/>
    <w:rsid w:val="7754286F"/>
    <w:rsid w:val="7AFD5977"/>
    <w:rsid w:val="7B7A41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7B8D"/>
  <w15:chartTrackingRefBased/>
  <w15:docId w15:val="{BDD9276D-BBB3-4204-B33F-5C28EBC7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2FC3"/>
    <w:pPr>
      <w:widowControl w:val="0"/>
      <w:spacing w:after="0" w:line="240" w:lineRule="auto"/>
    </w:pPr>
    <w:rPr>
      <w:rFonts w:ascii="Arial" w:hAnsi="Arial" w:eastAsia="Arial" w:cs="Arial"/>
      <w:kern w:val="0"/>
      <w:sz w:val="22"/>
      <w:szCs w:val="22"/>
      <w:lang w:eastAsia="en-IN"/>
      <w14:ligatures w14:val="none"/>
    </w:rPr>
  </w:style>
  <w:style w:type="paragraph" w:styleId="Heading1">
    <w:name w:val="heading 1"/>
    <w:basedOn w:val="Normal"/>
    <w:next w:val="Normal"/>
    <w:link w:val="Heading1Char"/>
    <w:uiPriority w:val="9"/>
    <w:qFormat/>
    <w:rsid w:val="00B83AC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AC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C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3AC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83AC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83AC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3AC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3AC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3AC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3AC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3AC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3ACD"/>
    <w:rPr>
      <w:rFonts w:eastAsiaTheme="majorEastAsia" w:cstheme="majorBidi"/>
      <w:color w:val="272727" w:themeColor="text1" w:themeTint="D8"/>
    </w:rPr>
  </w:style>
  <w:style w:type="paragraph" w:styleId="Title">
    <w:name w:val="Title"/>
    <w:basedOn w:val="Normal"/>
    <w:next w:val="Normal"/>
    <w:link w:val="TitleChar"/>
    <w:uiPriority w:val="10"/>
    <w:qFormat/>
    <w:rsid w:val="00B83AC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3AC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3AC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CD"/>
    <w:pPr>
      <w:spacing w:before="160"/>
      <w:jc w:val="center"/>
    </w:pPr>
    <w:rPr>
      <w:i/>
      <w:iCs/>
      <w:color w:val="404040" w:themeColor="text1" w:themeTint="BF"/>
    </w:rPr>
  </w:style>
  <w:style w:type="character" w:styleId="QuoteChar" w:customStyle="1">
    <w:name w:val="Quote Char"/>
    <w:basedOn w:val="DefaultParagraphFont"/>
    <w:link w:val="Quote"/>
    <w:uiPriority w:val="29"/>
    <w:rsid w:val="00B83ACD"/>
    <w:rPr>
      <w:i/>
      <w:iCs/>
      <w:color w:val="404040" w:themeColor="text1" w:themeTint="BF"/>
    </w:rPr>
  </w:style>
  <w:style w:type="paragraph" w:styleId="ListParagraph">
    <w:name w:val="List Paragraph"/>
    <w:basedOn w:val="Normal"/>
    <w:qFormat/>
    <w:rsid w:val="00B83ACD"/>
    <w:pPr>
      <w:ind w:left="720"/>
      <w:contextualSpacing/>
    </w:pPr>
  </w:style>
  <w:style w:type="character" w:styleId="IntenseEmphasis">
    <w:name w:val="Intense Emphasis"/>
    <w:basedOn w:val="DefaultParagraphFont"/>
    <w:uiPriority w:val="21"/>
    <w:qFormat/>
    <w:rsid w:val="00B83ACD"/>
    <w:rPr>
      <w:i/>
      <w:iCs/>
      <w:color w:val="0F4761" w:themeColor="accent1" w:themeShade="BF"/>
    </w:rPr>
  </w:style>
  <w:style w:type="paragraph" w:styleId="IntenseQuote">
    <w:name w:val="Intense Quote"/>
    <w:basedOn w:val="Normal"/>
    <w:next w:val="Normal"/>
    <w:link w:val="IntenseQuoteChar"/>
    <w:uiPriority w:val="30"/>
    <w:qFormat/>
    <w:rsid w:val="00B83AC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3ACD"/>
    <w:rPr>
      <w:i/>
      <w:iCs/>
      <w:color w:val="0F4761" w:themeColor="accent1" w:themeShade="BF"/>
    </w:rPr>
  </w:style>
  <w:style w:type="character" w:styleId="IntenseReference">
    <w:name w:val="Intense Reference"/>
    <w:basedOn w:val="DefaultParagraphFont"/>
    <w:uiPriority w:val="32"/>
    <w:qFormat/>
    <w:rsid w:val="00B83ACD"/>
    <w:rPr>
      <w:b/>
      <w:bCs/>
      <w:smallCaps/>
      <w:color w:val="0F4761" w:themeColor="accent1" w:themeShade="BF"/>
      <w:spacing w:val="5"/>
    </w:rPr>
  </w:style>
  <w:style w:type="paragraph" w:styleId="Header">
    <w:uiPriority w:val="99"/>
    <w:name w:val="header"/>
    <w:basedOn w:val="Normal"/>
    <w:unhideWhenUsed/>
    <w:rsid w:val="46EBA951"/>
    <w:pPr>
      <w:tabs>
        <w:tab w:val="center" w:leader="none" w:pos="4680"/>
        <w:tab w:val="right" w:leader="none" w:pos="9360"/>
      </w:tabs>
    </w:pPr>
  </w:style>
  <w:style w:type="paragraph" w:styleId="Footer">
    <w:uiPriority w:val="99"/>
    <w:name w:val="footer"/>
    <w:basedOn w:val="Normal"/>
    <w:unhideWhenUsed/>
    <w:rsid w:val="46EBA951"/>
    <w:pPr>
      <w:tabs>
        <w:tab w:val="center" w:leader="none" w:pos="4680"/>
        <w:tab w:val="right" w:leader="none" w:pos="9360"/>
      </w:tabs>
    </w:pPr>
  </w:style>
  <w:style w:type="character" w:styleId="Hyperlink">
    <w:uiPriority w:val="99"/>
    <w:name w:val="Hyperlink"/>
    <w:basedOn w:val="DefaultParagraphFont"/>
    <w:unhideWhenUsed/>
    <w:rsid w:val="46EBA95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microsoft.com/office/2016/09/relationships/commentsIds" Target="commentsIds.xml" Id="Rf5be23494b0d49cb" /><Relationship Type="http://schemas.microsoft.com/office/2011/relationships/commentsExtended" Target="commentsExtended.xml" Id="R990199de99b64570" /><Relationship Type="http://schemas.microsoft.com/office/2011/relationships/people" Target="people.xml" Id="Rb3f8cdfe1ccc4113" /><Relationship Type="http://schemas.openxmlformats.org/officeDocument/2006/relationships/header" Target="header2.xml" Id="R0660532292fd4f3c" /><Relationship Type="http://schemas.openxmlformats.org/officeDocument/2006/relationships/header" Target="header3.xml" Id="R6a038faadbd94d38" /><Relationship Type="http://schemas.microsoft.com/office/2020/10/relationships/intelligence" Target="intelligence2.xml" Id="R8e30d231c6d047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Gyanesh Samanta</dc:creator>
  <keywords/>
  <dc:description/>
  <lastModifiedBy>Guest User</lastModifiedBy>
  <revision>13</revision>
  <dcterms:created xsi:type="dcterms:W3CDTF">2026-02-04T13:58:00.0000000Z</dcterms:created>
  <dcterms:modified xsi:type="dcterms:W3CDTF">2026-10-04T09:33:31.8524229Z</dcterms:modified>
</coreProperties>
</file>