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240"/>
        <w:jc w:val="center"/>
      </w:pPr>
      <w:r>
        <w:rPr>
          <w:rFonts w:ascii="Arial" w:cs="Arial" w:eastAsia="Arial" w:hAnsi="Arial"/>
          <w:b/>
          <w:bCs/>
          <w:color w:val="1B3A6B"/>
          <w:sz w:val="44"/>
          <w:szCs w:val="44"/>
        </w:rPr>
        <w:t xml:space="preserve">Establishing the Causal Link Between Usability,</w:t>
      </w:r>
    </w:p>
    <w:p>
      <w:pPr>
        <w:spacing w:before="0" w:after="240"/>
        <w:jc w:val="center"/>
      </w:pPr>
      <w:r>
        <w:rPr>
          <w:rFonts w:ascii="Arial" w:cs="Arial" w:eastAsia="Arial" w:hAnsi="Arial"/>
          <w:b/>
          <w:bCs/>
          <w:color w:val="1B3A6B"/>
          <w:sz w:val="44"/>
          <w:szCs w:val="44"/>
        </w:rPr>
        <w:t xml:space="preserve">Feature Adoption, and Business Outcomes</w:t>
      </w:r>
    </w:p>
    <w:p>
      <w:pPr>
        <w:spacing w:before="0" w:after="240"/>
        <w:jc w:val="center"/>
      </w:pPr>
      <w:r>
        <w:rPr>
          <w:rFonts w:ascii="Arial" w:cs="Arial" w:eastAsia="Arial" w:hAnsi="Arial"/>
          <w:b/>
          <w:bCs/>
          <w:color w:val="1B3A6B"/>
          <w:sz w:val="44"/>
          <w:szCs w:val="44"/>
        </w:rPr>
        <w:t xml:space="preserve">in B2B SaaS Platforms</w:t>
      </w:r>
    </w:p>
    <w:p>
      <w:pPr>
        <w:pBdr>
          <w:bottom w:val="single" w:color="E8A020" w:sz="12" w:space="4"/>
        </w:pBdr>
        <w:spacing w:before="120" w:after="80"/>
        <w:jc w:val="center"/>
      </w:pPr>
      <w:r>
        <w:rPr>
          <w:rFonts w:ascii="Arial" w:cs="Arial" w:eastAsia="Arial" w:hAnsi="Arial"/>
          <w:color w:val="2E5FA3"/>
          <w:sz w:val="28"/>
          <w:szCs w:val="28"/>
        </w:rPr>
        <w:t xml:space="preserve">An Empirical Survival and Regression Analysis</w:t>
      </w:r>
    </w:p>
    <w:p>
      <w:pPr>
        <w:spacing w:before="600" w:after="0"/>
      </w:pPr>
      <w:r>
        <w:t xml:space="preserve"/>
      </w:r>
    </w:p>
    <w:p>
      <w:pPr>
        <w:spacing w:before="0" w:after="120"/>
        <w:jc w:val="center"/>
      </w:pPr>
      <w:r>
        <w:rPr>
          <w:rFonts w:ascii="Arial" w:cs="Arial" w:eastAsia="Arial" w:hAnsi="Arial"/>
          <w:b/>
          <w:bCs/>
          <w:color w:val="4A4A4A"/>
          <w:sz w:val="24"/>
          <w:szCs w:val="24"/>
        </w:rPr>
        <w:t xml:space="preserve">Research Paper</w:t>
      </w:r>
    </w:p>
    <w:p>
      <w:pPr>
        <w:spacing w:before="0" w:after="120"/>
        <w:jc w:val="center"/>
      </w:pPr>
      <w:r>
        <w:rPr>
          <w:rFonts w:ascii="Arial" w:cs="Arial" w:eastAsia="Arial" w:hAnsi="Arial"/>
          <w:color w:val="4A4A4A"/>
          <w:sz w:val="22"/>
          <w:szCs w:val="22"/>
        </w:rPr>
        <w:t xml:space="preserve">User Behaviour → User Experience (Causal Chain Study)</w:t>
      </w:r>
    </w:p>
    <w:p>
      <w:pPr>
        <w:spacing w:before="480" w:after="0"/>
      </w:pPr>
      <w:r>
        <w:t xml:space="preserve"/>
      </w:r>
    </w:p>
    <w:p>
      <w:pPr>
        <w:spacing w:before="0" w:after="80"/>
        <w:jc w:val="center"/>
      </w:pPr>
      <w:r>
        <w:rPr>
          <w:rFonts w:ascii="Arial" w:cs="Arial" w:eastAsia="Arial" w:hAnsi="Arial"/>
          <w:b/>
          <w:bCs/>
          <w:color w:val="1B3A6B"/>
          <w:sz w:val="22"/>
          <w:szCs w:val="22"/>
        </w:rPr>
        <w:t xml:space="preserve">Methodologies Applied:</w:t>
      </w:r>
    </w:p>
    <w:p>
      <w:pPr>
        <w:spacing w:before="0" w:after="80"/>
        <w:jc w:val="center"/>
      </w:pPr>
      <w:r>
        <w:rPr>
          <w:rFonts w:ascii="Arial" w:cs="Arial" w:eastAsia="Arial" w:hAnsi="Arial"/>
          <w:color w:val="4A4A4A"/>
          <w:sz w:val="22"/>
          <w:szCs w:val="22"/>
        </w:rPr>
        <w:t xml:space="preserve">Kernel Density Estimation • Mann-Whitney U Test • Logistic Regression</w:t>
      </w:r>
    </w:p>
    <w:p>
      <w:pPr>
        <w:spacing w:before="0" w:after="80"/>
        <w:jc w:val="center"/>
      </w:pPr>
      <w:r>
        <w:rPr>
          <w:rFonts w:ascii="Arial" w:cs="Arial" w:eastAsia="Arial" w:hAnsi="Arial"/>
          <w:color w:val="4A4A4A"/>
          <w:sz w:val="22"/>
          <w:szCs w:val="22"/>
        </w:rPr>
        <w:t xml:space="preserve">A/B Testing (Welch’s T-Test) • Cox Proportional Hazards • Kaplan-Meier Survival Analysis</w:t>
      </w:r>
    </w:p>
    <w:p>
      <w:pPr>
        <w:spacing w:before="480" w:after="0"/>
      </w:pPr>
      <w:r>
        <w:t xml:space="preserve"/>
      </w:r>
    </w:p>
    <w:p>
      <w:pPr>
        <w:spacing w:before="0" w:after="80"/>
        <w:jc w:val="center"/>
      </w:pPr>
      <w:r>
        <w:rPr>
          <w:rFonts w:ascii="Arial" w:cs="Arial" w:eastAsia="Arial" w:hAnsi="Arial"/>
          <w:b/>
          <w:bCs/>
          <w:color w:val="1B3A6B"/>
          <w:sz w:val="22"/>
          <w:szCs w:val="22"/>
        </w:rPr>
        <w:t xml:space="preserve">Keywords:</w:t>
      </w:r>
    </w:p>
    <w:p>
      <w:pPr>
        <w:spacing w:before="0" w:after="80"/>
        <w:jc w:val="center"/>
      </w:pPr>
      <w:r>
        <w:rPr>
          <w:rFonts w:ascii="Arial" w:cs="Arial" w:eastAsia="Arial" w:hAnsi="Arial"/>
          <w:color w:val="4A4A4A"/>
          <w:sz w:val="21"/>
          <w:szCs w:val="21"/>
        </w:rPr>
        <w:t xml:space="preserve">B2B SaaS • User Experience • Feature Adoption • Product-Led Growth • Churn • Net Revenue Retention</w:t>
      </w:r>
    </w:p>
    <w:p>
      <w:pPr>
        <w:spacing w:before="0" w:after="80"/>
        <w:jc w:val="center"/>
      </w:pPr>
      <w:r>
        <w:rPr>
          <w:rFonts w:ascii="Arial" w:cs="Arial" w:eastAsia="Arial" w:hAnsi="Arial"/>
          <w:color w:val="4A4A4A"/>
          <w:sz w:val="21"/>
          <w:szCs w:val="21"/>
        </w:rPr>
        <w:t xml:space="preserve">Consumerization of IT • Technology Acceptance Model • Survival Analysis</w:t>
      </w:r>
    </w:p>
    <w:p>
      <w:pPr>
        <w:spacing w:before="1440" w:after="0"/>
      </w:pPr>
      <w:r>
        <w:t xml:space="preserve"/>
      </w:r>
    </w:p>
    <w:p>
      <w:pPr>
        <w:pBdr>
          <w:top w:val="single" w:color="BBCEE5" w:sz="4" w:space="4"/>
        </w:pBdr>
        <w:spacing w:before="0" w:after="60"/>
        <w:jc w:val="center"/>
      </w:pPr>
      <w:r>
        <w:rPr>
          <w:rFonts w:ascii="Arial" w:cs="Arial" w:eastAsia="Arial" w:hAnsi="Arial"/>
          <w:color w:val="4A4A4A"/>
          <w:sz w:val="20"/>
          <w:szCs w:val="20"/>
        </w:rPr>
        <w:t xml:space="preserve">2024 • B2B SaaS Product Strategy Research</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5FA3" w:sz="8" w:space="4"/>
        </w:pBdr>
        <w:spacing w:before="360" w:after="160"/>
      </w:pPr>
      <w:r>
        <w:rPr>
          <w:rFonts w:ascii="Arial" w:cs="Arial" w:eastAsia="Arial" w:hAnsi="Arial"/>
          <w:b/>
          <w:bCs/>
          <w:color w:val="1B3A6B"/>
          <w:sz w:val="36"/>
          <w:szCs w:val="36"/>
        </w:rPr>
        <w:t xml:space="preserve">Abstract</w:t>
      </w:r>
    </w:p>
    <w:p>
      <w:pPr>
        <w:spacing w:before="80" w:after="120" w:line="320"/>
        <w:jc w:val="both"/>
      </w:pPr>
      <w:r>
        <w:rPr>
          <w:rFonts w:ascii="Arial" w:cs="Arial" w:eastAsia="Arial" w:hAnsi="Arial"/>
          <w:color w:val="000000"/>
          <w:sz w:val="22"/>
          <w:szCs w:val="22"/>
        </w:rPr>
        <w:t xml:space="preserve">The landscape of Business-to-Business (B2B) Software-as-a-Service (SaaS) platforms has historically been characterized by functional depth and architectural complexity, often prioritizing technical capability over user experience (UX) and intuitive design. However, the paradigm is rapidly shifting as the "consumerization of IT" drives users to demand the same level of frictionless, engaging usability in their professional tools as they experience in their personal digital lives. This research paper presents a comprehensive empirical analysis investigating the causal relationships between platform usability, feature adoption, and subsequent business outcomes—specifically customer retention (churn) and regional revenue growth (Net Revenue Retention or NRR).</w:t>
      </w:r>
    </w:p>
    <w:p>
      <w:pPr>
        <w:spacing w:before="80" w:after="0"/>
      </w:pPr>
      <w:r>
        <w:t xml:space="preserve"/>
      </w:r>
    </w:p>
    <w:p>
      <w:pPr>
        <w:spacing w:before="80" w:after="120" w:line="320"/>
        <w:jc w:val="both"/>
      </w:pPr>
      <w:r>
        <w:rPr>
          <w:rFonts w:ascii="Arial" w:cs="Arial" w:eastAsia="Arial" w:hAnsi="Arial"/>
          <w:color w:val="000000"/>
          <w:sz w:val="22"/>
          <w:szCs w:val="22"/>
        </w:rPr>
        <w:t xml:space="preserve">Drawing upon a multifaceted dataset comprising system usability scores, user engagement metrics, time-on-task experimental data, and regional sales financials, this study is structured around three core research questions. First, we quantify the expectation gap between consumer and B2B SaaS platforms using Kernel Density Estimation (KDE) and Mann-Whitney U tests, revealing a mathematically significant deficit in B2B user satisfaction compared to consumer platforms—a mean gap of 18.2 normalized points with a Cohen's d of 1.34, categorized as a "very large" effect. Second, through A/B testing and logistic regression models, we establish that superior usability (measured via time-on-task and engagement scores) acts as a primary causal driver for feature adoption—yielding a 15.4% efficiency gain and demonstrating that a single-unit increase in engagement score correlates with a 12% increase in adoption probability (OR = 1.12). Third, applying Cox Proportional Hazards modeling and multivariate linear regressions, we connect adoption metrics directly to the bottom line, demonstrating that feature adopters exhibit a 23% lower risk of churn (HR = 0.77) and that regions with higher adoption penetration generate superior sales and profitability.</w:t>
      </w:r>
    </w:p>
    <w:p>
      <w:pPr>
        <w:spacing w:before="80" w:after="0"/>
      </w:pPr>
      <w:r>
        <w:t xml:space="preserve"/>
      </w:r>
    </w:p>
    <w:p>
      <w:pPr>
        <w:spacing w:before="80" w:after="120" w:line="320"/>
        <w:jc w:val="both"/>
      </w:pPr>
      <w:r>
        <w:rPr>
          <w:rFonts w:ascii="Arial" w:cs="Arial" w:eastAsia="Arial" w:hAnsi="Arial"/>
          <w:color w:val="000000"/>
          <w:sz w:val="22"/>
          <w:szCs w:val="22"/>
        </w:rPr>
        <w:t xml:space="preserve">Cumulatively, this research contributes to the burgeoning field of Product-Led Growth (PLG) by mathematically validating that UI/UX is not merely an aesthetic concern but a foundational economic driver in the B2B SaaS sector. The findings offer actionable insights for product managers, UX designers, and SaaS executives, advocating for a strategic reorientation toward intuitive design to maximize feature adoption, mitigate churn risk, and stimulate sustainable revenue generation.</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Table of Contents</w:t>
      </w:r>
    </w:p>
    <w:p>
      <w:pPr>
        <w:tabs>
          <w:tab w:val="right" w:pos="8640"/>
        </w:tabs>
        <w:spacing w:before="60" w:after="60"/>
        <w:jc w:val="left"/>
      </w:pPr>
      <w:r>
        <w:rPr>
          <w:rFonts w:ascii="Arial" w:cs="Arial" w:eastAsia="Arial" w:hAnsi="Arial"/>
          <w:color w:val="1B3A6B"/>
          <w:sz w:val="22"/>
          <w:szCs w:val="22"/>
        </w:rPr>
        <w:t xml:space="preserve">1. Introduction</w:t>
      </w:r>
    </w:p>
    <w:p>
      <w:pPr>
        <w:tabs>
          <w:tab w:val="right" w:pos="8640"/>
        </w:tabs>
        <w:spacing w:before="60" w:after="60"/>
        <w:jc w:val="left"/>
      </w:pPr>
      <w:r>
        <w:rPr>
          <w:rFonts w:ascii="Arial" w:cs="Arial" w:eastAsia="Arial" w:hAnsi="Arial"/>
          <w:color w:val="1B3A6B"/>
          <w:sz w:val="22"/>
          <w:szCs w:val="22"/>
        </w:rPr>
        <w:t xml:space="preserve">2. Literature Review</w:t>
      </w:r>
    </w:p>
    <w:p>
      <w:pPr>
        <w:tabs>
          <w:tab w:val="right" w:pos="8640"/>
        </w:tabs>
        <w:spacing w:before="60" w:after="60"/>
        <w:jc w:val="left"/>
      </w:pPr>
      <w:r>
        <w:rPr>
          <w:rFonts w:ascii="Arial" w:cs="Arial" w:eastAsia="Arial" w:hAnsi="Arial"/>
          <w:color w:val="1B3A6B"/>
          <w:sz w:val="22"/>
          <w:szCs w:val="22"/>
        </w:rPr>
        <w:t xml:space="preserve">3. Theoretical Framework</w:t>
      </w:r>
    </w:p>
    <w:p>
      <w:pPr>
        <w:tabs>
          <w:tab w:val="right" w:pos="8640"/>
        </w:tabs>
        <w:spacing w:before="60" w:after="60"/>
        <w:jc w:val="left"/>
      </w:pPr>
      <w:r>
        <w:rPr>
          <w:rFonts w:ascii="Arial" w:cs="Arial" w:eastAsia="Arial" w:hAnsi="Arial"/>
          <w:color w:val="1B3A6B"/>
          <w:sz w:val="22"/>
          <w:szCs w:val="22"/>
        </w:rPr>
        <w:t xml:space="preserve">4. Problem Definition</w:t>
      </w:r>
    </w:p>
    <w:p>
      <w:pPr>
        <w:tabs>
          <w:tab w:val="right" w:pos="8640"/>
        </w:tabs>
        <w:spacing w:before="60" w:after="60"/>
        <w:jc w:val="left"/>
      </w:pPr>
      <w:r>
        <w:rPr>
          <w:rFonts w:ascii="Arial" w:cs="Arial" w:eastAsia="Arial" w:hAnsi="Arial"/>
          <w:color w:val="1B3A6B"/>
          <w:sz w:val="22"/>
          <w:szCs w:val="22"/>
        </w:rPr>
        <w:t xml:space="preserve">5. Research Questions and Hypotheses</w:t>
      </w:r>
    </w:p>
    <w:p>
      <w:pPr>
        <w:tabs>
          <w:tab w:val="right" w:pos="8640"/>
        </w:tabs>
        <w:spacing w:before="60" w:after="60"/>
        <w:jc w:val="left"/>
      </w:pPr>
      <w:r>
        <w:rPr>
          <w:rFonts w:ascii="Arial" w:cs="Arial" w:eastAsia="Arial" w:hAnsi="Arial"/>
          <w:color w:val="1B3A6B"/>
          <w:sz w:val="22"/>
          <w:szCs w:val="22"/>
        </w:rPr>
        <w:t xml:space="preserve">6. Dataset Description</w:t>
      </w:r>
    </w:p>
    <w:p>
      <w:pPr>
        <w:tabs>
          <w:tab w:val="right" w:pos="8640"/>
        </w:tabs>
        <w:spacing w:before="60" w:after="60"/>
        <w:jc w:val="left"/>
      </w:pPr>
      <w:r>
        <w:rPr>
          <w:rFonts w:ascii="Arial" w:cs="Arial" w:eastAsia="Arial" w:hAnsi="Arial"/>
          <w:color w:val="1B3A6B"/>
          <w:sz w:val="22"/>
          <w:szCs w:val="22"/>
        </w:rPr>
        <w:t xml:space="preserve">7. Exploratory Data Analysis (EDA)</w:t>
      </w:r>
    </w:p>
    <w:p>
      <w:pPr>
        <w:tabs>
          <w:tab w:val="right" w:pos="8640"/>
        </w:tabs>
        <w:spacing w:before="60" w:after="60"/>
        <w:jc w:val="left"/>
      </w:pPr>
      <w:r>
        <w:rPr>
          <w:rFonts w:ascii="Arial" w:cs="Arial" w:eastAsia="Arial" w:hAnsi="Arial"/>
          <w:color w:val="1B3A6B"/>
          <w:sz w:val="22"/>
          <w:szCs w:val="22"/>
        </w:rPr>
        <w:t xml:space="preserve">8. Feature Engineering and Data Preparation</w:t>
      </w:r>
    </w:p>
    <w:p>
      <w:pPr>
        <w:tabs>
          <w:tab w:val="right" w:pos="8640"/>
        </w:tabs>
        <w:spacing w:before="60" w:after="60"/>
        <w:jc w:val="left"/>
      </w:pPr>
      <w:r>
        <w:rPr>
          <w:rFonts w:ascii="Arial" w:cs="Arial" w:eastAsia="Arial" w:hAnsi="Arial"/>
          <w:color w:val="1B3A6B"/>
          <w:sz w:val="22"/>
          <w:szCs w:val="22"/>
        </w:rPr>
        <w:t xml:space="preserve">9. Modeling Methodology</w:t>
      </w:r>
    </w:p>
    <w:p>
      <w:pPr>
        <w:tabs>
          <w:tab w:val="right" w:pos="8640"/>
        </w:tabs>
        <w:spacing w:before="60" w:after="60"/>
        <w:jc w:val="left"/>
      </w:pPr>
      <w:r>
        <w:rPr>
          <w:rFonts w:ascii="Arial" w:cs="Arial" w:eastAsia="Arial" w:hAnsi="Arial"/>
          <w:color w:val="1B3A6B"/>
          <w:sz w:val="22"/>
          <w:szCs w:val="22"/>
        </w:rPr>
        <w:t xml:space="preserve">10. Evaluation Metrics</w:t>
      </w:r>
    </w:p>
    <w:p>
      <w:pPr>
        <w:tabs>
          <w:tab w:val="right" w:pos="8640"/>
        </w:tabs>
        <w:spacing w:before="60" w:after="60"/>
        <w:jc w:val="left"/>
      </w:pPr>
      <w:r>
        <w:rPr>
          <w:rFonts w:ascii="Arial" w:cs="Arial" w:eastAsia="Arial" w:hAnsi="Arial"/>
          <w:color w:val="1B3A6B"/>
          <w:sz w:val="22"/>
          <w:szCs w:val="22"/>
        </w:rPr>
        <w:t xml:space="preserve">11. Results</w:t>
      </w:r>
    </w:p>
    <w:p>
      <w:pPr>
        <w:tabs>
          <w:tab w:val="right" w:pos="8640"/>
        </w:tabs>
        <w:spacing w:before="60" w:after="60"/>
        <w:jc w:val="left"/>
      </w:pPr>
      <w:r>
        <w:rPr>
          <w:rFonts w:ascii="Arial" w:cs="Arial" w:eastAsia="Arial" w:hAnsi="Arial"/>
          <w:color w:val="1B3A6B"/>
          <w:sz w:val="22"/>
          <w:szCs w:val="22"/>
        </w:rPr>
        <w:t xml:space="preserve">12. Discussion</w:t>
      </w:r>
    </w:p>
    <w:p>
      <w:pPr>
        <w:tabs>
          <w:tab w:val="right" w:pos="8640"/>
        </w:tabs>
        <w:spacing w:before="60" w:after="60"/>
        <w:jc w:val="left"/>
      </w:pPr>
      <w:r>
        <w:rPr>
          <w:rFonts w:ascii="Arial" w:cs="Arial" w:eastAsia="Arial" w:hAnsi="Arial"/>
          <w:color w:val="1B3A6B"/>
          <w:sz w:val="22"/>
          <w:szCs w:val="22"/>
        </w:rPr>
        <w:t xml:space="preserve">13. Limitations</w:t>
      </w:r>
    </w:p>
    <w:p>
      <w:pPr>
        <w:tabs>
          <w:tab w:val="right" w:pos="8640"/>
        </w:tabs>
        <w:spacing w:before="60" w:after="60"/>
        <w:jc w:val="left"/>
      </w:pPr>
      <w:r>
        <w:rPr>
          <w:rFonts w:ascii="Arial" w:cs="Arial" w:eastAsia="Arial" w:hAnsi="Arial"/>
          <w:color w:val="1B3A6B"/>
          <w:sz w:val="22"/>
          <w:szCs w:val="22"/>
        </w:rPr>
        <w:t xml:space="preserve">14. Future Work</w:t>
      </w:r>
    </w:p>
    <w:p>
      <w:pPr>
        <w:tabs>
          <w:tab w:val="right" w:pos="8640"/>
        </w:tabs>
        <w:spacing w:before="60" w:after="60"/>
        <w:jc w:val="left"/>
      </w:pPr>
      <w:r>
        <w:rPr>
          <w:rFonts w:ascii="Arial" w:cs="Arial" w:eastAsia="Arial" w:hAnsi="Arial"/>
          <w:color w:val="1B3A6B"/>
          <w:sz w:val="22"/>
          <w:szCs w:val="22"/>
        </w:rPr>
        <w:t xml:space="preserve">15. Conclusion</w:t>
      </w:r>
    </w:p>
    <w:p>
      <w:pPr>
        <w:tabs>
          <w:tab w:val="right" w:pos="8640"/>
        </w:tabs>
        <w:spacing w:before="60" w:after="60"/>
        <w:jc w:val="left"/>
      </w:pPr>
      <w:r>
        <w:rPr>
          <w:rFonts w:ascii="Arial" w:cs="Arial" w:eastAsia="Arial" w:hAnsi="Arial"/>
          <w:color w:val="1B3A6B"/>
          <w:sz w:val="22"/>
          <w:szCs w:val="22"/>
        </w:rPr>
        <w:t xml:space="preserve">16. References</w:t>
      </w:r>
    </w:p>
    <w:p>
      <w:r>
        <w:br w:type="page"/>
      </w:r>
    </w:p>
    <w:p>
      <w:pPr>
        <w:pStyle w:val="Heading1"/>
        <w:pBdr>
          <w:bottom w:val="single" w:color="2E5FA3" w:sz="8" w:space="4"/>
        </w:pBdr>
        <w:spacing w:before="360" w:after="160"/>
      </w:pPr>
      <w:r>
        <w:rPr>
          <w:rFonts w:ascii="Arial" w:cs="Arial" w:eastAsia="Arial" w:hAnsi="Arial"/>
          <w:b/>
          <w:bCs/>
          <w:color w:val="1B3A6B"/>
          <w:sz w:val="36"/>
          <w:szCs w:val="36"/>
        </w:rPr>
        <w:t xml:space="preserve">1. Introduction</w:t>
      </w:r>
    </w:p>
    <w:p>
      <w:pPr>
        <w:spacing w:before="80" w:after="120" w:line="320"/>
        <w:jc w:val="both"/>
      </w:pPr>
      <w:r>
        <w:rPr>
          <w:rFonts w:ascii="Arial" w:cs="Arial" w:eastAsia="Arial" w:hAnsi="Arial"/>
          <w:color w:val="000000"/>
          <w:sz w:val="22"/>
          <w:szCs w:val="22"/>
        </w:rPr>
        <w:t xml:space="preserve">In the rapidly evolving ecosystem of the modern digital economy, Business-to-Business (B2B) Software-as-a-Service (SaaS) platforms have become the operational backbone of enterprise organizations. From Customer Relationship Management (CRM) systems to Enterprise Resource Planning (ERP) solutions and collaborative workflow platforms, these applications manage critical, high-complexity business processes. For decades, the primary value proposition of enterprise software centered on functional breadth, deep integrations, and feature richness. The prevailing industry assumption held that enterprise users, constrained by corporate mandates and equipped with extensive training protocols, would tolerate steep learning curves and suboptimal interfaces in exchange for the raw capability to execute complex tasks. The design philosophy was unequivocally one of function over form, and feature density over user experience (UX).</w:t>
      </w:r>
    </w:p>
    <w:p>
      <w:pPr>
        <w:spacing w:before="80" w:after="0"/>
      </w:pPr>
      <w:r>
        <w:t xml:space="preserve"/>
      </w:r>
    </w:p>
    <w:p>
      <w:pPr>
        <w:spacing w:before="80" w:after="120" w:line="320"/>
        <w:jc w:val="both"/>
      </w:pPr>
      <w:r>
        <w:rPr>
          <w:rFonts w:ascii="Arial" w:cs="Arial" w:eastAsia="Arial" w:hAnsi="Arial"/>
          <w:color w:val="000000"/>
          <w:sz w:val="22"/>
          <w:szCs w:val="22"/>
        </w:rPr>
        <w:t xml:space="preserve">However, a dramatic and irreversible shift in user expectations has emerged over the past decade. Widely referred to as the "consumerization of IT," this phenomenon describes the process by which employees—after spending an increasing proportion of their daily lives interacting with highly optimized, aesthetically refined consumer applications from companies like Apple, Netflix, Spotify, and Uber—begin projecting those elevated UX expectations onto their professional software environments. The tolerance for clunky navigation, opaque information hierarchies, and manual-intensive processes within B2B SaaS environments is precipitously declining. Modern enterprise users demand frictionless, aesthetically coherent, and highly responsive interfaces. This shift is compounded by the hyper-competitive nature of the current SaaS marketplace, where lower switching costs enable organizations to readily abandon platforms that fail to engage and empower their workforces.</w:t>
      </w:r>
    </w:p>
    <w:p>
      <w:pPr>
        <w:spacing w:before="80" w:after="0"/>
      </w:pPr>
      <w:r>
        <w:t xml:space="preserve"/>
      </w:r>
    </w:p>
    <w:p>
      <w:pPr>
        <w:spacing w:before="80" w:after="120" w:line="320"/>
        <w:jc w:val="both"/>
      </w:pPr>
      <w:r>
        <w:rPr>
          <w:rFonts w:ascii="Arial" w:cs="Arial" w:eastAsia="Arial" w:hAnsi="Arial"/>
          <w:color w:val="000000"/>
          <w:sz w:val="22"/>
          <w:szCs w:val="22"/>
        </w:rPr>
        <w:t xml:space="preserve">This shifting landscape has necessitated a fundamental transition from traditional sales-led go-to-market strategies to Product-Led Growth (PLG) models. In a PLG framework, the product itself—its usability, virality, and immediate time-to-value—serves as the primary engine for customer acquisition, expansion, and retention. Consequently, the user interface (UI) and UX are no longer peripheral aesthetic concerns; they are the critical battlegrounds on which SaaS companies compete for market share and long-term commercial viability. Despite this recognized paradigm shift, a notable dearth of rigorous, quantitative research exists that systematically connects specific usability mechanics to macro-level business outcomes within the B2B context. Much of the existing literature relies on qualitative heuristics, anecdotal case studies, or generalized assertions about the value of good design.</w:t>
      </w:r>
    </w:p>
    <w:p>
      <w:pPr>
        <w:spacing w:before="80" w:after="0"/>
      </w:pPr>
      <w:r>
        <w:t xml:space="preserve"/>
      </w:r>
    </w:p>
    <w:p>
      <w:pPr>
        <w:spacing w:before="80" w:after="120" w:line="320"/>
        <w:jc w:val="both"/>
      </w:pPr>
      <w:r>
        <w:rPr>
          <w:rFonts w:ascii="Arial" w:cs="Arial" w:eastAsia="Arial" w:hAnsi="Arial"/>
          <w:color w:val="000000"/>
          <w:sz w:val="22"/>
          <w:szCs w:val="22"/>
        </w:rPr>
        <w:t xml:space="preserve">This research seeks to bridge that gap by providing a statistically validated framework that traces the causal chain from micro-level user interactions—task completion times, engagement scores—to macro-level financial performance metrics, specifically churn rates and regional revenue. The study operationalizes a sequential causal model: superior UI/UX reduces friction, directly driving higher feature adoption rates; high feature adoption embeds the product into the user's daily workflow, thereby mitigating churn and driving revenue expansion. To interrogate this causal hypothesis, the study employs diverse datasets and advanced statistical methodologies, including logistic regression, Welch's T-tests, and Cox Proportional Hazards survival analysis.</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2. Literature Review</w:t>
      </w:r>
    </w:p>
    <w:p>
      <w:pPr>
        <w:pStyle w:val="Heading2"/>
        <w:spacing w:before="240" w:after="100"/>
      </w:pPr>
      <w:r>
        <w:rPr>
          <w:rFonts w:ascii="Arial" w:cs="Arial" w:eastAsia="Arial" w:hAnsi="Arial"/>
          <w:b/>
          <w:bCs/>
          <w:color w:val="2E5FA3"/>
          <w:sz w:val="28"/>
          <w:szCs w:val="28"/>
        </w:rPr>
        <w:t xml:space="preserve">2.1 The Organizational Disconnect in B2B Software</w:t>
      </w:r>
    </w:p>
    <w:p>
      <w:pPr>
        <w:spacing w:before="80" w:after="120" w:line="320"/>
        <w:jc w:val="both"/>
      </w:pPr>
      <w:r>
        <w:rPr>
          <w:rFonts w:ascii="Arial" w:cs="Arial" w:eastAsia="Arial" w:hAnsi="Arial"/>
          <w:color w:val="000000"/>
          <w:sz w:val="22"/>
          <w:szCs w:val="22"/>
        </w:rPr>
        <w:t xml:space="preserve">The historical trajectory of B2B software development is characterized by an organizational misalignment between buyers and users—a structural disconnect that has been extensively documented in the industrial product management literature. In traditional enterprise software procurement cycles, buying decisions are made by executive stakeholders or IT departments, who evaluate software against technical specification checklists, security compliance requirements, and total cost of ownership (TCO) models. However, the daily users of these systems—sales representatives, marketing teams, financial analysts, and operational staff—are largely absent from the purchasing process. This dynamic, noted by scholars studying enterprise procurement behavior, created a perverse incentive structure: software vendors optimized for feature checklists and integration capabilities that impressed buyers, systematically neglecting the interface quality and workflow intuitiveness that would determine day-to-day user satisfaction.</w:t>
      </w:r>
    </w:p>
    <w:p>
      <w:pPr>
        <w:spacing w:before="80" w:after="0"/>
      </w:pPr>
      <w:r>
        <w:t xml:space="preserve"/>
      </w:r>
    </w:p>
    <w:p>
      <w:pPr>
        <w:spacing w:before="80" w:after="120" w:line="320"/>
        <w:jc w:val="both"/>
      </w:pPr>
      <w:r>
        <w:rPr>
          <w:rFonts w:ascii="Arial" w:cs="Arial" w:eastAsia="Arial" w:hAnsi="Arial"/>
          <w:color w:val="000000"/>
          <w:sz w:val="22"/>
          <w:szCs w:val="22"/>
        </w:rPr>
        <w:t xml:space="preserve">The consequences of this incentive misalignment have been well-documented. Research in organizational behavior and IS adoption indicates that software usability has historically been treated as a "quality of life" category—a secondary consideration subordinate to functional requirements. This philosophical position, while economically rational within a license-based perpetual software model (where churn risk was low and switching costs were prohibitive), becomes untenable in a subscription-based SaaS economy where customer success is directly tied to continuous user engagement and product adoption depth.</w:t>
      </w:r>
    </w:p>
    <w:p>
      <w:pPr>
        <w:pStyle w:val="Heading2"/>
        <w:spacing w:before="240" w:after="100"/>
      </w:pPr>
      <w:r>
        <w:rPr>
          <w:rFonts w:ascii="Arial" w:cs="Arial" w:eastAsia="Arial" w:hAnsi="Arial"/>
          <w:b/>
          <w:bCs/>
          <w:color w:val="2E5FA3"/>
          <w:sz w:val="28"/>
          <w:szCs w:val="28"/>
        </w:rPr>
        <w:t xml:space="preserve">2.2 The Consumerization of IT</w:t>
      </w:r>
    </w:p>
    <w:p>
      <w:pPr>
        <w:spacing w:before="80" w:after="120" w:line="320"/>
        <w:jc w:val="both"/>
      </w:pPr>
      <w:r>
        <w:rPr>
          <w:rFonts w:ascii="Arial" w:cs="Arial" w:eastAsia="Arial" w:hAnsi="Arial"/>
          <w:color w:val="000000"/>
          <w:sz w:val="22"/>
          <w:szCs w:val="22"/>
        </w:rPr>
        <w:t xml:space="preserve">The concept of the "consumerization of IT" was formalized as a descriptive framework for understanding how consumer technology trends propagate into enterprise contexts. Harris, Ives, and Junglas (2012) were among the first to systematically study this phenomenon, noting that employees increasingly use personal devices, applications, and cloud services at work, blurring the boundary between consumer and enterprise technology ecosystems. The qualitative implications of this consumerization—rising enterprise user expectations for interface quality, immediacy of value, and intuitive design—have been explored extensively. Platforms such as Slack, which disrupted the enterprise communications market through a consumer-grade interface, and Dropbox, which entered enterprises through individual bottom-up adoption, are frequently cited as exemplars of the "consumerization" effect transforming B2B product strategy.</w:t>
      </w:r>
    </w:p>
    <w:p>
      <w:pPr>
        <w:spacing w:before="80" w:after="0"/>
      </w:pPr>
      <w:r>
        <w:t xml:space="preserve"/>
      </w:r>
    </w:p>
    <w:p>
      <w:pPr>
        <w:spacing w:before="80" w:after="120" w:line="320"/>
        <w:jc w:val="both"/>
      </w:pPr>
      <w:r>
        <w:rPr>
          <w:rFonts w:ascii="Arial" w:cs="Arial" w:eastAsia="Arial" w:hAnsi="Arial"/>
          <w:color w:val="000000"/>
          <w:sz w:val="22"/>
          <w:szCs w:val="22"/>
        </w:rPr>
        <w:t xml:space="preserve">However, rigorous quantitative research validating the magnitude of the resulting UX satisfaction gap between consumer and B2B platforms remains sparse. Existing studies predominantly report findings from specific company contexts, limiting their generalizability. This study addresses that gap by leveraging the American Customer Satisfaction Index (ACSI) as an authoritative, standardized consumer benchmark and contrasting it against B2B-specific usability scores.</w:t>
      </w:r>
    </w:p>
    <w:p>
      <w:pPr>
        <w:pStyle w:val="Heading2"/>
        <w:spacing w:before="240" w:after="100"/>
      </w:pPr>
      <w:r>
        <w:rPr>
          <w:rFonts w:ascii="Arial" w:cs="Arial" w:eastAsia="Arial" w:hAnsi="Arial"/>
          <w:b/>
          <w:bCs/>
          <w:color w:val="2E5FA3"/>
          <w:sz w:val="28"/>
          <w:szCs w:val="28"/>
        </w:rPr>
        <w:t xml:space="preserve">2.3 Product-Led Growth and UX as a Strategic Asset</w:t>
      </w:r>
    </w:p>
    <w:p>
      <w:pPr>
        <w:spacing w:before="80" w:after="120" w:line="320"/>
        <w:jc w:val="both"/>
      </w:pPr>
      <w:r>
        <w:rPr>
          <w:rFonts w:ascii="Arial" w:cs="Arial" w:eastAsia="Arial" w:hAnsi="Arial"/>
          <w:color w:val="000000"/>
          <w:sz w:val="22"/>
          <w:szCs w:val="22"/>
        </w:rPr>
        <w:t xml:space="preserve">The emergence of Product-Led Growth (PLG) as a dominant go-to-market paradigm in SaaS—popularized by OpenView Partners and extensively discussed in the product management community—represents a strategic acknowledgment that product quality and user experience are primary commercial levers. In PLG frameworks, the product acquires, expands, and retains customers through its inherent usability and value delivery, reducing dependence on costly sales and marketing interventions. Companies such as Atlassian, HubSpot, and Zoom are frequently cited as successful PLG practitioners. The critical enabler of PLG is a product that minimizes time-to-value (TTV)—the elapsed time from initial user interaction to the first meaningful outcome—a metric fundamentally determined by interface design quality.</w:t>
      </w:r>
    </w:p>
    <w:p>
      <w:pPr>
        <w:spacing w:before="80" w:after="0"/>
      </w:pPr>
      <w:r>
        <w:t xml:space="preserve"/>
      </w:r>
    </w:p>
    <w:p>
      <w:pPr>
        <w:spacing w:before="80" w:after="120" w:line="320"/>
        <w:jc w:val="both"/>
      </w:pPr>
      <w:r>
        <w:rPr>
          <w:rFonts w:ascii="Arial" w:cs="Arial" w:eastAsia="Arial" w:hAnsi="Arial"/>
          <w:color w:val="000000"/>
          <w:sz w:val="22"/>
          <w:szCs w:val="22"/>
        </w:rPr>
        <w:t xml:space="preserve">Research at the intersection of B2C behavioral design and B2B SaaS strategy has identified a growing "B2C bias in the B2B world"—a recognition that the design principles governing high-engagement consumer products (progressive disclosure, immediate feedback loops, gamification, and personalization) are increasingly being imported into enterprise software architectures. This study empirically tests whether this design philosophy yields measurable behavioral and financial benefits in B2B contexts.</w:t>
      </w:r>
    </w:p>
    <w:p>
      <w:pPr>
        <w:pStyle w:val="Heading2"/>
        <w:spacing w:before="240" w:after="100"/>
      </w:pPr>
      <w:r>
        <w:rPr>
          <w:rFonts w:ascii="Arial" w:cs="Arial" w:eastAsia="Arial" w:hAnsi="Arial"/>
          <w:b/>
          <w:bCs/>
          <w:color w:val="2E5FA3"/>
          <w:sz w:val="28"/>
          <w:szCs w:val="28"/>
        </w:rPr>
        <w:t xml:space="preserve">2.4 Usability Measurement and Feature Adoption</w:t>
      </w:r>
    </w:p>
    <w:p>
      <w:pPr>
        <w:spacing w:before="80" w:after="120" w:line="320"/>
        <w:jc w:val="both"/>
      </w:pPr>
      <w:r>
        <w:rPr>
          <w:rFonts w:ascii="Arial" w:cs="Arial" w:eastAsia="Arial" w:hAnsi="Arial"/>
          <w:color w:val="000000"/>
          <w:sz w:val="22"/>
          <w:szCs w:val="22"/>
        </w:rPr>
        <w:t xml:space="preserve">The academic literature on usability measurement in enterprise contexts draws heavily on Nielsen's heuristic evaluation framework, the System Usability Scale (SUS), and task-based metrics such as Time-on-Task and error rates. These measures have been validated extensively in HCI research as reliable proxies for the quality of user-system interaction. Feature adoption—defined as the successful integration of a product capability into a user's regular behavioral workflow—is the primary downstream behavioral outcome of effective usability. Low-friction, cognitively accessible interfaces lower the psychological barrier to feature discovery and utilization.</w:t>
      </w:r>
    </w:p>
    <w:p>
      <w:pPr>
        <w:spacing w:before="80" w:after="0"/>
      </w:pPr>
      <w:r>
        <w:t xml:space="preserve"/>
      </w:r>
    </w:p>
    <w:p>
      <w:pPr>
        <w:spacing w:before="80" w:after="120" w:line="320"/>
        <w:jc w:val="both"/>
      </w:pPr>
      <w:r>
        <w:rPr>
          <w:rFonts w:ascii="Arial" w:cs="Arial" w:eastAsia="Arial" w:hAnsi="Arial"/>
          <w:color w:val="000000"/>
          <w:sz w:val="22"/>
          <w:szCs w:val="22"/>
        </w:rPr>
        <w:t xml:space="preserve">Existing research on SaaS customer success metrics has established that feature adoption depth is a leading predictor of account health. Customers who actively engage with core product features demonstrate higher perceived value, which in turn drives contract renewal rates and Net Revenue Retention (NRR). However, the quantitative linkage between specific, measurable usability metrics and feature adoption rates—and the subsequent business impact—has not been rigorously modeled in the academic literature. This study provides that empirical connection through a multi-stage analytical framework.</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3. Theoretical Framework</w:t>
      </w:r>
    </w:p>
    <w:p>
      <w:pPr>
        <w:spacing w:before="80" w:after="120" w:line="320"/>
        <w:jc w:val="both"/>
      </w:pPr>
      <w:r>
        <w:rPr>
          <w:rFonts w:ascii="Arial" w:cs="Arial" w:eastAsia="Arial" w:hAnsi="Arial"/>
          <w:color w:val="000000"/>
          <w:sz w:val="22"/>
          <w:szCs w:val="22"/>
        </w:rPr>
        <w:t xml:space="preserve">This research is grounded in and informed by several established theoretical frameworks from the fields of Information Systems, Human-Computer Interaction, and strategic management. These frameworks provide the conceptual scaffolding for the causal model tested in this study and contextualize the empirical findings within established academic traditions.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Framework</w:t>
            </w:r>
          </w:p>
        </w:tc>
        <w:tc>
          <w:tcPr>
            <w:tcW w:type="dxa" w:w="29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Proposition</w:t>
            </w:r>
          </w:p>
        </w:tc>
        <w:tc>
          <w:tcPr>
            <w:tcW w:type="dxa" w:w="4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Application in This Study</w:t>
            </w:r>
          </w:p>
        </w:tc>
      </w:tr>
      <w:tr>
        <w:tc>
          <w:tcPr>
            <w:tcW w:type="dxa" w:w="24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Technology Acceptance Model (TAM)
(Davis, 1989)</w:t>
            </w:r>
          </w:p>
        </w:tc>
        <w:tc>
          <w:tcPr>
            <w:tcW w:type="dxa" w:w="29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Perceived Usefulness and Perceived Ease of Use determine behavioral intention to use a technology.</w:t>
            </w:r>
          </w:p>
        </w:tc>
        <w:tc>
          <w:tcPr>
            <w:tcW w:type="dxa" w:w="4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Engagement Score operationalizes Perceived Ease of Use; Feature_Used operationalizes Behavioral Intention. TAM predicts that higher ease-of-use → higher adoption intention.</w:t>
            </w:r>
          </w:p>
        </w:tc>
      </w:tr>
      <w:tr>
        <w:tc>
          <w:tcPr>
            <w:tcW w:type="dxa" w:w="24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Theory of Reasoned Action (TRA)
(Fishbein &amp; Ajzen, 1975)</w:t>
            </w:r>
          </w:p>
        </w:tc>
        <w:tc>
          <w:tcPr>
            <w:tcW w:type="dxa" w:w="29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Behavioral intention is determined by attitudes toward the behavior and subjective norms.</w:t>
            </w:r>
          </w:p>
        </w:tc>
        <w:tc>
          <w:tcPr>
            <w:tcW w:type="dxa" w:w="4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 quality shapes user attitude toward the product; organizational norms (mandate vs. voluntary use) moderate adoption outcomes in enterprise contexts.</w:t>
            </w:r>
          </w:p>
        </w:tc>
      </w:tr>
      <w:tr>
        <w:tc>
          <w:tcPr>
            <w:tcW w:type="dxa" w:w="24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Product-Led Growth (PLG)
(OpenView, 2017)</w:t>
            </w:r>
          </w:p>
        </w:tc>
        <w:tc>
          <w:tcPr>
            <w:tcW w:type="dxa" w:w="29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product itself—its usability, virality, and immediate time-to-value—is the primary engine for acquisition, expansion, and retention.</w:t>
            </w:r>
          </w:p>
        </w:tc>
        <w:tc>
          <w:tcPr>
            <w:tcW w:type="dxa" w:w="4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causal chain modeled in this paper (UX → Adoption → NRR) is the empirical operationalization of the PLG growth loop within a B2B SaaS context.</w:t>
            </w:r>
          </w:p>
        </w:tc>
      </w:tr>
      <w:tr>
        <w:tc>
          <w:tcPr>
            <w:tcW w:type="dxa" w:w="24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Cognitive Load Theory
(Sweller, 1988)</w:t>
            </w:r>
          </w:p>
        </w:tc>
        <w:tc>
          <w:tcPr>
            <w:tcW w:type="dxa" w:w="29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Human working memory is limited; interface complexity consumes cognitive resources and impairs task performance.</w:t>
            </w:r>
          </w:p>
        </w:tc>
        <w:tc>
          <w:tcPr>
            <w:tcW w:type="dxa" w:w="4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Time-on-Task in the A/B experiment is a direct measurement of extraneous cognitive load. Intuitive design reduces load, improving task efficiency by 15.4%.</w:t>
            </w:r>
          </w:p>
        </w:tc>
      </w:tr>
      <w:tr>
        <w:tc>
          <w:tcPr>
            <w:tcW w:type="dxa" w:w="24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Consumerization of IT
(Harris et al., 2012)</w:t>
            </w:r>
          </w:p>
        </w:tc>
        <w:tc>
          <w:tcPr>
            <w:tcW w:type="dxa" w:w="29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 users project consumer UX expectations onto professional software, creating rising dissatisfaction with legacy B2B interfaces.</w:t>
            </w:r>
          </w:p>
        </w:tc>
        <w:tc>
          <w:tcPr>
            <w:tcW w:type="dxa" w:w="4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RQ1 empirically validates this theory by measuring and quantifying the satisfaction gap using the ACSI consumer benchmark as the reference standard.</w:t>
            </w:r>
          </w:p>
        </w:tc>
      </w:tr>
    </w:tbl>
    <w:p>
      <w:pPr>
        <w:spacing w:before="160" w:after="0"/>
      </w:pPr>
      <w:r>
        <w:t xml:space="preserve"/>
      </w:r>
    </w:p>
    <w:p>
      <w:pPr>
        <w:spacing w:before="80" w:after="120" w:line="320"/>
        <w:jc w:val="both"/>
      </w:pPr>
      <w:r>
        <w:rPr>
          <w:rFonts w:ascii="Arial" w:cs="Arial" w:eastAsia="Arial" w:hAnsi="Arial"/>
          <w:color w:val="000000"/>
          <w:sz w:val="22"/>
          <w:szCs w:val="22"/>
        </w:rPr>
        <w:t xml:space="preserve">The overarching causal model proposed in this study synthesizes these frameworks into a sequential behavioral chain: UX Quality → Perceived Ease of Use → Behavioral Intention (Adoption) → Actual Use → Business Outcome (NRR/Churn). This model extends TAM by operationalizing each node with measurable empirical variables and connecting the behavioral outcomes to macro-financial metrics, a linkage that TAM itself does not explicitly address.</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4. Problem Definition</w:t>
      </w:r>
    </w:p>
    <w:p>
      <w:pPr>
        <w:spacing w:before="80" w:after="120" w:line="320"/>
        <w:jc w:val="both"/>
      </w:pPr>
      <w:r>
        <w:rPr>
          <w:rFonts w:ascii="Arial" w:cs="Arial" w:eastAsia="Arial" w:hAnsi="Arial"/>
          <w:color w:val="000000"/>
          <w:sz w:val="22"/>
          <w:szCs w:val="22"/>
        </w:rPr>
        <w:t xml:space="preserve">The fundamental problem addressed by this research originates from the historical disconnect between the development priorities of B2B SaaS vendors and the evolving psychological and operational needs of their end-users. This systemic misalignment has manifested in several acute operational challenges, which can be stratified into three distinct, measurable gaps:</w:t>
      </w:r>
    </w:p>
    <w:p>
      <w:pPr>
        <w:spacing w:before="80" w:after="0"/>
      </w:pPr>
      <w:r>
        <w:t xml:space="preserve"/>
      </w:r>
    </w:p>
    <w:p>
      <w:pPr>
        <w:pStyle w:val="Heading2"/>
        <w:spacing w:before="240" w:after="100"/>
      </w:pPr>
      <w:r>
        <w:rPr>
          <w:rFonts w:ascii="Arial" w:cs="Arial" w:eastAsia="Arial" w:hAnsi="Arial"/>
          <w:b/>
          <w:bCs/>
          <w:color w:val="2E5FA3"/>
          <w:sz w:val="28"/>
          <w:szCs w:val="28"/>
        </w:rPr>
        <w:t xml:space="preserve">4.1 The Expectation Gap</w:t>
      </w:r>
    </w:p>
    <w:p>
      <w:pPr>
        <w:spacing w:before="80" w:after="120" w:line="320"/>
        <w:jc w:val="both"/>
      </w:pPr>
      <w:r>
        <w:rPr>
          <w:rFonts w:ascii="Arial" w:cs="Arial" w:eastAsia="Arial" w:hAnsi="Arial"/>
          <w:color w:val="000000"/>
          <w:sz w:val="22"/>
          <w:szCs w:val="22"/>
        </w:rPr>
        <w:t xml:space="preserve">There exists a substantial and growing disparity between the seamless experiences users have with consumer technologies and the comparatively jarring, complex realities of current B2B SaaS platforms. As employees routinely use consumer applications refined to extraordinary levels of usability, their internal benchmark for "acceptable" interface quality rises continuously. When they then interact with legacy enterprise systems—characterized by dense information architectures, complex multi-step workflows, and minimal progressive disclosure—the cognitive dissonance generates acute dissatisfaction. Quantifying the precise magnitude of this gap is essential to understanding the urgency of the UX imperative in B2B environments and to building an evidence-based case for executive investment in UX modernization.</w:t>
      </w:r>
    </w:p>
    <w:p>
      <w:pPr>
        <w:pStyle w:val="Heading2"/>
        <w:spacing w:before="240" w:after="100"/>
      </w:pPr>
      <w:r>
        <w:rPr>
          <w:rFonts w:ascii="Arial" w:cs="Arial" w:eastAsia="Arial" w:hAnsi="Arial"/>
          <w:b/>
          <w:bCs/>
          <w:color w:val="2E5FA3"/>
          <w:sz w:val="28"/>
          <w:szCs w:val="28"/>
        </w:rPr>
        <w:t xml:space="preserve">4.2 The Adoption Gap</w:t>
      </w:r>
    </w:p>
    <w:p>
      <w:pPr>
        <w:spacing w:before="80" w:after="120" w:line="320"/>
        <w:jc w:val="both"/>
      </w:pPr>
      <w:r>
        <w:rPr>
          <w:rFonts w:ascii="Arial" w:cs="Arial" w:eastAsia="Arial" w:hAnsi="Arial"/>
          <w:color w:val="000000"/>
          <w:sz w:val="22"/>
          <w:szCs w:val="22"/>
        </w:rPr>
        <w:t xml:space="preserve">A critical and commercially devastating disconnect exists between the availability of a feature and its actual utilization. In B2B SaaS environments, this manifests as the "shelfware" phenomenon—organizations purchase expensive, feature-rich software licenses but experience abysmal internal adoption rates. Enterprise software frequently encompasses dozens or hundreds of capabilities, many of which remain permanently undiscovered by the majority of the user base. This adoption gap is not a function of user capability; it is a function of interface design. Complex, unintuitive workflows impose friction costs that prevent users from exploring, learning, and integrating new features into their behavioral routines. The study seeks to mathematically model the relationship between usability (measured via engagement scores and time-to-completion efficiency) and feature adoption rates, establishing the precise cost of friction on user onboarding velocity.</w:t>
      </w:r>
    </w:p>
    <w:p>
      <w:pPr>
        <w:pStyle w:val="Heading2"/>
        <w:spacing w:before="240" w:after="100"/>
      </w:pPr>
      <w:r>
        <w:rPr>
          <w:rFonts w:ascii="Arial" w:cs="Arial" w:eastAsia="Arial" w:hAnsi="Arial"/>
          <w:b/>
          <w:bCs/>
          <w:color w:val="2E5FA3"/>
          <w:sz w:val="28"/>
          <w:szCs w:val="28"/>
        </w:rPr>
        <w:t xml:space="preserve">4.3 The Value Gap</w:t>
      </w:r>
    </w:p>
    <w:p>
      <w:pPr>
        <w:spacing w:before="80" w:after="120" w:line="320"/>
        <w:jc w:val="both"/>
      </w:pPr>
      <w:r>
        <w:rPr>
          <w:rFonts w:ascii="Arial" w:cs="Arial" w:eastAsia="Arial" w:hAnsi="Arial"/>
          <w:color w:val="000000"/>
          <w:sz w:val="22"/>
          <w:szCs w:val="22"/>
        </w:rPr>
        <w:t xml:space="preserve">The ultimate expression of the problem is the value gap—the relationship between product engagement and financial stability. In a subscription-based SaaS business model, the entire commercial apparatus is built on the premise of continuous renewal. Customer retention (the inverse of churn) is the foundational driver of all financial projections. If users fail to integrate the platform deeply into their operational workflows—a direct consequence of poor usability suppressing adoption—the perceived value of the subscription diminishes over time, making churn at renewal an increasingly probable outcome. This study interrogates whether demonstrated feature adoption demonstrably extends customer lifespans and correlates with regional revenue performance, thereby completing the causal chain from micro-level UX design decisions to board-level financial outcomes.</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5. Research Questions and Hypotheses</w:t>
      </w:r>
    </w:p>
    <w:p>
      <w:pPr>
        <w:spacing w:before="80" w:after="120" w:line="320"/>
        <w:jc w:val="both"/>
      </w:pPr>
      <w:r>
        <w:rPr>
          <w:rFonts w:ascii="Arial" w:cs="Arial" w:eastAsia="Arial" w:hAnsi="Arial"/>
          <w:color w:val="000000"/>
          <w:sz w:val="22"/>
          <w:szCs w:val="22"/>
        </w:rPr>
        <w:t xml:space="preserve">This study is organized around three interconnected research questions, each designed to illuminate a specific causal link in the UX → Adoption → Business Outcome chain: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60"/>
        <w:gridCol w:w="2960"/>
        <w:gridCol w:w="1840"/>
      </w:tblGrid>
      <w:tr>
        <w:tc>
          <w:tcPr>
            <w:tcW w:type="dxa" w:w="16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RQ</w:t>
            </w:r>
          </w:p>
        </w:tc>
        <w:tc>
          <w:tcPr>
            <w:tcW w:type="dxa" w:w="29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Research Question</w:t>
            </w:r>
          </w:p>
        </w:tc>
        <w:tc>
          <w:tcPr>
            <w:tcW w:type="dxa" w:w="29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Methodology</w:t>
            </w:r>
          </w:p>
        </w:tc>
        <w:tc>
          <w:tcPr>
            <w:tcW w:type="dxa" w:w="184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Metric</w:t>
            </w:r>
          </w:p>
        </w:tc>
      </w:tr>
      <w:tr>
        <w:tc>
          <w:tcPr>
            <w:tcW w:type="dxa" w:w="16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RQ1</w:t>
            </w:r>
          </w:p>
        </w:tc>
        <w:tc>
          <w:tcPr>
            <w:tcW w:type="dxa" w:w="29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 what extent does the consumerization of IT create a measurable UX quality deficit in modern B2B SaaS platforms compared to consumer software standards?</w:t>
            </w:r>
          </w:p>
        </w:tc>
        <w:tc>
          <w:tcPr>
            <w:tcW w:type="dxa" w:w="29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KDE Analysis, Mann-Whitney U Test, Logistic Regression Classifier</w:t>
            </w:r>
          </w:p>
        </w:tc>
        <w:tc>
          <w:tcPr>
            <w:tcW w:type="dxa" w:w="184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Cohen's d Effect Size, ROC-AUC Score</w:t>
            </w:r>
          </w:p>
        </w:tc>
      </w:tr>
      <w:tr>
        <w:tc>
          <w:tcPr>
            <w:tcW w:type="dxa" w:w="16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RQ2</w:t>
            </w:r>
          </w:p>
        </w:tc>
        <w:tc>
          <w:tcPr>
            <w:tcW w:type="dxa" w:w="29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How does improved UX (measured by usability heuristics and engagement scores) correlate with feature adoption rates in B2B software?</w:t>
            </w:r>
          </w:p>
        </w:tc>
        <w:tc>
          <w:tcPr>
            <w:tcW w:type="dxa" w:w="29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 Testing (Welch's T-Test), Logistic Regression (Odds Ratio)</w:t>
            </w:r>
          </w:p>
        </w:tc>
        <w:tc>
          <w:tcPr>
            <w:tcW w:type="dxa" w:w="184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Efficiency Gain %, Odds Ratio (OR)</w:t>
            </w:r>
          </w:p>
        </w:tc>
      </w:tr>
      <w:tr>
        <w:tc>
          <w:tcPr>
            <w:tcW w:type="dxa" w:w="16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RQ3</w:t>
            </w:r>
          </w:p>
        </w:tc>
        <w:tc>
          <w:tcPr>
            <w:tcW w:type="dxa" w:w="29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is the relationship between feature adoption rates and key business metrics such as churn and Net Revenue Retention (NRR)?</w:t>
            </w:r>
          </w:p>
        </w:tc>
        <w:tc>
          <w:tcPr>
            <w:tcW w:type="dxa" w:w="29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Kaplan-Meier Survival Analysis, Cox Proportional Hazards Model, Multivariate Regression</w:t>
            </w:r>
          </w:p>
        </w:tc>
        <w:tc>
          <w:tcPr>
            <w:tcW w:type="dxa" w:w="184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Hazard Ratio (HR), C-Index, Regional Profit Correlation</w:t>
            </w:r>
          </w:p>
        </w:tc>
      </w:tr>
    </w:tbl>
    <w:p>
      <w:pPr>
        <w:spacing w:before="120" w:after="0"/>
      </w:pPr>
      <w:r>
        <w:t xml:space="preserve"/>
      </w:r>
    </w:p>
    <w:p>
      <w:pPr>
        <w:spacing w:before="80" w:after="120" w:line="320"/>
        <w:jc w:val="both"/>
      </w:pPr>
      <w:r>
        <w:rPr>
          <w:rFonts w:ascii="Arial" w:cs="Arial" w:eastAsia="Arial" w:hAnsi="Arial"/>
          <w:color w:val="000000"/>
          <w:sz w:val="22"/>
          <w:szCs w:val="22"/>
        </w:rPr>
        <w:t xml:space="preserve">The corresponding formal hypotheses tested in this study are:</w:t>
      </w:r>
    </w:p>
    <w:p>
      <w:pPr>
        <w:spacing w:before="80" w:after="0"/>
      </w:pPr>
      <w:r>
        <w:t xml:space="preserve"/>
      </w:r>
    </w:p>
    <w:p>
      <w:pPr>
        <w:pBdr>
          <w:left w:val="single" w:color="2E5FA3" w:sz="18" w:space="8"/>
        </w:pBdr>
        <w:spacing w:before="160" w:after="0"/>
        <w:ind w:left="200"/>
      </w:pPr>
      <w:r>
        <w:rPr>
          <w:rFonts w:ascii="Arial" w:cs="Arial" w:eastAsia="Arial" w:hAnsi="Arial"/>
          <w:b/>
          <w:bCs/>
          <w:color w:val="1B3A6B"/>
          <w:sz w:val="22"/>
          <w:szCs w:val="22"/>
        </w:rPr>
        <w:t xml:space="preserve">H₁ (RQ1 — Expectation Gap Hypothesis)</w:t>
      </w:r>
    </w:p>
    <w:p>
      <w:pPr>
        <w:pBdr>
          <w:left w:val="single" w:color="2E5FA3" w:sz="18" w:space="8"/>
        </w:pBdr>
        <w:shd w:fill="D6E4F7" w:val="clear"/>
        <w:spacing w:before="0" w:after="160"/>
        <w:ind w:left="200"/>
      </w:pPr>
      <w:r>
        <w:rPr>
          <w:rFonts w:ascii="Arial" w:cs="Arial" w:eastAsia="Arial" w:hAnsi="Arial"/>
          <w:color w:val="4A4A4A"/>
          <w:sz w:val="21"/>
          <w:szCs w:val="21"/>
        </w:rPr>
        <w:t xml:space="preserve">Modern B2B SaaS platforms exhibit a statistically significant and economically meaningful deficit in user satisfaction compared to consumer software standards, as evidenced by a measurable divergence in normalized satisfaction score distributions.</w:t>
      </w:r>
    </w:p>
    <w:p>
      <w:pPr>
        <w:pBdr>
          <w:left w:val="single" w:color="2E5FA3" w:sz="18" w:space="8"/>
        </w:pBdr>
        <w:spacing w:before="160" w:after="0"/>
        <w:ind w:left="200"/>
      </w:pPr>
      <w:r>
        <w:rPr>
          <w:rFonts w:ascii="Arial" w:cs="Arial" w:eastAsia="Arial" w:hAnsi="Arial"/>
          <w:b/>
          <w:bCs/>
          <w:color w:val="1B3A6B"/>
          <w:sz w:val="22"/>
          <w:szCs w:val="22"/>
        </w:rPr>
        <w:t xml:space="preserve">H₂ (RQ2 — Usability-Adoption Hypothesis)</w:t>
      </w:r>
    </w:p>
    <w:p>
      <w:pPr>
        <w:pBdr>
          <w:left w:val="single" w:color="2E5FA3" w:sz="18" w:space="8"/>
        </w:pBdr>
        <w:shd w:fill="D6E4F7" w:val="clear"/>
        <w:spacing w:before="0" w:after="160"/>
        <w:ind w:left="200"/>
      </w:pPr>
      <w:r>
        <w:rPr>
          <w:rFonts w:ascii="Arial" w:cs="Arial" w:eastAsia="Arial" w:hAnsi="Arial"/>
          <w:color w:val="4A4A4A"/>
          <w:sz w:val="21"/>
          <w:szCs w:val="21"/>
        </w:rPr>
        <w:t xml:space="preserve">Features designed with intuitive, low-friction interfaces (measured by lower Time-on-Task and higher Engagement Scores) exhibit significantly higher adoption rates compared to manual-heavy, high-friction workflows. The relationship is quantifiable via an Odds Ratio derived from logistic regression.</w:t>
      </w:r>
    </w:p>
    <w:p>
      <w:pPr>
        <w:pBdr>
          <w:left w:val="single" w:color="2E5FA3" w:sz="18" w:space="8"/>
        </w:pBdr>
        <w:spacing w:before="160" w:after="0"/>
        <w:ind w:left="200"/>
      </w:pPr>
      <w:r>
        <w:rPr>
          <w:rFonts w:ascii="Arial" w:cs="Arial" w:eastAsia="Arial" w:hAnsi="Arial"/>
          <w:b/>
          <w:bCs/>
          <w:color w:val="1B3A6B"/>
          <w:sz w:val="22"/>
          <w:szCs w:val="22"/>
        </w:rPr>
        <w:t xml:space="preserve">H₃ (RQ3 — Business Impact Hypothesis)</w:t>
      </w:r>
    </w:p>
    <w:p>
      <w:pPr>
        <w:pBdr>
          <w:left w:val="single" w:color="2E5FA3" w:sz="18" w:space="8"/>
        </w:pBdr>
        <w:shd w:fill="D6E4F7" w:val="clear"/>
        <w:spacing w:before="0" w:after="160"/>
        <w:ind w:left="200"/>
      </w:pPr>
      <w:r>
        <w:rPr>
          <w:rFonts w:ascii="Arial" w:cs="Arial" w:eastAsia="Arial" w:hAnsi="Arial"/>
          <w:color w:val="4A4A4A"/>
          <w:sz w:val="21"/>
          <w:szCs w:val="21"/>
        </w:rPr>
        <w:t xml:space="preserve">Users with high feature adoption rates exhibit longer customer lifespans (lower churn hazard) and drive statistically significant regional revenue growth compared to non-adopter cohorts. The relationship is modeled via Cox Proportional Hazards and multivariate regression.</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6. Dataset Description</w:t>
      </w:r>
    </w:p>
    <w:p>
      <w:pPr>
        <w:spacing w:before="80" w:after="120" w:line="320"/>
        <w:jc w:val="both"/>
      </w:pPr>
      <w:r>
        <w:rPr>
          <w:rFonts w:ascii="Arial" w:cs="Arial" w:eastAsia="Arial" w:hAnsi="Arial"/>
          <w:color w:val="000000"/>
          <w:sz w:val="22"/>
          <w:szCs w:val="22"/>
        </w:rPr>
        <w:t xml:space="preserve">To comprehensively analyze the sequential impact of usability on business outcomes, this study aggregates and integrates four specialized datasets. The complexity of modeling a causal chain from UI interactions to financial revenue necessitates data covering user sentiment, controlled experimental usage, real-world product engagement telemetry, and macro-financial metrics. The datasets were selected to provide both depth in specific behavioral mechanics and breadth across different operational dimensions of the B2B SaaS ecosystem.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Dataset</w:t>
            </w:r>
          </w:p>
        </w:tc>
        <w:tc>
          <w:tcPr>
            <w:tcW w:type="dxa" w:w="2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File(s)</w:t>
            </w:r>
          </w:p>
        </w:tc>
        <w:tc>
          <w:tcPr>
            <w:tcW w:type="dxa" w:w="25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Research Question</w:t>
            </w:r>
          </w:p>
        </w:tc>
        <w:tc>
          <w:tcPr>
            <w:tcW w:type="dxa" w:w="2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Variables</w:t>
            </w:r>
          </w:p>
        </w:tc>
      </w:tr>
      <w:tr>
        <w:tc>
          <w:tcPr>
            <w:tcW w:type="dxa" w:w="1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B2B Satisfaction &amp; ACSI Benchmark</w:t>
            </w:r>
          </w:p>
        </w:tc>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system_ux_metrics_medium.csv
acsi_benchmark.csv</w:t>
            </w:r>
          </w:p>
        </w:tc>
        <w:tc>
          <w:tcPr>
            <w:tcW w:type="dxa" w:w="25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RQ1 — Expectation Gap</w:t>
            </w:r>
          </w:p>
        </w:tc>
        <w:tc>
          <w:tcPr>
            <w:tcW w:type="dxa" w:w="2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Post_Task_Confidence, SATIS, NPS, Ease-of-Use</w:t>
            </w:r>
          </w:p>
        </w:tc>
      </w:tr>
      <w:tr>
        <w:tc>
          <w:tcPr>
            <w:tcW w:type="dxa" w:w="1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UI A/B Experimental Data</w:t>
            </w:r>
          </w:p>
        </w:tc>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Dataset_UI_Manual_Group.csv
Dataset_UI_No_Manual_Group.csv</w:t>
            </w:r>
          </w:p>
        </w:tc>
        <w:tc>
          <w:tcPr>
            <w:tcW w:type="dxa" w:w="25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RQ2 — Usability Mechanics</w:t>
            </w:r>
          </w:p>
        </w:tc>
        <w:tc>
          <w:tcPr>
            <w:tcW w:type="dxa" w:w="2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Time_Seconds (Time-on-Task), Task_ID, Group</w:t>
            </w:r>
          </w:p>
        </w:tc>
      </w:tr>
      <w:tr>
        <w:tc>
          <w:tcPr>
            <w:tcW w:type="dxa" w:w="1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 Adoption &amp; Engagement Telemetry</w:t>
            </w:r>
          </w:p>
        </w:tc>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feature_adoption_medium.csv</w:t>
            </w:r>
          </w:p>
        </w:tc>
        <w:tc>
          <w:tcPr>
            <w:tcW w:type="dxa" w:w="25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RQ2 &amp; RQ3 — Adoption Bridge</w:t>
            </w:r>
          </w:p>
        </w:tc>
        <w:tc>
          <w:tcPr>
            <w:tcW w:type="dxa" w:w="2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Engagement_Score, Feature_Used, Days_Since_Launch, Region, Subscription_Status</w:t>
            </w:r>
          </w:p>
        </w:tc>
      </w:tr>
      <w:tr>
        <w:tc>
          <w:tcPr>
            <w:tcW w:type="dxa" w:w="1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SaaS Regional Sales &amp; Financial Data</w:t>
            </w:r>
          </w:p>
        </w:tc>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SaaS Sales.csv</w:t>
            </w:r>
          </w:p>
        </w:tc>
        <w:tc>
          <w:tcPr>
            <w:tcW w:type="dxa" w:w="25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RQ3 — Business Impact</w:t>
            </w:r>
          </w:p>
        </w:tc>
        <w:tc>
          <w:tcPr>
            <w:tcW w:type="dxa" w:w="2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Profit, Region (AMER/EMEA/APJ), Avg_Engagement, Adoption_Rate</w:t>
            </w:r>
          </w:p>
        </w:tc>
      </w:tr>
    </w:tbl>
    <w:p>
      <w:pPr>
        <w:spacing w:before="160" w:after="0"/>
      </w:pPr>
      <w:r>
        <w:t xml:space="preserve"/>
      </w:r>
    </w:p>
    <w:p>
      <w:pPr>
        <w:pStyle w:val="Heading2"/>
        <w:spacing w:before="240" w:after="100"/>
      </w:pPr>
      <w:r>
        <w:rPr>
          <w:rFonts w:ascii="Arial" w:cs="Arial" w:eastAsia="Arial" w:hAnsi="Arial"/>
          <w:b/>
          <w:bCs/>
          <w:color w:val="2E5FA3"/>
          <w:sz w:val="28"/>
          <w:szCs w:val="28"/>
        </w:rPr>
        <w:t xml:space="preserve">6.1 Data Integration Challenges</w:t>
      </w:r>
    </w:p>
    <w:p>
      <w:pPr>
        <w:spacing w:before="80" w:after="120" w:line="320"/>
        <w:jc w:val="both"/>
      </w:pPr>
      <w:r>
        <w:rPr>
          <w:rFonts w:ascii="Arial" w:cs="Arial" w:eastAsia="Arial" w:hAnsi="Arial"/>
          <w:color w:val="000000"/>
          <w:sz w:val="22"/>
          <w:szCs w:val="22"/>
        </w:rPr>
        <w:t xml:space="preserve">A primary methodological challenge in this empirical study is the integration of these disparate data silos. Product telemetry (usage and engagement data) and CRM/financial data (sales and revenue aggregates) exist in organizational environments without native primary keys linking them directly. This study addresses this challenge through a structured data engineering pipeline:</w:t>
      </w:r>
    </w:p>
    <w:p>
      <w:pPr>
        <w:spacing w:before="80" w:after="0"/>
      </w:pPr>
      <w:r>
        <w:t xml:space="preserve"/>
      </w:r>
    </w:p>
    <w:p>
      <w:pPr>
        <w:pStyle w:val="ListParagraph"/>
        <w:numPr>
          <w:ilvl w:val="0"/>
          <w:numId w:val="2"/>
        </w:numPr>
        <w:spacing w:before="60" w:after="60" w:line="300"/>
      </w:pPr>
      <w:r>
        <w:rPr>
          <w:rFonts w:ascii="Arial" w:cs="Arial" w:eastAsia="Arial" w:hAnsi="Arial"/>
          <w:color w:val="000000"/>
          <w:sz w:val="22"/>
          <w:szCs w:val="22"/>
        </w:rPr>
        <w:t xml:space="preserve">Scale incompatibility between the B2B satisfaction survey (1-10 Likert scale) and the ACSI benchmark (0-100 scale) required normalization before statistical comparison.</w:t>
      </w:r>
    </w:p>
    <w:p>
      <w:pPr>
        <w:pStyle w:val="ListParagraph"/>
        <w:numPr>
          <w:ilvl w:val="0"/>
          <w:numId w:val="2"/>
        </w:numPr>
        <w:spacing w:before="60" w:after="60" w:line="300"/>
      </w:pPr>
      <w:r>
        <w:rPr>
          <w:rFonts w:ascii="Arial" w:cs="Arial" w:eastAsia="Arial" w:hAnsi="Arial"/>
          <w:color w:val="000000"/>
          <w:sz w:val="22"/>
          <w:szCs w:val="22"/>
        </w:rPr>
        <w:t xml:space="preserve">Inconsistent regional nomenclature between the telemetry dataset (US, EU, ASIA) and the financial dataset (AMER, EMEA, APJ) required explicit dictionary-based mapping to create joinable keys.</w:t>
      </w:r>
    </w:p>
    <w:p>
      <w:pPr>
        <w:pStyle w:val="ListParagraph"/>
        <w:numPr>
          <w:ilvl w:val="0"/>
          <w:numId w:val="2"/>
        </w:numPr>
        <w:spacing w:before="60" w:after="60" w:line="300"/>
      </w:pPr>
      <w:r>
        <w:rPr>
          <w:rFonts w:ascii="Arial" w:cs="Arial" w:eastAsia="Arial" w:hAnsi="Arial"/>
          <w:color w:val="000000"/>
          <w:sz w:val="22"/>
          <w:szCs w:val="22"/>
        </w:rPr>
        <w:t xml:space="preserve">Absent or ambiguously coded churn indicators required dynamic logic to translate proxy variables (Subscription_Status, Retention_Day_30) into standardized binary event flags.</w:t>
      </w:r>
    </w:p>
    <w:p>
      <w:pPr>
        <w:pStyle w:val="ListParagraph"/>
        <w:numPr>
          <w:ilvl w:val="0"/>
          <w:numId w:val="2"/>
        </w:numPr>
        <w:spacing w:before="60" w:after="60" w:line="300"/>
      </w:pPr>
      <w:r>
        <w:rPr>
          <w:rFonts w:ascii="Arial" w:cs="Arial" w:eastAsia="Arial" w:hAnsi="Arial"/>
          <w:color w:val="000000"/>
          <w:sz w:val="22"/>
          <w:szCs w:val="22"/>
        </w:rPr>
        <w:t xml:space="preserve">Mixed data types in adoption and engagement fields required coercive type-casting and null-handling strategies to ensure statistical validity.</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7. Exploratory Data Analysis (EDA)</w:t>
      </w:r>
    </w:p>
    <w:p>
      <w:pPr>
        <w:spacing w:before="80" w:after="120" w:line="320"/>
        <w:jc w:val="both"/>
      </w:pPr>
      <w:r>
        <w:rPr>
          <w:rFonts w:ascii="Arial" w:cs="Arial" w:eastAsia="Arial" w:hAnsi="Arial"/>
          <w:color w:val="000000"/>
          <w:sz w:val="22"/>
          <w:szCs w:val="22"/>
        </w:rPr>
        <w:t xml:space="preserve">The Exploratory Data Analysis (EDA) phase served as the primary diagnostic instrument for uncovering underlying data patterns, validating initial distributional assumptions, and establishing the empirical basis for subsequent inferential modeling. The EDA was systematically applied across all three research questions, yielding critical preliminary insights that guided modeling decisions.</w:t>
      </w:r>
    </w:p>
    <w:p>
      <w:pPr>
        <w:pStyle w:val="Heading2"/>
        <w:spacing w:before="240" w:after="100"/>
      </w:pPr>
      <w:r>
        <w:rPr>
          <w:rFonts w:ascii="Arial" w:cs="Arial" w:eastAsia="Arial" w:hAnsi="Arial"/>
          <w:b/>
          <w:bCs/>
          <w:color w:val="2E5FA3"/>
          <w:sz w:val="28"/>
          <w:szCs w:val="28"/>
        </w:rPr>
        <w:t xml:space="preserve">7.1 EDA for RQ1: Visualizing the Expectation Gap</w:t>
      </w:r>
    </w:p>
    <w:p>
      <w:pPr>
        <w:spacing w:before="80" w:after="120" w:line="320"/>
        <w:jc w:val="both"/>
      </w:pPr>
      <w:r>
        <w:rPr>
          <w:rFonts w:ascii="Arial" w:cs="Arial" w:eastAsia="Arial" w:hAnsi="Arial"/>
          <w:color w:val="000000"/>
          <w:sz w:val="22"/>
          <w:szCs w:val="22"/>
        </w:rPr>
        <w:t xml:space="preserve">The primary objective of the RQ1 EDA was to visually and statistically contrast the distribution of satisfaction scores between the B2B SaaS cohort and the consumer benchmark (ACSI). Following score normalization to a shared 0-100 scale, a Kernel Density Estimation (KDE) plot was generated overlaying both distributions. The results revealed a stark distributional dichotomy:</w:t>
      </w:r>
    </w:p>
    <w:p>
      <w:pPr>
        <w:spacing w:before="80" w:after="0"/>
      </w:pPr>
      <w:r>
        <w:t xml:space="preserve"/>
      </w:r>
    </w:p>
    <w:p>
      <w:pPr>
        <w:pStyle w:val="ListParagraph"/>
        <w:numPr>
          <w:ilvl w:val="0"/>
          <w:numId w:val="2"/>
        </w:numPr>
        <w:spacing w:before="60" w:after="60" w:line="300"/>
      </w:pPr>
      <w:r>
        <w:rPr>
          <w:rFonts w:ascii="Arial" w:cs="Arial" w:eastAsia="Arial" w:hAnsi="Arial"/>
          <w:color w:val="000000"/>
          <w:sz w:val="22"/>
          <w:szCs w:val="22"/>
        </w:rPr>
        <w:t xml:space="preserve">The consumer benchmark distribution exhibited a tightly clustered, right-skewed shape centered around a mean of approximately 79.4 out of 100, indicative of consistent high-quality user experience delivery.</w:t>
      </w:r>
    </w:p>
    <w:p>
      <w:pPr>
        <w:pStyle w:val="ListParagraph"/>
        <w:numPr>
          <w:ilvl w:val="0"/>
          <w:numId w:val="2"/>
        </w:numPr>
        <w:spacing w:before="60" w:after="60" w:line="300"/>
      </w:pPr>
      <w:r>
        <w:rPr>
          <w:rFonts w:ascii="Arial" w:cs="Arial" w:eastAsia="Arial" w:hAnsi="Arial"/>
          <w:color w:val="000000"/>
          <w:sz w:val="22"/>
          <w:szCs w:val="22"/>
        </w:rPr>
        <w:t xml:space="preserve">The B2B satisfaction distribution displayed a markedly broader, flatter distribution with a significantly lower central tendency—mean of 61.2—and a pronounced leftward shift, indicating both lower average satisfaction and substantially higher variance in user experience quality.</w:t>
      </w:r>
    </w:p>
    <w:p>
      <w:pPr>
        <w:pStyle w:val="ListParagraph"/>
        <w:numPr>
          <w:ilvl w:val="0"/>
          <w:numId w:val="2"/>
        </w:numPr>
        <w:spacing w:before="60" w:after="60" w:line="300"/>
      </w:pPr>
      <w:r>
        <w:rPr>
          <w:rFonts w:ascii="Arial" w:cs="Arial" w:eastAsia="Arial" w:hAnsi="Arial"/>
          <w:color w:val="000000"/>
          <w:sz w:val="22"/>
          <w:szCs w:val="22"/>
        </w:rPr>
        <w:t xml:space="preserve">A Cumulative Distribution Function (CDF) analysis further illustrated the performance lag: the B2B cumulative probability curve rises earlier on the score axis, meaning a materially larger proportion of B2B users report satisfaction levels that fall below the average consumer standard.</w:t>
      </w:r>
    </w:p>
    <w:p>
      <w:pPr>
        <w:spacing w:before="80" w:after="0"/>
      </w:pPr>
      <w:r>
        <w:t xml:space="preserve"/>
      </w:r>
    </w:p>
    <w:p>
      <w:pPr>
        <w:spacing w:before="80" w:after="120" w:line="320"/>
        <w:jc w:val="both"/>
      </w:pPr>
      <w:r>
        <w:rPr>
          <w:rFonts w:ascii="Arial" w:cs="Arial" w:eastAsia="Arial" w:hAnsi="Arial"/>
          <w:color w:val="000000"/>
          <w:sz w:val="22"/>
          <w:szCs w:val="22"/>
        </w:rPr>
        <w:t xml:space="preserve">This distributional analysis confirmed the foundational hypothesis: modern professionals experience a mathematically distinct, inferior level of satisfaction when interacting with enterprise tools compared to their personal software—a gap that is both practically significant and statistically testable.</w:t>
      </w:r>
    </w:p>
    <w:p>
      <w:pPr>
        <w:pStyle w:val="Heading2"/>
        <w:spacing w:before="240" w:after="100"/>
      </w:pPr>
      <w:r>
        <w:rPr>
          <w:rFonts w:ascii="Arial" w:cs="Arial" w:eastAsia="Arial" w:hAnsi="Arial"/>
          <w:b/>
          <w:bCs/>
          <w:color w:val="2E5FA3"/>
          <w:sz w:val="28"/>
          <w:szCs w:val="28"/>
        </w:rPr>
        <w:t xml:space="preserve">7.2 EDA for RQ2: Visualizing Adoption Drivers</w:t>
      </w:r>
    </w:p>
    <w:p>
      <w:pPr>
        <w:spacing w:before="80" w:after="120" w:line="320"/>
        <w:jc w:val="both"/>
      </w:pPr>
      <w:r>
        <w:rPr>
          <w:rFonts w:ascii="Arial" w:cs="Arial" w:eastAsia="Arial" w:hAnsi="Arial"/>
          <w:color w:val="000000"/>
          <w:sz w:val="22"/>
          <w:szCs w:val="22"/>
        </w:rPr>
        <w:t xml:space="preserve">The RQ2 EDA focused on the experimental A/B testing data, specifically examining Time-on-Task distributions across the Manual (high-friction) and Intuitive (low-friction) UI cohorts. Violin plots were selected as the primary visualization tool because they communicate both the central tendency and the distributional density of the data simultaneously.</w:t>
      </w:r>
    </w:p>
    <w:p>
      <w:pPr>
        <w:spacing w:before="80" w:after="0"/>
      </w:pPr>
      <w:r>
        <w:t xml:space="preserve"/>
      </w:r>
    </w:p>
    <w:p>
      <w:pPr>
        <w:pStyle w:val="ListParagraph"/>
        <w:numPr>
          <w:ilvl w:val="0"/>
          <w:numId w:val="2"/>
        </w:numPr>
        <w:spacing w:before="60" w:after="60" w:line="300"/>
      </w:pPr>
      <w:r>
        <w:rPr>
          <w:rFonts w:ascii="Arial" w:cs="Arial" w:eastAsia="Arial" w:hAnsi="Arial"/>
          <w:color w:val="000000"/>
          <w:sz w:val="22"/>
          <w:szCs w:val="22"/>
        </w:rPr>
        <w:t xml:space="preserve">The Manual Group violin exhibited a wide, elongated shape with a long upper tail, indicating high variance in task completion times and the frequent occurrence of extreme delays—the signature of interface designs that create unpredictable, erratic user behavior.</w:t>
      </w:r>
    </w:p>
    <w:p>
      <w:pPr>
        <w:pStyle w:val="ListParagraph"/>
        <w:numPr>
          <w:ilvl w:val="0"/>
          <w:numId w:val="2"/>
        </w:numPr>
        <w:spacing w:before="60" w:after="60" w:line="300"/>
      </w:pPr>
      <w:r>
        <w:rPr>
          <w:rFonts w:ascii="Arial" w:cs="Arial" w:eastAsia="Arial" w:hAnsi="Arial"/>
          <w:color w:val="000000"/>
          <w:sz w:val="22"/>
          <w:szCs w:val="22"/>
        </w:rPr>
        <w:t xml:space="preserve">The Intuitive Group violin was notably more compact and symmetric, concentrated around a lower median, demonstrating that simplified, automated UI designs generate consistent, predictable performance.</w:t>
      </w:r>
    </w:p>
    <w:p>
      <w:pPr>
        <w:pStyle w:val="ListParagraph"/>
        <w:numPr>
          <w:ilvl w:val="0"/>
          <w:numId w:val="2"/>
        </w:numPr>
        <w:spacing w:before="60" w:after="60" w:line="300"/>
      </w:pPr>
      <w:r>
        <w:rPr>
          <w:rFonts w:ascii="Arial" w:cs="Arial" w:eastAsia="Arial" w:hAnsi="Arial"/>
          <w:color w:val="000000"/>
          <w:sz w:val="22"/>
          <w:szCs w:val="22"/>
        </w:rPr>
        <w:t xml:space="preserve">Box-and-whisker plots comparing Engagement Score distributions across binary Adoption Status (Adopted vs. Not Adopted) revealed a pronounced upward shift in the median engagement score for users who successfully adopted features, establishing a strong a priori correlation before formal regression testing.</w:t>
      </w:r>
    </w:p>
    <w:p>
      <w:pPr>
        <w:pStyle w:val="Heading2"/>
        <w:spacing w:before="240" w:after="100"/>
      </w:pPr>
      <w:r>
        <w:rPr>
          <w:rFonts w:ascii="Arial" w:cs="Arial" w:eastAsia="Arial" w:hAnsi="Arial"/>
          <w:b/>
          <w:bCs/>
          <w:color w:val="2E5FA3"/>
          <w:sz w:val="28"/>
          <w:szCs w:val="28"/>
        </w:rPr>
        <w:t xml:space="preserve">7.3 EDA for RQ3: Regional and Survival Patterns</w:t>
      </w:r>
    </w:p>
    <w:p>
      <w:pPr>
        <w:spacing w:before="80" w:after="120" w:line="320"/>
        <w:jc w:val="both"/>
      </w:pPr>
      <w:r>
        <w:rPr>
          <w:rFonts w:ascii="Arial" w:cs="Arial" w:eastAsia="Arial" w:hAnsi="Arial"/>
          <w:color w:val="000000"/>
          <w:sz w:val="22"/>
          <w:szCs w:val="22"/>
        </w:rPr>
        <w:t xml:space="preserve">The RQ3 EDA examined the merged usage and financial datasets at the regional level. Initial scatter plots of Average Engagement Score against Regional Adoption Rate revealed a positive linear trend with distinct regional clustering—notably, the EMEA region consistently occupied the high-engagement, high-adoption quadrant. Plotting Adoption Rate against financial Profit margins indicated a positive covariance relationship, justifying the requirement for more sophisticated multivariate modeling. Histogram analysis of Tenure Days variables revealed a right-skewed distribution typical of SaaS customer survival patterns, where churn risk peaks in the early onboarding phase and tapers off for long-retained users. This distributional characteristic validated the theoretical appropriateness of Kaplan-Meier and Cox Proportional Hazards methods over simpler linear regression approaches.</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8. Feature Engineering and Data Preparation</w:t>
      </w:r>
    </w:p>
    <w:p>
      <w:pPr>
        <w:spacing w:before="80" w:after="120" w:line="320"/>
        <w:jc w:val="both"/>
      </w:pPr>
      <w:r>
        <w:rPr>
          <w:rFonts w:ascii="Arial" w:cs="Arial" w:eastAsia="Arial" w:hAnsi="Arial"/>
          <w:color w:val="000000"/>
          <w:sz w:val="22"/>
          <w:szCs w:val="22"/>
        </w:rPr>
        <w:t xml:space="preserve">The integrity of quantitative modeling relies inherently on the structural soundness of the underlying data architecture. Given the heterogeneous nature of the datasets aggregated in this study—spanning subjective Likert-scale surveys, objective timestamped telemetry, and regional financial aggregates—an extensive feature engineering pipeline was required to synthesize a unified, model-ready data structure. The following table summarizes the core engineering transformations applied: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600"/>
        <w:gridCol w:w="2400"/>
      </w:tblGrid>
      <w:tr>
        <w:tc>
          <w:tcPr>
            <w:tcW w:type="dxa" w:w="2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Engineering Step</w:t>
            </w:r>
          </w:p>
        </w:tc>
        <w:tc>
          <w:tcPr>
            <w:tcW w:type="dxa" w:w="23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 Variable(s)</w:t>
            </w:r>
          </w:p>
        </w:tc>
        <w:tc>
          <w:tcPr>
            <w:tcW w:type="dxa" w:w="26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Transformation Applied</w:t>
            </w:r>
          </w:p>
        </w:tc>
        <w:tc>
          <w:tcPr>
            <w:tcW w:type="dxa" w:w="2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 Variable / Purpose</w:t>
            </w:r>
          </w:p>
        </w:tc>
      </w:tr>
      <w:tr>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Scale Normalization</w:t>
            </w:r>
          </w:p>
        </w:tc>
        <w:tc>
          <w:tcPr>
            <w:tcW w:type="dxa" w:w="23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Post_Task_Confidence (1–10 Likert)</w:t>
            </w:r>
          </w:p>
        </w:tc>
        <w:tc>
          <w:tcPr>
            <w:tcW w:type="dxa" w:w="26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Min-Max scaling: (x − min) / (max − min) × 100</w:t>
            </w:r>
          </w:p>
        </w:tc>
        <w:tc>
          <w:tcPr>
            <w:tcW w:type="dxa" w:w="24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Normalized_Score (0–100) — enables ACSI comparison</w:t>
            </w:r>
          </w:p>
        </w:tc>
      </w:tr>
      <w:tr>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Binary Target Creation</w:t>
            </w:r>
          </w:p>
        </w:tc>
        <w:tc>
          <w:tcPr>
            <w:tcW w:type="dxa" w:w="23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identifier (B2B vs Consumer)</w:t>
            </w:r>
          </w:p>
        </w:tc>
        <w:tc>
          <w:tcPr>
            <w:tcW w:type="dxa" w:w="26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 to binary flag: Consumer=0, B2B=1</w:t>
            </w:r>
          </w:p>
        </w:tc>
        <w:tc>
          <w:tcPr>
            <w:tcW w:type="dxa" w:w="24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Is_B2B — logistic regression target variable</w:t>
            </w:r>
          </w:p>
        </w:tc>
      </w:tr>
      <w:tr>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Regional Standardization</w:t>
            </w:r>
          </w:p>
        </w:tc>
        <w:tc>
          <w:tcPr>
            <w:tcW w:type="dxa" w:w="23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Region (US / EU / ASIA)</w:t>
            </w:r>
          </w:p>
        </w:tc>
        <w:tc>
          <w:tcPr>
            <w:tcW w:type="dxa" w:w="26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Dictionary mapping: US→AMER, EU→EMEA, ASIA→APJ</w:t>
            </w:r>
          </w:p>
        </w:tc>
        <w:tc>
          <w:tcPr>
            <w:tcW w:type="dxa" w:w="24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Region_Clean — join key for sales data merge</w:t>
            </w:r>
          </w:p>
        </w:tc>
      </w:tr>
      <w:tr>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Churn Flag Engineering</w:t>
            </w:r>
          </w:p>
        </w:tc>
        <w:tc>
          <w:tcPr>
            <w:tcW w:type="dxa" w:w="23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Subscription_Status (0.0 / 1.0)</w:t>
            </w:r>
          </w:p>
        </w:tc>
        <w:tc>
          <w:tcPr>
            <w:tcW w:type="dxa" w:w="26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Lambda: 0.0 → Churn=1, 1.0 → Churn=0</w:t>
            </w:r>
          </w:p>
        </w:tc>
        <w:tc>
          <w:tcPr>
            <w:tcW w:type="dxa" w:w="24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Churn_Event — survival analysis event indicator</w:t>
            </w:r>
          </w:p>
        </w:tc>
      </w:tr>
      <w:tr>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Tenure Synthesis</w:t>
            </w:r>
          </w:p>
        </w:tc>
        <w:tc>
          <w:tcPr>
            <w:tcW w:type="dxa" w:w="23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Days_Since_Launch</w:t>
            </w:r>
          </w:p>
        </w:tc>
        <w:tc>
          <w:tcPr>
            <w:tcW w:type="dxa" w:w="26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Coerce to numeric, enforce minimum of 1 day</w:t>
            </w:r>
          </w:p>
        </w:tc>
        <w:tc>
          <w:tcPr>
            <w:tcW w:type="dxa" w:w="24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Tenure_Days — survival analysis duration variable</w:t>
            </w:r>
          </w:p>
        </w:tc>
      </w:tr>
      <w:tr>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Adoption Binarization</w:t>
            </w:r>
          </w:p>
        </w:tc>
        <w:tc>
          <w:tcPr>
            <w:tcW w:type="dxa" w:w="23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Feature_Used (float/mixed)</w:t>
            </w:r>
          </w:p>
        </w:tc>
        <w:tc>
          <w:tcPr>
            <w:tcW w:type="dxa" w:w="26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to_numeric(errors='coerce') + fillna → int</w:t>
            </w:r>
          </w:p>
        </w:tc>
        <w:tc>
          <w:tcPr>
            <w:tcW w:type="dxa" w:w="24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Is_Adopter (0/1) — cohort segmentation for KM analysis</w:t>
            </w:r>
          </w:p>
        </w:tc>
      </w:tr>
    </w:tbl>
    <w:p>
      <w:pPr>
        <w:spacing w:before="120" w:after="0"/>
      </w:pPr>
      <w:r>
        <w:t xml:space="preserve"/>
      </w:r>
    </w:p>
    <w:p>
      <w:pPr>
        <w:pStyle w:val="Heading2"/>
        <w:spacing w:before="240" w:after="100"/>
      </w:pPr>
      <w:r>
        <w:rPr>
          <w:rFonts w:ascii="Arial" w:cs="Arial" w:eastAsia="Arial" w:hAnsi="Arial"/>
          <w:b/>
          <w:bCs/>
          <w:color w:val="2E5FA3"/>
          <w:sz w:val="28"/>
          <w:szCs w:val="28"/>
        </w:rPr>
        <w:t xml:space="preserve">8.1 Scale Normalization Protocol (RQ1)</w:t>
      </w:r>
    </w:p>
    <w:p>
      <w:pPr>
        <w:spacing w:before="80" w:after="120" w:line="320"/>
        <w:jc w:val="both"/>
      </w:pPr>
      <w:r>
        <w:rPr>
          <w:rFonts w:ascii="Arial" w:cs="Arial" w:eastAsia="Arial" w:hAnsi="Arial"/>
          <w:color w:val="000000"/>
          <w:sz w:val="22"/>
          <w:szCs w:val="22"/>
        </w:rPr>
        <w:t xml:space="preserve">The primary structural challenge for RQ1 was the incompatibility between the B2B satisfaction survey (Post_Task_Confidence, measured on a 1-10 Likert scale) and the ACSI benchmark (SATIS, measured on a 0-100 scale). Deploying raw values would mathematically invalidate comparative statistical testing. The normalization algorithm applied a min-max scaling transformation conditional on the detected maximum value: if max_value ≤ 10 (confirming Likert structure), the transformation Normalized_Score = (x − min) / (max − min) × 100 was applied. This produced a unified 0-100 scale enabling direct distributional comparison. A binary source indicator variable (Is_B2B: 0 = Consumer, 1 = B2B) was appended as the logistic regression target.</w:t>
      </w:r>
    </w:p>
    <w:p>
      <w:pPr>
        <w:pStyle w:val="Heading2"/>
        <w:spacing w:before="240" w:after="100"/>
      </w:pPr>
      <w:r>
        <w:rPr>
          <w:rFonts w:ascii="Arial" w:cs="Arial" w:eastAsia="Arial" w:hAnsi="Arial"/>
          <w:b/>
          <w:bCs/>
          <w:color w:val="2E5FA3"/>
          <w:sz w:val="28"/>
          <w:szCs w:val="28"/>
        </w:rPr>
        <w:t xml:space="preserve">8.2 Regional Standardization (RQ3)</w:t>
      </w:r>
    </w:p>
    <w:p>
      <w:pPr>
        <w:spacing w:before="80" w:after="120" w:line="320"/>
        <w:jc w:val="both"/>
      </w:pPr>
      <w:r>
        <w:rPr>
          <w:rFonts w:ascii="Arial" w:cs="Arial" w:eastAsia="Arial" w:hAnsi="Arial"/>
          <w:color w:val="000000"/>
          <w:sz w:val="22"/>
          <w:szCs w:val="22"/>
        </w:rPr>
        <w:t xml:space="preserve">The integration of behavioral telemetry and CRM financials exposed a classic enterprise data silo issue: inconsistent regional nomenclature. The telemetry dataset categorized geography as 'US', 'EU', and 'ASIA', while the sales financial database employed standard corporate typologies: 'AMER', 'EMEA', 'APJ'. An explicit mapping dictionary (US → AMER, EU → EMEA, ASIA → APJ, Other → EMEA) was engineered and applied via a string transformation pipeline. This enabled an inner join on the Region_Clean key, yielding a merged analytical dataset containing both micro-behavioral and macro-financial variables in a single observation space.</w:t>
      </w:r>
    </w:p>
    <w:p>
      <w:pPr>
        <w:pStyle w:val="Heading2"/>
        <w:spacing w:before="240" w:after="100"/>
      </w:pPr>
      <w:r>
        <w:rPr>
          <w:rFonts w:ascii="Arial" w:cs="Arial" w:eastAsia="Arial" w:hAnsi="Arial"/>
          <w:b/>
          <w:bCs/>
          <w:color w:val="2E5FA3"/>
          <w:sz w:val="28"/>
          <w:szCs w:val="28"/>
        </w:rPr>
        <w:t xml:space="preserve">8.3 Survival Variable Engineering (RQ3)</w:t>
      </w:r>
    </w:p>
    <w:p>
      <w:pPr>
        <w:spacing w:before="80" w:after="120" w:line="320"/>
        <w:jc w:val="both"/>
      </w:pPr>
      <w:r>
        <w:rPr>
          <w:rFonts w:ascii="Arial" w:cs="Arial" w:eastAsia="Arial" w:hAnsi="Arial"/>
          <w:color w:val="000000"/>
          <w:sz w:val="22"/>
          <w:szCs w:val="22"/>
        </w:rPr>
        <w:t xml:space="preserve">Cox Proportional Hazards modeling requires two strictly defined variables: a time-to-event duration (Tenure) and a binary terminal event indicator (Churn). The raw dataset lacked a unified churn flag. A dynamic engineering script was implemented: it detected the presence of Subscription_Status and, if found, applied a lambda transformation (0.0 → Churn = 1; 1.0 → Churn = 0, i.e., right-censored). In cases where Subscription_Status was absent, a fallback logic assessed Retention_Day_30, defining churn for users active fewer than 20 days. Tenure_Days was synthesized from Days_Since_Launch with a minimum floor of 1 day to prevent division-by-zero in hazard matrix computations.</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9. Modeling Methodology</w:t>
      </w:r>
    </w:p>
    <w:p>
      <w:pPr>
        <w:spacing w:before="80" w:after="120" w:line="320"/>
        <w:jc w:val="both"/>
      </w:pPr>
      <w:r>
        <w:rPr>
          <w:rFonts w:ascii="Arial" w:cs="Arial" w:eastAsia="Arial" w:hAnsi="Arial"/>
          <w:color w:val="000000"/>
          <w:sz w:val="22"/>
          <w:szCs w:val="22"/>
        </w:rPr>
        <w:t xml:space="preserve">The modeling strategy employed in this study is deliberately diversified to match the mathematical characteristics of the data and the inferential requirements of each research question. Each model was selected based on statistical suitability and theoretical alignment with the specific causal link being investigated.</w:t>
      </w:r>
    </w:p>
    <w:p>
      <w:pPr>
        <w:pStyle w:val="Heading2"/>
        <w:spacing w:before="240" w:after="100"/>
      </w:pPr>
      <w:r>
        <w:rPr>
          <w:rFonts w:ascii="Arial" w:cs="Arial" w:eastAsia="Arial" w:hAnsi="Arial"/>
          <w:b/>
          <w:bCs/>
          <w:color w:val="2E5FA3"/>
          <w:sz w:val="28"/>
          <w:szCs w:val="28"/>
        </w:rPr>
        <w:t xml:space="preserve">9.1 RQ1 — Quantifying the Expectation Gap</w:t>
      </w:r>
    </w:p>
    <w:p>
      <w:pPr>
        <w:pStyle w:val="Heading3"/>
        <w:spacing w:before="180" w:after="80"/>
      </w:pPr>
      <w:r>
        <w:rPr>
          <w:rFonts w:ascii="Arial" w:cs="Arial" w:eastAsia="Arial" w:hAnsi="Arial"/>
          <w:b/>
          <w:bCs/>
          <w:color w:val="4A4A4A"/>
          <w:sz w:val="24"/>
          <w:szCs w:val="24"/>
        </w:rPr>
        <w:t xml:space="preserve">9.1.1 Non-Parametric Hypothesis Testing: Mann-Whitney U Test</w:t>
      </w:r>
    </w:p>
    <w:p>
      <w:pPr>
        <w:spacing w:before="80" w:after="120" w:line="320"/>
        <w:jc w:val="both"/>
      </w:pPr>
      <w:r>
        <w:rPr>
          <w:rFonts w:ascii="Arial" w:cs="Arial" w:eastAsia="Arial" w:hAnsi="Arial"/>
          <w:color w:val="000000"/>
          <w:sz w:val="22"/>
          <w:szCs w:val="22"/>
        </w:rPr>
        <w:t xml:space="preserve">User satisfaction scores frequently deviate from Gaussian normality—they are often negatively skewed as satisfied users cluster at the high end of the scale, violating the parametric assumptions of Student's t-tests. The Mann-Whitney U test was therefore selected as the inferential tool for RQ1. This rank-based non-parametric test evaluates whether the distribution of consumer satisfaction scores is stochastically greater than the distribution of B2B scores, without requiring assumptions about the underlying population distribution. The null hypothesis (H₀) posits that both distributions originate from the same population; rejection of H₀ confirms a statistically significant experience gap.</w:t>
      </w:r>
    </w:p>
    <w:p>
      <w:pPr>
        <w:pStyle w:val="Heading3"/>
        <w:spacing w:before="180" w:after="80"/>
      </w:pPr>
      <w:r>
        <w:rPr>
          <w:rFonts w:ascii="Arial" w:cs="Arial" w:eastAsia="Arial" w:hAnsi="Arial"/>
          <w:b/>
          <w:bCs/>
          <w:color w:val="4A4A4A"/>
          <w:sz w:val="24"/>
          <w:szCs w:val="24"/>
        </w:rPr>
        <w:t xml:space="preserve">9.1.2 Logistic Regression Classifier</w:t>
      </w:r>
    </w:p>
    <w:p>
      <w:pPr>
        <w:spacing w:before="80" w:after="120" w:line="320"/>
        <w:jc w:val="both"/>
      </w:pPr>
      <w:r>
        <w:rPr>
          <w:rFonts w:ascii="Arial" w:cs="Arial" w:eastAsia="Arial" w:hAnsi="Arial"/>
          <w:color w:val="000000"/>
          <w:sz w:val="22"/>
          <w:szCs w:val="22"/>
        </w:rPr>
        <w:t xml:space="preserve">To operationalize the magnitude of the satisfaction gap as a predictive characteristic, a Logistic Regression model was trained on the unified normalized dataset to classify whether a given satisfaction score originated from a Consumer or B2B environment. The dataset was split into 70% training and 30% testing sets using stratified sampling to maintain class balance. The classification accuracy and ROC-AUC score of this binary classifier serve as a powerful proxy for the severity of the gap: a high ROC-AUC indicates that the score distributions are highly separable, confirming that the gap is a systemic, defining characteristic rather than random noise.</w:t>
      </w:r>
    </w:p>
    <w:p>
      <w:pPr>
        <w:pStyle w:val="Heading2"/>
        <w:spacing w:before="240" w:after="100"/>
      </w:pPr>
      <w:r>
        <w:rPr>
          <w:rFonts w:ascii="Arial" w:cs="Arial" w:eastAsia="Arial" w:hAnsi="Arial"/>
          <w:b/>
          <w:bCs/>
          <w:color w:val="2E5FA3"/>
          <w:sz w:val="28"/>
          <w:szCs w:val="28"/>
        </w:rPr>
        <w:t xml:space="preserve">9.2 RQ2 — Usability as the Catalyst for Adoption</w:t>
      </w:r>
    </w:p>
    <w:p>
      <w:pPr>
        <w:pStyle w:val="Heading3"/>
        <w:spacing w:before="180" w:after="80"/>
      </w:pPr>
      <w:r>
        <w:rPr>
          <w:rFonts w:ascii="Arial" w:cs="Arial" w:eastAsia="Arial" w:hAnsi="Arial"/>
          <w:b/>
          <w:bCs/>
          <w:color w:val="4A4A4A"/>
          <w:sz w:val="24"/>
          <w:szCs w:val="24"/>
        </w:rPr>
        <w:t xml:space="preserve">9.2.1 Independent Two-Sample Welch's T-Test</w:t>
      </w:r>
    </w:p>
    <w:p>
      <w:pPr>
        <w:spacing w:before="80" w:after="120" w:line="320"/>
        <w:jc w:val="both"/>
      </w:pPr>
      <w:r>
        <w:rPr>
          <w:rFonts w:ascii="Arial" w:cs="Arial" w:eastAsia="Arial" w:hAnsi="Arial"/>
          <w:color w:val="000000"/>
          <w:sz w:val="22"/>
          <w:szCs w:val="22"/>
        </w:rPr>
        <w:t xml:space="preserve">The experimental A/B dataset compared Time-on-Task across two conditions (Manual vs. Intuitive UI). Because the two cohorts exhibited different within-group variances—an expected outcome given the heterogeneous nature of user behavior in complex vs. simplified interfaces—Welch's T-Test (setting equal_var=False) was applied rather than Student's standard T-Test. This variant of the independent samples test does not assume homogeneity of variance, making it more appropriate for real-world experimental data where variance equality cannot be guaranteed. The test rigorously evaluated the null hypothesis that the mean time-to-completion was identical across both UI conditions.</w:t>
      </w:r>
    </w:p>
    <w:p>
      <w:pPr>
        <w:pStyle w:val="Heading3"/>
        <w:spacing w:before="180" w:after="80"/>
      </w:pPr>
      <w:r>
        <w:rPr>
          <w:rFonts w:ascii="Arial" w:cs="Arial" w:eastAsia="Arial" w:hAnsi="Arial"/>
          <w:b/>
          <w:bCs/>
          <w:color w:val="4A4A4A"/>
          <w:sz w:val="24"/>
          <w:szCs w:val="24"/>
        </w:rPr>
        <w:t xml:space="preserve">9.2.2 Logistic Regression with Odds Ratio</w:t>
      </w:r>
    </w:p>
    <w:p>
      <w:pPr>
        <w:spacing w:before="80" w:after="120" w:line="320"/>
        <w:jc w:val="both"/>
      </w:pPr>
      <w:r>
        <w:rPr>
          <w:rFonts w:ascii="Arial" w:cs="Arial" w:eastAsia="Arial" w:hAnsi="Arial"/>
          <w:color w:val="000000"/>
          <w:sz w:val="22"/>
          <w:szCs w:val="22"/>
        </w:rPr>
        <w:t xml:space="preserve">To quantify the magnitude of usability's influence on real-world feature adoption, a Logistic Regression model was constructed using the statsmodels API. The binary outcome variable (Adopted: 1 = feature adopted, 0 = not adopted) was regressed against the continuous predictor Engagement_Score. An explicit constant (intercept) was added to the model matrix via sm.add_constant(), enabling the calculation of exact coefficient estimates and associated p-values. The Odds Ratio was computed by exponentiating the model coefficient for Engagement_Score, yielding a precise, interpretable measure of the multiplicative change in adoption probability per unit increase in engagement.</w:t>
      </w:r>
    </w:p>
    <w:p>
      <w:pPr>
        <w:pStyle w:val="Heading2"/>
        <w:spacing w:before="240" w:after="100"/>
      </w:pPr>
      <w:r>
        <w:rPr>
          <w:rFonts w:ascii="Arial" w:cs="Arial" w:eastAsia="Arial" w:hAnsi="Arial"/>
          <w:b/>
          <w:bCs/>
          <w:color w:val="2E5FA3"/>
          <w:sz w:val="28"/>
          <w:szCs w:val="28"/>
        </w:rPr>
        <w:t xml:space="preserve">9.3 RQ3 — Survival and Business Impact Analysis</w:t>
      </w:r>
    </w:p>
    <w:p>
      <w:pPr>
        <w:pStyle w:val="Heading3"/>
        <w:spacing w:before="180" w:after="80"/>
      </w:pPr>
      <w:r>
        <w:rPr>
          <w:rFonts w:ascii="Arial" w:cs="Arial" w:eastAsia="Arial" w:hAnsi="Arial"/>
          <w:b/>
          <w:bCs/>
          <w:color w:val="4A4A4A"/>
          <w:sz w:val="24"/>
          <w:szCs w:val="24"/>
        </w:rPr>
        <w:t xml:space="preserve">9.3.1 Kaplan-Meier Survival Analysis</w:t>
      </w:r>
    </w:p>
    <w:p>
      <w:pPr>
        <w:spacing w:before="80" w:after="120" w:line="320"/>
        <w:jc w:val="both"/>
      </w:pPr>
      <w:r>
        <w:rPr>
          <w:rFonts w:ascii="Arial" w:cs="Arial" w:eastAsia="Arial" w:hAnsi="Arial"/>
          <w:color w:val="000000"/>
          <w:sz w:val="22"/>
          <w:szCs w:val="22"/>
        </w:rPr>
        <w:t xml:space="preserve">The Kaplan-Meier (KM) Fitter was deployed to visualize and estimate the survival function S(t)—the probability of a customer remaining active (not churning) over a given time period t. Two KM curves were generated for direct comparison: one for the Adopter cohort (Is_Adopter = 1) and one for the Non-Adopter cohort (Is_Adopter = 0). The KM estimator is non-parametric and makes no assumptions about the shape of the underlying hazard function, making it ideal for preliminary survival visualization in real-world SaaS telemetry data, which rarely follows clean parametric distributions.</w:t>
      </w:r>
    </w:p>
    <w:p>
      <w:pPr>
        <w:pStyle w:val="Heading3"/>
        <w:spacing w:before="180" w:after="80"/>
      </w:pPr>
      <w:r>
        <w:rPr>
          <w:rFonts w:ascii="Arial" w:cs="Arial" w:eastAsia="Arial" w:hAnsi="Arial"/>
          <w:b/>
          <w:bCs/>
          <w:color w:val="4A4A4A"/>
          <w:sz w:val="24"/>
          <w:szCs w:val="24"/>
        </w:rPr>
        <w:t xml:space="preserve">9.3.2 Cox Proportional Hazards Modeling</w:t>
      </w:r>
    </w:p>
    <w:p>
      <w:pPr>
        <w:spacing w:before="80" w:after="120" w:line="320"/>
        <w:jc w:val="both"/>
      </w:pPr>
      <w:r>
        <w:rPr>
          <w:rFonts w:ascii="Arial" w:cs="Arial" w:eastAsia="Arial" w:hAnsi="Arial"/>
          <w:color w:val="000000"/>
          <w:sz w:val="22"/>
          <w:szCs w:val="22"/>
        </w:rPr>
        <w:t xml:space="preserve">To control for multivariate effects and generate precise, quantifiable hazard metrics, a Cox Proportional Hazards (CPH) model was constructed. The Cox model is the gold standard for multivariate survival analysis in biostatistics and has been increasingly adopted for SaaS customer churn modeling due to its ability to estimate the hazard ratio for each independent variable while controlling for the others. The model was fed Tenure_Days, Churn_Event, Is_Adopter, and Engagement_Score. To address the risk of multicollinearity—a common issue in SaaS telemetry where highly engaged users tend to be adopters—an L2 regularization penalizer (penalizer=0.5) was applied during model fitting, stabilizing the coefficient estimates and enabling interpretable Hazard Ratio output.</w:t>
      </w:r>
    </w:p>
    <w:p>
      <w:pPr>
        <w:pStyle w:val="Heading3"/>
        <w:spacing w:before="180" w:after="80"/>
      </w:pPr>
      <w:r>
        <w:rPr>
          <w:rFonts w:ascii="Arial" w:cs="Arial" w:eastAsia="Arial" w:hAnsi="Arial"/>
          <w:b/>
          <w:bCs/>
          <w:color w:val="4A4A4A"/>
          <w:sz w:val="24"/>
          <w:szCs w:val="24"/>
        </w:rPr>
        <w:t xml:space="preserve">9.3.3 Multivariate Regional Revenue Analysis</w:t>
      </w:r>
    </w:p>
    <w:p>
      <w:pPr>
        <w:spacing w:before="80" w:after="120" w:line="320"/>
        <w:jc w:val="both"/>
      </w:pPr>
      <w:r>
        <w:rPr>
          <w:rFonts w:ascii="Arial" w:cs="Arial" w:eastAsia="Arial" w:hAnsi="Arial"/>
          <w:color w:val="000000"/>
          <w:sz w:val="22"/>
          <w:szCs w:val="22"/>
        </w:rPr>
        <w:t xml:space="preserve">The final analytical component linked behavioral adoption metrics to macro-financial performance through group-by aggregation and multivariate linear correlation. Usage telemetry was aggregated at the regional level, computing mean Engagement Score and mean Adoption Rate per region. These behavioral aggregates were then joined with regional financial totals (Sales, Profit) from the CRM dataset, enabling the analysis of covariance between behavioral adoption metrics and financial outcomes across the AMER, EMEA, and APJ market regions.</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10. Evaluation Metrics</w:t>
      </w:r>
    </w:p>
    <w:p>
      <w:pPr>
        <w:spacing w:before="80" w:after="120" w:line="320"/>
        <w:jc w:val="both"/>
      </w:pPr>
      <w:r>
        <w:rPr>
          <w:rFonts w:ascii="Arial" w:cs="Arial" w:eastAsia="Arial" w:hAnsi="Arial"/>
          <w:color w:val="000000"/>
          <w:sz w:val="22"/>
          <w:szCs w:val="22"/>
        </w:rPr>
        <w:t xml:space="preserve">The quantitative claims made in the results section are anchored to standard, widely accepted evaluation metrics, ensuring reproducibility and academic rigor. The following table provides a comprehensive summary of all metrics applied: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000"/>
        <w:gridCol w:w="2000"/>
        <w:gridCol w:w="2000"/>
      </w:tblGrid>
      <w:tr>
        <w:tc>
          <w:tcPr>
            <w:tcW w:type="dxa" w:w="15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RQ</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Statistical Test</w:t>
            </w:r>
          </w:p>
        </w:tc>
        <w:tc>
          <w:tcPr>
            <w:tcW w:type="dxa" w:w="2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Metric</w:t>
            </w:r>
          </w:p>
        </w:tc>
        <w:tc>
          <w:tcPr>
            <w:tcW w:type="dxa" w:w="2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Threshold</w:t>
            </w:r>
          </w:p>
        </w:tc>
        <w:tc>
          <w:tcPr>
            <w:tcW w:type="dxa" w:w="2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Result</w:t>
            </w:r>
          </w:p>
        </w:tc>
      </w:tr>
      <w:tr>
        <w:tc>
          <w:tcPr>
            <w:tcW w:type="dxa" w:w="15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RQ1</w:t>
            </w:r>
          </w:p>
        </w:tc>
        <w:tc>
          <w:tcPr>
            <w:tcW w:type="dxa" w:w="1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Mann-Whitney U Test</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p-value</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α &lt; 0.05</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p &lt; 0.001 ✓</w:t>
            </w:r>
          </w:p>
        </w:tc>
      </w:tr>
      <w:tr>
        <w:tc>
          <w:tcPr>
            <w:tcW w:type="dxa" w:w="15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RQ1</w:t>
            </w:r>
          </w:p>
        </w:tc>
        <w:tc>
          <w:tcPr>
            <w:tcW w:type="dxa" w:w="1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Cohen's d (Effect Size)</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Effect Magnitude</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&gt; 0.8 = Large</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d = 1.34 (Very Large) ✓</w:t>
            </w:r>
          </w:p>
        </w:tc>
      </w:tr>
      <w:tr>
        <w:tc>
          <w:tcPr>
            <w:tcW w:type="dxa" w:w="15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RQ1</w:t>
            </w:r>
          </w:p>
        </w:tc>
        <w:tc>
          <w:tcPr>
            <w:tcW w:type="dxa" w:w="1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Logistic Regression</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ROC-AUC Score</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0.7 = Meaningful</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AUC = 0.89 ✓</w:t>
            </w:r>
          </w:p>
        </w:tc>
      </w:tr>
      <w:tr>
        <w:tc>
          <w:tcPr>
            <w:tcW w:type="dxa" w:w="15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RQ2</w:t>
            </w:r>
          </w:p>
        </w:tc>
        <w:tc>
          <w:tcPr>
            <w:tcW w:type="dxa" w:w="1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Welch's T-Test</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p-value</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α &lt; 0.05</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p &lt; 0.05 ✓</w:t>
            </w:r>
          </w:p>
        </w:tc>
      </w:tr>
      <w:tr>
        <w:tc>
          <w:tcPr>
            <w:tcW w:type="dxa" w:w="15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RQ2</w:t>
            </w:r>
          </w:p>
        </w:tc>
        <w:tc>
          <w:tcPr>
            <w:tcW w:type="dxa" w:w="1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Logistic Regression</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Odds Ratio (OR)</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 &gt; 1.0</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OR = 1.12 ✓</w:t>
            </w:r>
          </w:p>
        </w:tc>
      </w:tr>
      <w:tr>
        <w:tc>
          <w:tcPr>
            <w:tcW w:type="dxa" w:w="15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RQ3</w:t>
            </w:r>
          </w:p>
        </w:tc>
        <w:tc>
          <w:tcPr>
            <w:tcW w:type="dxa" w:w="1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Cox PH Model</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Hazard Ratio (HR)</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HR &lt; 1.0 = Protective</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HR = 0.77 ✓</w:t>
            </w:r>
          </w:p>
        </w:tc>
      </w:tr>
      <w:tr>
        <w:tc>
          <w:tcPr>
            <w:tcW w:type="dxa" w:w="15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RQ3</w:t>
            </w:r>
          </w:p>
        </w:tc>
        <w:tc>
          <w:tcPr>
            <w:tcW w:type="dxa" w:w="1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Cox PH Model</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Concordance Index</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0.5 = Predictive</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&gt; 0.5 ✓</w:t>
            </w:r>
          </w:p>
        </w:tc>
      </w:tr>
    </w:tbl>
    <w:p>
      <w:pPr>
        <w:spacing w:before="120" w:after="0"/>
      </w:pPr>
      <w:r>
        <w:t xml:space="preserve"/>
      </w:r>
    </w:p>
    <w:p>
      <w:pPr>
        <w:spacing w:before="80" w:after="120" w:line="320"/>
        <w:jc w:val="both"/>
      </w:pPr>
      <w:r>
        <w:rPr>
          <w:rFonts w:ascii="Arial" w:cs="Arial" w:eastAsia="Arial" w:hAnsi="Arial"/>
          <w:color w:val="000000"/>
          <w:sz w:val="22"/>
          <w:szCs w:val="22"/>
        </w:rPr>
        <w:t xml:space="preserve">Effect sizes (Cohen's d) are reported alongside p-values to distinguish between statistical significance and practical relevance—a distinction of particular importance in datasets with large sample sizes, where even trivially small differences can achieve statistical significance. The Concordance Index (C-Index) for the Cox model is interpreted analogously to ROC-AUC: a value of 0.5 indicates random prediction, while values approaching 1.0 indicate superior discriminative power in ranking individual churn risk.</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11. Results</w:t>
      </w:r>
    </w:p>
    <w:p>
      <w:pPr>
        <w:spacing w:before="80" w:after="120" w:line="320"/>
        <w:jc w:val="both"/>
      </w:pPr>
      <w:r>
        <w:rPr>
          <w:rFonts w:ascii="Arial" w:cs="Arial" w:eastAsia="Arial" w:hAnsi="Arial"/>
          <w:color w:val="000000"/>
          <w:sz w:val="22"/>
          <w:szCs w:val="22"/>
        </w:rPr>
        <w:t xml:space="preserve">The empirical results of this study are structured sequentially across the three research questions, building from user sentiment analysis (RQ1) through behavioral adoption mechanics (RQ2) to macro-financial business outcomes (RQ3). The models applied to the engineered datasets yielded statistically significant findings across all three analytical dimensions, validating the overarching causal hypothesis.</w:t>
      </w:r>
    </w:p>
    <w:p>
      <w:pPr>
        <w:pStyle w:val="Heading2"/>
        <w:spacing w:before="240" w:after="100"/>
      </w:pPr>
      <w:r>
        <w:rPr>
          <w:rFonts w:ascii="Arial" w:cs="Arial" w:eastAsia="Arial" w:hAnsi="Arial"/>
          <w:b/>
          <w:bCs/>
          <w:color w:val="2E5FA3"/>
          <w:sz w:val="28"/>
          <w:szCs w:val="28"/>
        </w:rPr>
        <w:t xml:space="preserve">11.1 Results for RQ1: Quantifying the Expectation Gap</w:t>
      </w:r>
    </w:p>
    <w:p>
      <w:pPr>
        <w:spacing w:before="80" w:after="120" w:line="320"/>
        <w:jc w:val="both"/>
      </w:pPr>
      <w:r>
        <w:rPr>
          <w:rFonts w:ascii="Arial" w:cs="Arial" w:eastAsia="Arial" w:hAnsi="Arial"/>
          <w:color w:val="000000"/>
          <w:sz w:val="22"/>
          <w:szCs w:val="22"/>
        </w:rPr>
        <w:t xml:space="preserve">The comparative analysis between B2B satisfaction metrics and the ACSI consumer benchmark conclusively established the existence of a severe and economically meaningful expectation gap. Descriptive statistics revealed a prominent disparity in central tendencies: the mean normalized satisfaction score for the consumer dataset was 79.4 (out of 100), while the mean normalized score for the B2B dataset was substantially lower at 61.2, representing an 18.2-point deficit—a relative shortfall of 22.9%.</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28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Consumer Benchmark</w:t>
            </w:r>
          </w:p>
        </w:tc>
        <w:tc>
          <w:tcPr>
            <w:tcW w:type="dxa" w:w="228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B2B SaaS</w:t>
            </w:r>
          </w:p>
        </w:tc>
        <w:tc>
          <w:tcPr>
            <w:tcW w:type="dxa" w:w="2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Mean Normalized Satisfaction Score</w:t>
            </w:r>
          </w:p>
        </w:tc>
        <w:tc>
          <w:tcPr>
            <w:tcW w:type="dxa" w:w="22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79.4 / 100</w:t>
            </w:r>
          </w:p>
        </w:tc>
        <w:tc>
          <w:tcPr>
            <w:tcW w:type="dxa" w:w="22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61.2 / 100</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18.2-point deficit (-23%)</w:t>
            </w:r>
          </w:p>
        </w:tc>
      </w:tr>
      <w:tr>
        <w:tc>
          <w:tcPr>
            <w:tcW w:type="dxa" w:w="2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Score Distribution Shape</w:t>
            </w:r>
          </w:p>
        </w:tc>
        <w:tc>
          <w:tcPr>
            <w:tcW w:type="dxa" w:w="22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Tightly clustered, right-skewed</w:t>
            </w:r>
          </w:p>
        </w:tc>
        <w:tc>
          <w:tcPr>
            <w:tcW w:type="dxa" w:w="22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Broad, flat, left-shifted</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variance = inconsistent UX quality</w:t>
            </w:r>
          </w:p>
        </w:tc>
      </w:tr>
      <w:tr>
        <w:tc>
          <w:tcPr>
            <w:tcW w:type="dxa" w:w="2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Mann-Whitney U p-value</w:t>
            </w:r>
          </w:p>
        </w:tc>
        <w:tc>
          <w:tcPr>
            <w:tcW w:type="dxa" w:w="22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 &lt; 0.001 (Highly Significant)</w:t>
            </w:r>
          </w:p>
        </w:tc>
      </w:tr>
      <w:tr>
        <w:tc>
          <w:tcPr>
            <w:tcW w:type="dxa" w:w="2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Cohen's d Effect Size</w:t>
            </w:r>
          </w:p>
        </w:tc>
        <w:tc>
          <w:tcPr>
            <w:tcW w:type="dxa" w:w="22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 = 1.34 (Very Large Effect)</w:t>
            </w:r>
          </w:p>
        </w:tc>
      </w:tr>
      <w:tr>
        <w:tc>
          <w:tcPr>
            <w:tcW w:type="dxa" w:w="2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Logistic Classifier ROC-AUC</w:t>
            </w:r>
          </w:p>
        </w:tc>
        <w:tc>
          <w:tcPr>
            <w:tcW w:type="dxa" w:w="22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0.89 (Excellent Separability)</w:t>
            </w:r>
          </w:p>
        </w:tc>
      </w:tr>
      <w:tr>
        <w:tc>
          <w:tcPr>
            <w:tcW w:type="dxa" w:w="2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Accuracy</w:t>
            </w:r>
          </w:p>
        </w:tc>
        <w:tc>
          <w:tcPr>
            <w:tcW w:type="dxa" w:w="22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B3A6B"/>
                <w:sz w:val="20"/>
                <w:szCs w:val="20"/>
              </w:rPr>
              <w:t xml:space="preserve">Score alone predicts platform type with high accuracy</w:t>
            </w:r>
          </w:p>
        </w:tc>
      </w:tr>
    </w:tbl>
    <w:p>
      <w:pPr>
        <w:spacing w:before="120" w:after="0"/>
      </w:pPr>
      <w:r>
        <w:t xml:space="preserve"/>
      </w:r>
    </w:p>
    <w:p>
      <w:pPr>
        <w:spacing w:before="80" w:after="120" w:line="320"/>
        <w:jc w:val="both"/>
      </w:pPr>
      <w:r>
        <w:rPr>
          <w:rFonts w:ascii="Arial" w:cs="Arial" w:eastAsia="Arial" w:hAnsi="Arial"/>
          <w:color w:val="000000"/>
          <w:sz w:val="22"/>
          <w:szCs w:val="22"/>
        </w:rPr>
        <w:t xml:space="preserve">The non-parametric Mann-Whitney U test confirmed that this distributional difference is highly statistically significant (p &lt; 0.001), definitively rejecting the null hypothesis that both samples originate from the same distribution. Cohen's d was computed to measure effect size, yielding a d-value of 1.34—categorized as "very large" in behavioral statistics convention, indicating that the B2B distribution is shifted lower by approximately 1.3 standard deviations relative to the consumer benchmark. This magnitude positions the identified gap not as a marginal quality issue but as a fundamental structural differentiation between the two product categories.</w:t>
      </w:r>
    </w:p>
    <w:p>
      <w:pPr>
        <w:spacing w:before="80" w:after="0"/>
      </w:pPr>
      <w:r>
        <w:t xml:space="preserve"/>
      </w:r>
    </w:p>
    <w:p>
      <w:pPr>
        <w:spacing w:before="80" w:after="120" w:line="320"/>
        <w:jc w:val="both"/>
      </w:pPr>
      <w:r>
        <w:rPr>
          <w:rFonts w:ascii="Arial" w:cs="Arial" w:eastAsia="Arial" w:hAnsi="Arial"/>
          <w:color w:val="000000"/>
          <w:sz w:val="22"/>
          <w:szCs w:val="22"/>
        </w:rPr>
        <w:t xml:space="preserve">The Logistic Regression classifier trained to distinguish Consumer from B2B satisfaction scores achieved an ROC-AUC of 0.89, confirming exceptional separability. This predictive power mathematically validates that low satisfaction is a defining, systemic characteristic of the modern B2B SaaS user experience—not an artifact of sampling variation or measurement noise.</w:t>
      </w:r>
    </w:p>
    <w:p>
      <w:pPr>
        <w:pStyle w:val="Heading2"/>
        <w:spacing w:before="240" w:after="100"/>
      </w:pPr>
      <w:r>
        <w:rPr>
          <w:rFonts w:ascii="Arial" w:cs="Arial" w:eastAsia="Arial" w:hAnsi="Arial"/>
          <w:b/>
          <w:bCs/>
          <w:color w:val="2E5FA3"/>
          <w:sz w:val="28"/>
          <w:szCs w:val="28"/>
        </w:rPr>
        <w:t xml:space="preserve">11.2 Results for RQ2: Usability as the Catalyst for Adoption</w:t>
      </w:r>
    </w:p>
    <w:p>
      <w:pPr>
        <w:spacing w:before="80" w:after="120" w:line="320"/>
        <w:jc w:val="both"/>
      </w:pPr>
      <w:r>
        <w:rPr>
          <w:rFonts w:ascii="Arial" w:cs="Arial" w:eastAsia="Arial" w:hAnsi="Arial"/>
          <w:color w:val="000000"/>
          <w:sz w:val="22"/>
          <w:szCs w:val="22"/>
        </w:rPr>
        <w:t xml:space="preserve">The investigation into the micro-mechanics of usability yielded compelling experimental and observational evidence that intuitive design directly influences task efficiency and, through it, feature adoption behavior.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480"/>
        <w:gridCol w:w="2000"/>
      </w:tblGrid>
      <w:tr>
        <w:tc>
          <w:tcPr>
            <w:tcW w:type="dxa" w:w="2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48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Manual Group (Complex)</w:t>
            </w:r>
          </w:p>
        </w:tc>
        <w:tc>
          <w:tcPr>
            <w:tcW w:type="dxa" w:w="248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Intuitive Group (Automated)</w:t>
            </w:r>
          </w:p>
        </w:tc>
        <w:tc>
          <w:tcPr>
            <w:tcW w:type="dxa" w:w="2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Statistical Finding</w:t>
            </w:r>
          </w:p>
        </w:tc>
      </w:tr>
      <w:tr>
        <w:tc>
          <w:tcPr>
            <w:tcW w:type="dxa" w:w="24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Mean Time-on-Task</w:t>
            </w:r>
          </w:p>
        </w:tc>
        <w:tc>
          <w:tcPr>
            <w:tcW w:type="dxa" w:w="24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142.5 seconds</w:t>
            </w:r>
          </w:p>
        </w:tc>
        <w:tc>
          <w:tcPr>
            <w:tcW w:type="dxa" w:w="24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120.5 seconds</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 sec faster (-15.4%)</w:t>
            </w:r>
          </w:p>
        </w:tc>
      </w:tr>
      <w:tr>
        <w:tc>
          <w:tcPr>
            <w:tcW w:type="dxa" w:w="24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Task Completion Variance</w:t>
            </w:r>
          </w:p>
        </w:tc>
        <w:tc>
          <w:tcPr>
            <w:tcW w:type="dxa" w:w="24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variance, long upper tail</w:t>
            </w:r>
          </w:p>
        </w:tc>
        <w:tc>
          <w:tcPr>
            <w:tcW w:type="dxa" w:w="24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variance, symmetric</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Intuitive UI = predictable performance</w:t>
            </w:r>
          </w:p>
        </w:tc>
      </w:tr>
      <w:tr>
        <w:tc>
          <w:tcPr>
            <w:tcW w:type="dxa" w:w="24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Welch's T-Test p-value</w:t>
            </w:r>
          </w:p>
        </w:tc>
        <w:tc>
          <w:tcPr>
            <w:tcW w:type="dxa" w:w="24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4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 &lt; 0.05 (Significant)</w:t>
            </w:r>
          </w:p>
        </w:tc>
      </w:tr>
      <w:tr>
        <w:tc>
          <w:tcPr>
            <w:tcW w:type="dxa" w:w="24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Efficiency Gain</w:t>
            </w:r>
          </w:p>
        </w:tc>
        <w:tc>
          <w:tcPr>
            <w:tcW w:type="dxa" w:w="24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4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15.4% reduction in task time</w:t>
            </w:r>
          </w:p>
        </w:tc>
      </w:tr>
      <w:tr>
        <w:tc>
          <w:tcPr>
            <w:tcW w:type="dxa" w:w="24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Engagement Score → Adoption (OR)</w:t>
            </w:r>
          </w:p>
        </w:tc>
        <w:tc>
          <w:tcPr>
            <w:tcW w:type="dxa" w:w="24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4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OR = 1.12 (p &lt; 0.001)</w:t>
            </w:r>
          </w:p>
        </w:tc>
      </w:tr>
      <w:tr>
        <w:tc>
          <w:tcPr>
            <w:tcW w:type="dxa" w:w="24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Practical Implication</w:t>
            </w:r>
          </w:p>
        </w:tc>
        <w:tc>
          <w:tcPr>
            <w:tcW w:type="dxa" w:w="24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4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 Engagement point = +12% adoption probability</w:t>
            </w:r>
          </w:p>
        </w:tc>
      </w:tr>
    </w:tbl>
    <w:p>
      <w:pPr>
        <w:spacing w:before="120" w:after="0"/>
      </w:pPr>
      <w:r>
        <w:t xml:space="preserve"/>
      </w:r>
    </w:p>
    <w:p>
      <w:pPr>
        <w:spacing w:before="80" w:after="120" w:line="320"/>
        <w:jc w:val="both"/>
      </w:pPr>
      <w:r>
        <w:rPr>
          <w:rFonts w:ascii="Arial" w:cs="Arial" w:eastAsia="Arial" w:hAnsi="Arial"/>
          <w:color w:val="000000"/>
          <w:sz w:val="22"/>
          <w:szCs w:val="22"/>
        </w:rPr>
        <w:t xml:space="preserve">The A/B experimental analysis revealed a mean task completion time of 142.5 seconds for the Manual (complex, high-friction) group versus 120.5 seconds for the Intuitive (automated, low-friction) group. Welch's T-Test confirmed this difference is statistically significant (p &lt; 0.05), corresponding to a 15.4% efficiency gain attributable exclusively to UX design intervention. Critically, this efficiency gain is not merely a convenience metric; it represents a direct reduction in the extraneous cognitive load imposed by the interface on each user interaction—a cost that compounds across thousands of daily workflow executions.</w:t>
      </w:r>
    </w:p>
    <w:p>
      <w:pPr>
        <w:spacing w:before="80" w:after="0"/>
      </w:pPr>
      <w:r>
        <w:t xml:space="preserve"/>
      </w:r>
    </w:p>
    <w:p>
      <w:pPr>
        <w:spacing w:before="80" w:after="120" w:line="320"/>
        <w:jc w:val="both"/>
      </w:pPr>
      <w:r>
        <w:rPr>
          <w:rFonts w:ascii="Arial" w:cs="Arial" w:eastAsia="Arial" w:hAnsi="Arial"/>
          <w:color w:val="000000"/>
          <w:sz w:val="22"/>
          <w:szCs w:val="22"/>
        </w:rPr>
        <w:t xml:space="preserve">The Logistic Regression model applied to real-world product telemetry confirmed the causal extension of this efficiency relationship to adoption behavior. The model yielded an Odds Ratio of 1.12 (p &lt; 0.001) for the Engagement_Score predictor. Interpretation: for every single-unit increase in a user's Engagement Score—operationalized as a composite measure of usability and absence of friction—the probability of that user successfully adopting the feature increases by precisely 12%. This finding establishes a concrete, unit-level ROI metric for UX design investment within B2B SaaS product development.</w:t>
      </w:r>
    </w:p>
    <w:p>
      <w:pPr>
        <w:pStyle w:val="Heading2"/>
        <w:spacing w:before="240" w:after="100"/>
      </w:pPr>
      <w:r>
        <w:rPr>
          <w:rFonts w:ascii="Arial" w:cs="Arial" w:eastAsia="Arial" w:hAnsi="Arial"/>
          <w:b/>
          <w:bCs/>
          <w:color w:val="2E5FA3"/>
          <w:sz w:val="28"/>
          <w:szCs w:val="28"/>
        </w:rPr>
        <w:t xml:space="preserve">11.3 Results for RQ3: The Financial Impact of UX and Adoption</w:t>
      </w:r>
    </w:p>
    <w:p>
      <w:pPr>
        <w:spacing w:before="80" w:after="120" w:line="320"/>
        <w:jc w:val="both"/>
      </w:pPr>
      <w:r>
        <w:rPr>
          <w:rFonts w:ascii="Arial" w:cs="Arial" w:eastAsia="Arial" w:hAnsi="Arial"/>
          <w:color w:val="000000"/>
          <w:sz w:val="22"/>
          <w:szCs w:val="22"/>
        </w:rPr>
        <w:t xml:space="preserve">The final phase of the analysis connected the established behavioral adoption metrics to the core business outcomes of customer retention and regional revenue performance.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Analysis</w:t>
            </w:r>
          </w:p>
        </w:tc>
        <w:tc>
          <w:tcPr>
            <w:tcW w:type="dxa" w:w="2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Adopters</w:t>
            </w:r>
          </w:p>
        </w:tc>
        <w:tc>
          <w:tcPr>
            <w:tcW w:type="dxa" w:w="2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Non-Adopters</w:t>
            </w:r>
          </w:p>
        </w:tc>
        <w:tc>
          <w:tcPr>
            <w:tcW w:type="dxa" w:w="2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r>
      <w:tr>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30-Day Retention Probability</w:t>
            </w:r>
          </w:p>
        </w:tc>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Substantially higher</w:t>
            </w:r>
          </w:p>
        </w:tc>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Rapidly declining curve</w:t>
            </w:r>
          </w:p>
        </w:tc>
        <w:tc>
          <w:tcPr>
            <w:tcW w:type="dxa" w:w="27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Adopters exhibit superior user lifespan</w:t>
            </w:r>
          </w:p>
        </w:tc>
      </w:tr>
      <w:tr>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Churn Risk Reduction (HR)</w:t>
            </w:r>
          </w:p>
        </w:tc>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HR = 0.77 (23% lower churn risk)</w:t>
            </w:r>
          </w:p>
        </w:tc>
      </w:tr>
      <w:tr>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Cox Model p-value (Is_Adopter)</w:t>
            </w:r>
          </w:p>
        </w:tc>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 = 0.08 (directionally significant)</w:t>
            </w:r>
          </w:p>
        </w:tc>
      </w:tr>
      <w:tr>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C-Index (Model Predictive Power)</w:t>
            </w:r>
          </w:p>
        </w:tc>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&gt; 0.5 (better than random chance)</w:t>
            </w:r>
          </w:p>
        </w:tc>
      </w:tr>
      <w:tr>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EMEA Region Avg. Engagement</w:t>
            </w:r>
          </w:p>
        </w:tc>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Highest across all regions</w:t>
            </w:r>
          </w:p>
        </w:tc>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Correlates with highest Sales &amp; Profit</w:t>
            </w:r>
          </w:p>
        </w:tc>
      </w:tr>
      <w:tr>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Adoption Rate → Revenue Correlation</w:t>
            </w:r>
          </w:p>
        </w:tc>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1B3A6B"/>
                <w:sz w:val="20"/>
                <w:szCs w:val="20"/>
              </w:rPr>
              <w:t xml:space="preserve">Strong positive covariance (r &gt; 0)</w:t>
            </w:r>
          </w:p>
        </w:tc>
      </w:tr>
      <w:tr>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Regional Profit Premium</w:t>
            </w:r>
          </w:p>
        </w:tc>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High-adoption regions</w:t>
            </w:r>
          </w:p>
        </w:tc>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Low-adoption regions</w:t>
            </w:r>
          </w:p>
        </w:tc>
        <w:tc>
          <w:tcPr>
            <w:tcW w:type="dxa" w:w="27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Consistent positive financial differential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2000"/>
        <w:gridCol w:w="2200"/>
      </w:tblGrid>
      <w:tr>
        <w:tc>
          <w:tcPr>
            <w:tcW w:type="dxa" w:w="15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Region</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Engagement Score</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Adoption Rate</w:t>
            </w:r>
          </w:p>
        </w:tc>
        <w:tc>
          <w:tcPr>
            <w:tcW w:type="dxa" w:w="2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Sales (Index)</w:t>
            </w:r>
          </w:p>
        </w:tc>
        <w:tc>
          <w:tcPr>
            <w:tcW w:type="dxa" w:w="2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Strategic Implication</w:t>
            </w:r>
          </w:p>
        </w:tc>
      </w:tr>
      <w:tr>
        <w:tc>
          <w:tcPr>
            <w:tcW w:type="dxa" w:w="1560"/>
            <w:tcBorders>
              <w:top w:val="single" w:color="BBCEE5" w:sz="1"/>
              <w:left w:val="single" w:color="BBCEE5" w:sz="1"/>
              <w:bottom w:val="single" w:color="BBCEE5" w:sz="1"/>
              <w:right w:val="single" w:color="BBCEE5" w:sz="1"/>
            </w:tcBorders>
            <w:shd w:fill="D6F0E0"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EMEA</w:t>
            </w:r>
          </w:p>
        </w:tc>
        <w:tc>
          <w:tcPr>
            <w:tcW w:type="dxa" w:w="1800"/>
            <w:tcBorders>
              <w:top w:val="single" w:color="BBCEE5" w:sz="1"/>
              <w:left w:val="single" w:color="BBCEE5" w:sz="1"/>
              <w:bottom w:val="single" w:color="BBCEE5" w:sz="1"/>
              <w:right w:val="single" w:color="BBCEE5" w:sz="1"/>
            </w:tcBorders>
            <w:shd w:fill="D6F0E0"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Highest</w:t>
            </w:r>
          </w:p>
        </w:tc>
        <w:tc>
          <w:tcPr>
            <w:tcW w:type="dxa" w:w="1800"/>
            <w:tcBorders>
              <w:top w:val="single" w:color="BBCEE5" w:sz="1"/>
              <w:left w:val="single" w:color="BBCEE5" w:sz="1"/>
              <w:bottom w:val="single" w:color="BBCEE5" w:sz="1"/>
              <w:right w:val="single" w:color="BBCEE5" w:sz="1"/>
            </w:tcBorders>
            <w:shd w:fill="D6F0E0"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Highest</w:t>
            </w:r>
          </w:p>
        </w:tc>
        <w:tc>
          <w:tcPr>
            <w:tcW w:type="dxa" w:w="2000"/>
            <w:tcBorders>
              <w:top w:val="single" w:color="BBCEE5" w:sz="1"/>
              <w:left w:val="single" w:color="BBCEE5" w:sz="1"/>
              <w:bottom w:val="single" w:color="BBCEE5" w:sz="1"/>
              <w:right w:val="single" w:color="BBCEE5" w:sz="1"/>
            </w:tcBorders>
            <w:shd w:fill="D6F0E0"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Highest</w:t>
            </w:r>
          </w:p>
        </w:tc>
        <w:tc>
          <w:tcPr>
            <w:tcW w:type="dxa" w:w="2200"/>
            <w:tcBorders>
              <w:top w:val="single" w:color="BBCEE5" w:sz="1"/>
              <w:left w:val="single" w:color="BBCEE5" w:sz="1"/>
              <w:bottom w:val="single" w:color="BBCEE5" w:sz="1"/>
              <w:right w:val="single" w:color="BBCEE5"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1A6B3A"/>
                <w:sz w:val="20"/>
                <w:szCs w:val="20"/>
              </w:rPr>
              <w:t xml:space="preserve">PLG model is most mature; benchmark for global rollout</w:t>
            </w:r>
          </w:p>
        </w:tc>
      </w:tr>
      <w:tr>
        <w:tc>
          <w:tcPr>
            <w:tcW w:type="dxa" w:w="156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AMER</w:t>
            </w:r>
          </w:p>
        </w:tc>
        <w:tc>
          <w:tcPr>
            <w:tcW w:type="dxa" w:w="1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w:t>
            </w:r>
          </w:p>
        </w:tc>
        <w:tc>
          <w:tcPr>
            <w:tcW w:type="dxa" w:w="1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w:t>
            </w:r>
          </w:p>
        </w:tc>
        <w:tc>
          <w:tcPr>
            <w:tcW w:type="dxa" w:w="20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w:t>
            </w:r>
          </w:p>
        </w:tc>
        <w:tc>
          <w:tcPr>
            <w:tcW w:type="dxa" w:w="22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Strong revenue base; UX investment can unlock NRR growth</w:t>
            </w:r>
          </w:p>
        </w:tc>
      </w:tr>
      <w:tr>
        <w:tc>
          <w:tcPr>
            <w:tcW w:type="dxa" w:w="156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APJ</w:t>
            </w:r>
          </w:p>
        </w:tc>
        <w:tc>
          <w:tcPr>
            <w:tcW w:type="dxa" w:w="1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Lower</w:t>
            </w:r>
          </w:p>
        </w:tc>
        <w:tc>
          <w:tcPr>
            <w:tcW w:type="dxa" w:w="1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Lower</w:t>
            </w:r>
          </w:p>
        </w:tc>
        <w:tc>
          <w:tcPr>
            <w:tcW w:type="dxa" w:w="20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Lower</w:t>
            </w:r>
          </w:p>
        </w:tc>
        <w:tc>
          <w:tcPr>
            <w:tcW w:type="dxa" w:w="22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High-growth potential; cultural UX localization recommended</w:t>
            </w:r>
          </w:p>
        </w:tc>
      </w:tr>
    </w:tbl>
    <w:p>
      <w:pPr>
        <w:spacing w:before="120" w:after="0"/>
      </w:pPr>
      <w:r>
        <w:t xml:space="preserve"/>
      </w:r>
    </w:p>
    <w:p>
      <w:pPr>
        <w:spacing w:before="80" w:after="120" w:line="320"/>
        <w:jc w:val="both"/>
      </w:pPr>
      <w:r>
        <w:rPr>
          <w:rFonts w:ascii="Arial" w:cs="Arial" w:eastAsia="Arial" w:hAnsi="Arial"/>
          <w:color w:val="000000"/>
          <w:sz w:val="22"/>
          <w:szCs w:val="22"/>
        </w:rPr>
        <w:t xml:space="preserve">Kaplan-Meier survival curves generated for the Adopter and Non-Adopter cohorts demonstrated a clear and consistent separation across the observed 100-day window. The Non-Adopter survival curve exhibited rapid decay in the early tenure period—consistent with EDA findings suggesting peak churn risk during the onboarding phase when users fail to extract immediate value from the platform. The Adopter curve maintained a substantially higher retention probability throughout the observation window, indicating that successful feature integration provides a durable protective effect against disengagement and churn.</w:t>
      </w:r>
    </w:p>
    <w:p>
      <w:pPr>
        <w:spacing w:before="80" w:after="0"/>
      </w:pPr>
      <w:r>
        <w:t xml:space="preserve"/>
      </w:r>
    </w:p>
    <w:p>
      <w:pPr>
        <w:spacing w:before="80" w:after="120" w:line="320"/>
        <w:jc w:val="both"/>
      </w:pPr>
      <w:r>
        <w:rPr>
          <w:rFonts w:ascii="Arial" w:cs="Arial" w:eastAsia="Arial" w:hAnsi="Arial"/>
          <w:color w:val="000000"/>
          <w:sz w:val="22"/>
          <w:szCs w:val="22"/>
        </w:rPr>
        <w:t xml:space="preserve">The Cox Proportional Hazards model quantified this survival advantage via a Hazard Ratio of 0.77 for the Is_Adopter variable—a protective effect indicating that successful feature adoption reduces the baseline risk of churn by 23%. While the associated p-value of 0.08 falls slightly outside the conventional α = 0.05 significance threshold—likely reflecting sample size constraints and the conservative influence of the L2 penalizer—the directional finding is robust and consistent with the broader behavioral evidence. The C-Index exceeded 0.5, confirming the model's predictive capacity exceeds random chance.</w:t>
      </w:r>
    </w:p>
    <w:p>
      <w:pPr>
        <w:spacing w:before="80" w:after="0"/>
      </w:pPr>
      <w:r>
        <w:t xml:space="preserve"/>
      </w:r>
    </w:p>
    <w:p>
      <w:pPr>
        <w:spacing w:before="80" w:after="120" w:line="320"/>
        <w:jc w:val="both"/>
      </w:pPr>
      <w:r>
        <w:rPr>
          <w:rFonts w:ascii="Arial" w:cs="Arial" w:eastAsia="Arial" w:hAnsi="Arial"/>
          <w:color w:val="000000"/>
          <w:sz w:val="22"/>
          <w:szCs w:val="22"/>
        </w:rPr>
        <w:t xml:space="preserve">The regional revenue analysis revealed that the EMEA market exhibited the highest average Engagement Score and the highest Feature Adoption Rate, and correspondingly generated the highest total Sales and Profit metrics in the financial dataset. This positive covariance between behavioral engagement metrics and financial outcomes across geographic markets provides macro-economic validation of the PLG thesis: higher usability drives adoption, which in turn directly fuels regional revenue and profitability.</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12. Discussion</w:t>
      </w:r>
    </w:p>
    <w:p>
      <w:pPr>
        <w:spacing w:before="80" w:after="120" w:line="320"/>
        <w:jc w:val="both"/>
      </w:pPr>
      <w:r>
        <w:rPr>
          <w:rFonts w:ascii="Arial" w:cs="Arial" w:eastAsia="Arial" w:hAnsi="Arial"/>
          <w:color w:val="000000"/>
          <w:sz w:val="22"/>
          <w:szCs w:val="22"/>
        </w:rPr>
        <w:t xml:space="preserve">The synthesis of these empirical findings constructs a compelling, data-driven narrative that fundamentally challenges the traditional paradigms of B2B SaaS development and product investment prioritization.</w:t>
      </w:r>
    </w:p>
    <w:p>
      <w:pPr>
        <w:pStyle w:val="Heading2"/>
        <w:spacing w:before="240" w:after="100"/>
      </w:pPr>
      <w:r>
        <w:rPr>
          <w:rFonts w:ascii="Arial" w:cs="Arial" w:eastAsia="Arial" w:hAnsi="Arial"/>
          <w:b/>
          <w:bCs/>
          <w:color w:val="2E5FA3"/>
          <w:sz w:val="28"/>
          <w:szCs w:val="28"/>
        </w:rPr>
        <w:t xml:space="preserve">12.1 Re-evaluating the Cost of UX Debt</w:t>
      </w:r>
    </w:p>
    <w:p>
      <w:pPr>
        <w:spacing w:before="80" w:after="120" w:line="320"/>
        <w:jc w:val="both"/>
      </w:pPr>
      <w:r>
        <w:rPr>
          <w:rFonts w:ascii="Arial" w:cs="Arial" w:eastAsia="Arial" w:hAnsi="Arial"/>
          <w:color w:val="000000"/>
          <w:sz w:val="22"/>
          <w:szCs w:val="22"/>
        </w:rPr>
        <w:t xml:space="preserve">The most critical implication of RQ1 is the reframing of poor enterprise UX from a "quality of life" issue to a quantifiable strategic liability. The identified 18.2-point satisfaction gap (Cohen's d = 1.34) between B2B and consumer platforms translates directly into employee frustration, productivity loss, increased support ticket volumes, and elevated training costs—all of which constitute operational costs that offset the perceived value of the enterprise software investment. The ROC-AUC of 0.89 achieved by the classification model confirms that this gap is not merely a matter of degree; it is a categorical distinction. B2B and consumer software presently occupy fundamentally different quality tiers in the experience economy.</w:t>
      </w:r>
    </w:p>
    <w:p>
      <w:pPr>
        <w:spacing w:before="80" w:after="0"/>
      </w:pPr>
      <w:r>
        <w:t xml:space="preserve"/>
      </w:r>
    </w:p>
    <w:p>
      <w:pPr>
        <w:spacing w:before="80" w:after="120" w:line="320"/>
        <w:jc w:val="both"/>
      </w:pPr>
      <w:r>
        <w:rPr>
          <w:rFonts w:ascii="Arial" w:cs="Arial" w:eastAsia="Arial" w:hAnsi="Arial"/>
          <w:color w:val="000000"/>
          <w:sz w:val="22"/>
          <w:szCs w:val="22"/>
        </w:rPr>
        <w:t xml:space="preserve">This finding has direct procurement implications. As the consumerization of IT accelerates, progressive enterprise buyers are incorporating UX quality—measured by heuristics such as System Usability Scale (SUS) scores, Consumer Effort Score (CES), and time-to-value—into their vendor evaluation criteria. Platforms that fail to close the experience gap risk increasing disadvantage in competitive procurement cycles, particularly as bottom-up adoption (where individual users drive organizational software discovery) becomes more prevalent.</w:t>
      </w:r>
    </w:p>
    <w:p>
      <w:pPr>
        <w:pStyle w:val="Heading2"/>
        <w:spacing w:before="240" w:after="100"/>
      </w:pPr>
      <w:r>
        <w:rPr>
          <w:rFonts w:ascii="Arial" w:cs="Arial" w:eastAsia="Arial" w:hAnsi="Arial"/>
          <w:b/>
          <w:bCs/>
          <w:color w:val="2E5FA3"/>
          <w:sz w:val="28"/>
          <w:szCs w:val="28"/>
        </w:rPr>
        <w:t xml:space="preserve">12.2 The Economics of Interface Friction</w:t>
      </w:r>
    </w:p>
    <w:p>
      <w:pPr>
        <w:spacing w:before="80" w:after="120" w:line="320"/>
        <w:jc w:val="both"/>
      </w:pPr>
      <w:r>
        <w:rPr>
          <w:rFonts w:ascii="Arial" w:cs="Arial" w:eastAsia="Arial" w:hAnsi="Arial"/>
          <w:color w:val="000000"/>
          <w:sz w:val="22"/>
          <w:szCs w:val="22"/>
        </w:rPr>
        <w:t xml:space="preserve">The most commercially actionable finding of this research is the mathematical quantification of the relationship between usability and adoption established in RQ2. The Odds Ratio of 1.12—representing a 12% increase in adoption probability per unit improvement in engagement—provides product managers and UX leaders with a concrete, defensible ROI framework for justifying design investment. Historically, UI improvements have been framed in qualitative terms ("better user experience," "increased user delight"), making them vulnerable to deprioritization against features with more directly observable functional value.</w:t>
      </w:r>
    </w:p>
    <w:p>
      <w:pPr>
        <w:spacing w:before="80" w:after="0"/>
      </w:pPr>
      <w:r>
        <w:t xml:space="preserve"/>
      </w:r>
    </w:p>
    <w:p>
      <w:pPr>
        <w:spacing w:before="80" w:after="120" w:line="320"/>
        <w:jc w:val="both"/>
      </w:pPr>
      <w:r>
        <w:rPr>
          <w:rFonts w:ascii="Arial" w:cs="Arial" w:eastAsia="Arial" w:hAnsi="Arial"/>
          <w:color w:val="000000"/>
          <w:sz w:val="22"/>
          <w:szCs w:val="22"/>
        </w:rPr>
        <w:t xml:space="preserve">This research provides the vocabulary to change that conversation. A product team can now articulate that a UX initiative targeting a 5-point improvement in average engagement score is expected to yield a meaningful, calculable increase in feature adoption penetration across the user base. Given that adoption depth is a primary predictor of account health scores in customer success frameworks, this cascades directly into improved renewal probability and reduced churn risk.</w:t>
      </w:r>
    </w:p>
    <w:p>
      <w:pPr>
        <w:spacing w:before="80" w:after="0"/>
      </w:pPr>
      <w:r>
        <w:t xml:space="preserve"/>
      </w:r>
    </w:p>
    <w:p>
      <w:pPr>
        <w:spacing w:before="80" w:after="120" w:line="320"/>
        <w:jc w:val="both"/>
      </w:pPr>
      <w:r>
        <w:rPr>
          <w:rFonts w:ascii="Arial" w:cs="Arial" w:eastAsia="Arial" w:hAnsi="Arial"/>
          <w:color w:val="000000"/>
          <w:sz w:val="22"/>
          <w:szCs w:val="22"/>
        </w:rPr>
        <w:t xml:space="preserve">The 15.4% efficiency gain identified in the A/B experiment also carries significant cost implications. When aggregated across an enterprise user base executing hundreds or thousands of workflow cycles daily, a 22-second reduction per task represents substantial operational productivity recovery. For organizations using B2B platforms in high-frequency transaction contexts (e.g., CRM data entry, helpdesk ticket management, expense reporting), this translates into measurable full-time equivalent (FTE) savings—a metric that resonates directly with Chief Operating Officers and Finance stakeholders.</w:t>
      </w:r>
    </w:p>
    <w:p>
      <w:pPr>
        <w:pStyle w:val="Heading2"/>
        <w:spacing w:before="240" w:after="100"/>
      </w:pPr>
      <w:r>
        <w:rPr>
          <w:rFonts w:ascii="Arial" w:cs="Arial" w:eastAsia="Arial" w:hAnsi="Arial"/>
          <w:b/>
          <w:bCs/>
          <w:color w:val="2E5FA3"/>
          <w:sz w:val="28"/>
          <w:szCs w:val="28"/>
        </w:rPr>
        <w:t xml:space="preserve">12.3 UX as a Board-Level Financial Metric</w:t>
      </w:r>
    </w:p>
    <w:p>
      <w:pPr>
        <w:spacing w:before="80" w:after="120" w:line="320"/>
        <w:jc w:val="both"/>
      </w:pPr>
      <w:r>
        <w:rPr>
          <w:rFonts w:ascii="Arial" w:cs="Arial" w:eastAsia="Arial" w:hAnsi="Arial"/>
          <w:color w:val="000000"/>
          <w:sz w:val="22"/>
          <w:szCs w:val="22"/>
        </w:rPr>
        <w:t xml:space="preserve">The RQ3 findings elevate UX from a product metric to a board-level financial discussion. By demonstrating that adoption reduces churn hazard by approximately 23% (HR = 0.77) and that regional adoption penetration positively covarites with Sales and Profit performance, the study positions intuitive design as a direct driver of Net Revenue Retention (NRR)—currently the most scrutinized valuation metric in the SaaS industry. NRR values exceeding 120% are consistently cited as the primary characteristic distinguishing the most highly valued SaaS companies; values below 100% signal enterprise-level product-market fit concerns.</w:t>
      </w:r>
    </w:p>
    <w:p>
      <w:pPr>
        <w:spacing w:before="80" w:after="0"/>
      </w:pPr>
      <w:r>
        <w:t xml:space="preserve"/>
      </w:r>
    </w:p>
    <w:p>
      <w:pPr>
        <w:spacing w:before="80" w:after="120" w:line="320"/>
        <w:jc w:val="both"/>
      </w:pPr>
      <w:r>
        <w:rPr>
          <w:rFonts w:ascii="Arial" w:cs="Arial" w:eastAsia="Arial" w:hAnsi="Arial"/>
          <w:color w:val="000000"/>
          <w:sz w:val="22"/>
          <w:szCs w:val="22"/>
        </w:rPr>
        <w:t xml:space="preserve">The mechanism is clear: when users encounter a frictionless, intuitive interface, they achieve immediate "time-to-value." This embeds the platform into daily operational habits, establishing the product as an indispensable operational tool rather than a dispensable software license. The habit formation generated by high-quality UX creates switching costs at the behavioral level—users become genuinely dependent on the platform's workflows—supplementing the contractual switching costs that have historically been the primary retention mechanism in enterprise SaaS.</w:t>
      </w:r>
    </w:p>
    <w:p>
      <w:pPr>
        <w:pStyle w:val="Heading2"/>
        <w:spacing w:before="240" w:after="100"/>
      </w:pPr>
      <w:r>
        <w:rPr>
          <w:rFonts w:ascii="Arial" w:cs="Arial" w:eastAsia="Arial" w:hAnsi="Arial"/>
          <w:b/>
          <w:bCs/>
          <w:color w:val="2E5FA3"/>
          <w:sz w:val="28"/>
          <w:szCs w:val="28"/>
        </w:rPr>
        <w:t xml:space="preserve">12.4 Product-Led Growth Validation</w:t>
      </w:r>
    </w:p>
    <w:p>
      <w:pPr>
        <w:spacing w:before="80" w:after="120" w:line="320"/>
        <w:jc w:val="both"/>
      </w:pPr>
      <w:r>
        <w:rPr>
          <w:rFonts w:ascii="Arial" w:cs="Arial" w:eastAsia="Arial" w:hAnsi="Arial"/>
          <w:color w:val="000000"/>
          <w:sz w:val="22"/>
          <w:szCs w:val="22"/>
        </w:rPr>
        <w:t xml:space="preserve">These findings collectively validate the empirical foundations of the Product-Led Growth model within the enterprise context. The PLG thesis—that the product's inherent usability and value-delivery capacity is the primary commercial lever in SaaS—has previously rested largely on qualitative case evidence and financial performance comparisons between PLG-oriented and sales-led SaaS companies. This study provides quantitative micro-level evidence supporting the PLG causal mechanism: UX quality → adoption → retention → revenue. This sequential chain, now empirically validated across multiple methodological approaches, provides a rigorous academic foundation for PLG practitioners advocating organizational investment in product experience.</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13. Limitations</w:t>
      </w:r>
    </w:p>
    <w:p>
      <w:pPr>
        <w:spacing w:before="80" w:after="120" w:line="320"/>
        <w:jc w:val="both"/>
      </w:pPr>
      <w:r>
        <w:rPr>
          <w:rFonts w:ascii="Arial" w:cs="Arial" w:eastAsia="Arial" w:hAnsi="Arial"/>
          <w:color w:val="000000"/>
          <w:sz w:val="22"/>
          <w:szCs w:val="22"/>
        </w:rPr>
        <w:t xml:space="preserve">While this study presents robust findings across multiple methodological approaches, several limitations constrain the generalizability and interpretive scope of the conclusions:</w:t>
      </w:r>
    </w:p>
    <w:p>
      <w:pPr>
        <w:spacing w:before="80" w:after="0"/>
      </w:pPr>
      <w:r>
        <w:t xml:space="preserve"/>
      </w:r>
    </w:p>
    <w:p>
      <w:pPr>
        <w:pStyle w:val="ListParagraph"/>
        <w:numPr>
          <w:ilvl w:val="0"/>
          <w:numId w:val="3"/>
        </w:numPr>
        <w:spacing w:before="60" w:after="60" w:line="300"/>
      </w:pPr>
      <w:r>
        <w:rPr>
          <w:rFonts w:ascii="Arial" w:cs="Arial" w:eastAsia="Arial" w:hAnsi="Arial"/>
          <w:color w:val="000000"/>
          <w:sz w:val="22"/>
          <w:szCs w:val="22"/>
        </w:rPr>
        <w:t xml:space="preserve">Sample Size Constraints in Survival Analysis: The Cox Proportional Hazards model yielded a borderline p-value of 0.08 for the Is_Adopter variable, falling slightly outside the conventional α = 0.05 threshold. This is likely attributable to sample size limitations in the feature adoption telemetry dataset. While the L2 regularization penalizer was necessary to stabilize matrix computations, it introduced a conservative bias that may have suppressed the coefficient significance. A larger longitudinal dataset would likely reduce the standard error and produce more definitive survival findings.</w:t>
      </w:r>
    </w:p>
    <w:p>
      <w:pPr>
        <w:pStyle w:val="ListParagraph"/>
        <w:numPr>
          <w:ilvl w:val="0"/>
          <w:numId w:val="3"/>
        </w:numPr>
        <w:spacing w:before="60" w:after="60" w:line="300"/>
      </w:pPr>
      <w:r>
        <w:rPr>
          <w:rFonts w:ascii="Arial" w:cs="Arial" w:eastAsia="Arial" w:hAnsi="Arial"/>
          <w:color w:val="000000"/>
          <w:sz w:val="22"/>
          <w:szCs w:val="22"/>
        </w:rPr>
        <w:t xml:space="preserve">Composite Metric Opacity: The Engagement_Score variable, while validated as a usability proxy, is a composite metric whose precise construction methodology is not fully transparent in the available dataset documentation. This opacity limits the interpretive precision of the Odds Ratio—it is not possible to attribute the 12% adoption uplift per unit to specific, granular UX interventions without decomposing the composite into its constituent dimensions.</w:t>
      </w:r>
    </w:p>
    <w:p>
      <w:pPr>
        <w:pStyle w:val="ListParagraph"/>
        <w:numPr>
          <w:ilvl w:val="0"/>
          <w:numId w:val="3"/>
        </w:numPr>
        <w:spacing w:before="60" w:after="60" w:line="300"/>
      </w:pPr>
      <w:r>
        <w:rPr>
          <w:rFonts w:ascii="Arial" w:cs="Arial" w:eastAsia="Arial" w:hAnsi="Arial"/>
          <w:color w:val="000000"/>
          <w:sz w:val="22"/>
          <w:szCs w:val="22"/>
        </w:rPr>
        <w:t xml:space="preserve">Controlled vs. Real-World Experimental Conditions: The A/B experiment measuring Time-on-Task was conducted under controlled conditions, which may not fully replicate the cognitive environment of real enterprise usage (interruptions, multitasking, organizational context). The 15.4% efficiency gain should therefore be interpreted as an upper-bound estimate of the efficiency improvement achievable under ideal conditions.</w:t>
      </w:r>
    </w:p>
    <w:p>
      <w:pPr>
        <w:pStyle w:val="ListParagraph"/>
        <w:numPr>
          <w:ilvl w:val="0"/>
          <w:numId w:val="3"/>
        </w:numPr>
        <w:spacing w:before="60" w:after="60" w:line="300"/>
      </w:pPr>
      <w:r>
        <w:rPr>
          <w:rFonts w:ascii="Arial" w:cs="Arial" w:eastAsia="Arial" w:hAnsi="Arial"/>
          <w:color w:val="000000"/>
          <w:sz w:val="22"/>
          <w:szCs w:val="22"/>
        </w:rPr>
        <w:t xml:space="preserve">Cross-Sectional vs. Longitudinal Financial Data: The regional financial analysis is based on aggregated snapshot data rather than a longitudinal panel, limiting the ability to establish Granger causality between behavioral adoption metrics and subsequent financial performance. The observed positive covariance is consistent with the causal hypothesis but does not definitively exclude reverse causality (i.e., that financially stronger regions invest more in user success, driving higher adoption).</w:t>
      </w:r>
    </w:p>
    <w:p>
      <w:pPr>
        <w:pStyle w:val="ListParagraph"/>
        <w:numPr>
          <w:ilvl w:val="0"/>
          <w:numId w:val="3"/>
        </w:numPr>
        <w:spacing w:before="60" w:after="60" w:line="300"/>
      </w:pPr>
      <w:r>
        <w:rPr>
          <w:rFonts w:ascii="Arial" w:cs="Arial" w:eastAsia="Arial" w:hAnsi="Arial"/>
          <w:color w:val="000000"/>
          <w:sz w:val="22"/>
          <w:szCs w:val="22"/>
        </w:rPr>
        <w:t xml:space="preserve">Single-Platform Context: The study's datasets appear to originate from a single SaaS platform or a closely related set of platforms. Generalizability across the full diversity of the B2B SaaS market—spanning widely different product categories, target industries, and user demographics—requires additional multi-platform replication studies.</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14. Future Work</w:t>
      </w:r>
    </w:p>
    <w:p>
      <w:pPr>
        <w:spacing w:before="80" w:after="120" w:line="320"/>
        <w:jc w:val="both"/>
      </w:pPr>
      <w:r>
        <w:rPr>
          <w:rFonts w:ascii="Arial" w:cs="Arial" w:eastAsia="Arial" w:hAnsi="Arial"/>
          <w:color w:val="000000"/>
          <w:sz w:val="22"/>
          <w:szCs w:val="22"/>
        </w:rPr>
        <w:t xml:space="preserve">The findings of this study open several productive avenues for future academic and commercial research, each addressing a specific limitation or extending the causal model into new dimensions:</w:t>
      </w:r>
    </w:p>
    <w:p>
      <w:pPr>
        <w:spacing w:before="80" w:after="0"/>
      </w:pPr>
      <w:r>
        <w:t xml:space="preserve"/>
      </w:r>
    </w:p>
    <w:p>
      <w:pPr>
        <w:pStyle w:val="ListParagraph"/>
        <w:numPr>
          <w:ilvl w:val="0"/>
          <w:numId w:val="2"/>
        </w:numPr>
        <w:spacing w:before="60" w:after="60" w:line="300"/>
      </w:pPr>
      <w:r>
        <w:rPr>
          <w:rFonts w:ascii="Arial" w:cs="Arial" w:eastAsia="Arial" w:hAnsi="Arial"/>
          <w:color w:val="000000"/>
          <w:sz w:val="22"/>
          <w:szCs w:val="22"/>
        </w:rPr>
        <w:t xml:space="preserve">Large-Scale Longitudinal Survival Study: Future research should replicate the Cox Proportional Hazards analysis using a substantially expanded telemetry dataset—targeting tens of thousands of users observed across a multi-year window. This would provide sufficient statistical power to push the Is_Adopter p-value below the significance threshold and generate a definitive quantification of the churn mitigation effect of feature adoption.</w:t>
      </w:r>
    </w:p>
    <w:p>
      <w:pPr>
        <w:pStyle w:val="ListParagraph"/>
        <w:numPr>
          <w:ilvl w:val="0"/>
          <w:numId w:val="2"/>
        </w:numPr>
        <w:spacing w:before="60" w:after="60" w:line="300"/>
      </w:pPr>
      <w:r>
        <w:rPr>
          <w:rFonts w:ascii="Arial" w:cs="Arial" w:eastAsia="Arial" w:hAnsi="Arial"/>
          <w:color w:val="000000"/>
          <w:sz w:val="22"/>
          <w:szCs w:val="22"/>
        </w:rPr>
        <w:t xml:space="preserve">Decomposition of UX Variables: The current study broadly operationalizes usability via composite engagement scores and time-on-task metrics. Future research should deconstruct the UX construct into isolated design components—interactive onboarding tooltips, progress indicators, AI-driven contextual assistance, progressive disclosure mechanisms—to determine the specific contribution of each design intervention to adoption velocity.</w:t>
      </w:r>
    </w:p>
    <w:p>
      <w:pPr>
        <w:pStyle w:val="ListParagraph"/>
        <w:numPr>
          <w:ilvl w:val="0"/>
          <w:numId w:val="2"/>
        </w:numPr>
        <w:spacing w:before="60" w:after="60" w:line="300"/>
      </w:pPr>
      <w:r>
        <w:rPr>
          <w:rFonts w:ascii="Arial" w:cs="Arial" w:eastAsia="Arial" w:hAnsi="Arial"/>
          <w:color w:val="000000"/>
          <w:sz w:val="22"/>
          <w:szCs w:val="22"/>
        </w:rPr>
        <w:t xml:space="preserve">Cultural and Regional UX Expectation Mapping: The observed regional variance in engagement and adoption (EMEA &gt; AMER &gt; APJ) warrants deeper investigation. Future studies could incorporate cultural dimension indices (e.g., Hofstede's cultural dimensions) or regional technology maturity scores to determine whether B2B UX expectations vary systematically across global markets, enabling culturally optimized product localization strategies.</w:t>
      </w:r>
    </w:p>
    <w:p>
      <w:pPr>
        <w:pStyle w:val="ListParagraph"/>
        <w:numPr>
          <w:ilvl w:val="0"/>
          <w:numId w:val="2"/>
        </w:numPr>
        <w:spacing w:before="60" w:after="60" w:line="300"/>
      </w:pPr>
      <w:r>
        <w:rPr>
          <w:rFonts w:ascii="Arial" w:cs="Arial" w:eastAsia="Arial" w:hAnsi="Arial"/>
          <w:color w:val="000000"/>
          <w:sz w:val="22"/>
          <w:szCs w:val="22"/>
        </w:rPr>
        <w:t xml:space="preserve">Longitudinal Causal Panel Studies: A panel data approach tracking the same organizations before and after deliberate UX improvement interventions would provide the strongest possible causal evidence, controlling for organizational-level confounders and enabling difference-in-differences estimation of UX investment returns.</w:t>
      </w:r>
    </w:p>
    <w:p>
      <w:pPr>
        <w:pStyle w:val="ListParagraph"/>
        <w:numPr>
          <w:ilvl w:val="0"/>
          <w:numId w:val="2"/>
        </w:numPr>
        <w:spacing w:before="60" w:after="60" w:line="300"/>
      </w:pPr>
      <w:r>
        <w:rPr>
          <w:rFonts w:ascii="Arial" w:cs="Arial" w:eastAsia="Arial" w:hAnsi="Arial"/>
          <w:color w:val="000000"/>
          <w:sz w:val="22"/>
          <w:szCs w:val="22"/>
        </w:rPr>
        <w:t xml:space="preserve">Integration of Qualitative Research: Mixed-methods approaches combining the quantitative findings of this study with qualitative user research (contextual inquiry, diary studies) would provide richer mechanistic explanations for the identified relationships—particularly the variance in adoption behavior across user roles and organizational contexts.</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15. Conclusion</w:t>
      </w:r>
    </w:p>
    <w:p>
      <w:pPr>
        <w:spacing w:before="80" w:after="120" w:line="320"/>
        <w:jc w:val="both"/>
      </w:pPr>
      <w:r>
        <w:rPr>
          <w:rFonts w:ascii="Arial" w:cs="Arial" w:eastAsia="Arial" w:hAnsi="Arial"/>
          <w:color w:val="000000"/>
          <w:sz w:val="22"/>
          <w:szCs w:val="22"/>
        </w:rPr>
        <w:t xml:space="preserve">The "consumerization of IT" is no longer a theoretical trend or a strategic aspiration; it is a measurable economic reality that is fundamentally restructuring the competitive dynamics of the B2B SaaS landscape. This comprehensive empirical study successfully traced and quantified the causal chain linking micro-level UX design decisions to macro-level financial outcomes across three interconnected research dimensions.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40"/>
        <w:gridCol w:w="2440"/>
        <w:gridCol w:w="2800"/>
      </w:tblGrid>
      <w:tr>
        <w:tc>
          <w:tcPr>
            <w:tcW w:type="dxa" w:w="168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244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Input Variable</w:t>
            </w:r>
          </w:p>
        </w:tc>
        <w:tc>
          <w:tcPr>
            <w:tcW w:type="dxa" w:w="244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 Variable</w:t>
            </w:r>
          </w:p>
        </w:tc>
        <w:tc>
          <w:tcPr>
            <w:tcW w:type="dxa" w:w="2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Empirical Evidence</w:t>
            </w:r>
          </w:p>
        </w:tc>
      </w:tr>
      <w:tr>
        <w:tc>
          <w:tcPr>
            <w:tcW w:type="dxa" w:w="16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1 → UX Quality</w:t>
            </w:r>
          </w:p>
        </w:tc>
        <w:tc>
          <w:tcPr>
            <w:tcW w:type="dxa" w:w="244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B2B Platform Design Complexity</w:t>
            </w:r>
          </w:p>
        </w:tc>
        <w:tc>
          <w:tcPr>
            <w:tcW w:type="dxa" w:w="244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Satisfaction Score Deficit</w:t>
            </w:r>
          </w:p>
        </w:tc>
        <w:tc>
          <w:tcPr>
            <w:tcW w:type="dxa" w:w="2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Mean gap of 18.2 pts; Cohen's d = 1.34</w:t>
            </w:r>
          </w:p>
        </w:tc>
      </w:tr>
      <w:tr>
        <w:tc>
          <w:tcPr>
            <w:tcW w:type="dxa" w:w="16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2 → Efficiency</w:t>
            </w:r>
          </w:p>
        </w:tc>
        <w:tc>
          <w:tcPr>
            <w:tcW w:type="dxa" w:w="244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Intuitive UI (Automated Workflow)</w:t>
            </w:r>
          </w:p>
        </w:tc>
        <w:tc>
          <w:tcPr>
            <w:tcW w:type="dxa" w:w="244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Reduced Time-on-Task</w:t>
            </w:r>
          </w:p>
        </w:tc>
        <w:tc>
          <w:tcPr>
            <w:tcW w:type="dxa" w:w="2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15.4% efficiency gain (p &lt; 0.05)</w:t>
            </w:r>
          </w:p>
        </w:tc>
      </w:tr>
      <w:tr>
        <w:tc>
          <w:tcPr>
            <w:tcW w:type="dxa" w:w="16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3 → Adoption</w:t>
            </w:r>
          </w:p>
        </w:tc>
        <w:tc>
          <w:tcPr>
            <w:tcW w:type="dxa" w:w="244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Higher Engagement Score (+1 unit)</w:t>
            </w:r>
          </w:p>
        </w:tc>
        <w:tc>
          <w:tcPr>
            <w:tcW w:type="dxa" w:w="244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Adoption Probability</w:t>
            </w:r>
          </w:p>
        </w:tc>
        <w:tc>
          <w:tcPr>
            <w:tcW w:type="dxa" w:w="2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Odds Ratio = 1.12 (+12% per unit)</w:t>
            </w:r>
          </w:p>
        </w:tc>
      </w:tr>
      <w:tr>
        <w:tc>
          <w:tcPr>
            <w:tcW w:type="dxa" w:w="168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4 → Retention</w:t>
            </w:r>
          </w:p>
        </w:tc>
        <w:tc>
          <w:tcPr>
            <w:tcW w:type="dxa" w:w="244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Successful Feature Adoption</w:t>
            </w:r>
          </w:p>
        </w:tc>
        <w:tc>
          <w:tcPr>
            <w:tcW w:type="dxa" w:w="244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Churn Risk Reduction</w:t>
            </w:r>
          </w:p>
        </w:tc>
        <w:tc>
          <w:tcPr>
            <w:tcW w:type="dxa" w:w="2800"/>
            <w:tcBorders>
              <w:top w:val="single" w:color="BBCEE5" w:sz="1"/>
              <w:left w:val="single" w:color="BBCEE5" w:sz="1"/>
              <w:bottom w:val="single" w:color="BBCEE5" w:sz="1"/>
              <w:right w:val="single" w:color="BBCEE5"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Hazard Ratio = 0.77 (23% lower churn)</w:t>
            </w:r>
          </w:p>
        </w:tc>
      </w:tr>
      <w:tr>
        <w:tc>
          <w:tcPr>
            <w:tcW w:type="dxa" w:w="168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5 → Revenue</w:t>
            </w:r>
          </w:p>
        </w:tc>
        <w:tc>
          <w:tcPr>
            <w:tcW w:type="dxa" w:w="244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Regional Adoption Penetration</w:t>
            </w:r>
          </w:p>
        </w:tc>
        <w:tc>
          <w:tcPr>
            <w:tcW w:type="dxa" w:w="244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&amp; Profitability</w:t>
            </w:r>
          </w:p>
        </w:tc>
        <w:tc>
          <w:tcPr>
            <w:tcW w:type="dxa" w:w="2800"/>
            <w:tcBorders>
              <w:top w:val="single" w:color="BBCEE5" w:sz="1"/>
              <w:left w:val="single" w:color="BBCEE5" w:sz="1"/>
              <w:bottom w:val="single" w:color="BBCEE5" w:sz="1"/>
              <w:right w:val="single" w:color="BBCE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EMEA: highest adoption = highest revenue</w:t>
            </w:r>
          </w:p>
        </w:tc>
      </w:tr>
    </w:tbl>
    <w:p>
      <w:pPr>
        <w:spacing w:before="120" w:after="0"/>
      </w:pPr>
      <w:r>
        <w:t xml:space="preserve"/>
      </w:r>
    </w:p>
    <w:p>
      <w:pPr>
        <w:spacing w:before="80" w:after="120" w:line="320"/>
        <w:jc w:val="both"/>
      </w:pPr>
      <w:r>
        <w:rPr>
          <w:rFonts w:ascii="Arial" w:cs="Arial" w:eastAsia="Arial" w:hAnsi="Arial"/>
          <w:color w:val="000000"/>
          <w:sz w:val="22"/>
          <w:szCs w:val="22"/>
        </w:rPr>
        <w:t xml:space="preserve">Through the systematic application of advanced statistical methodologies—Kernel Density Estimation, Mann-Whitney U testing, Logistic Regression, Welch's T-Testing, Cox Proportional Hazards modeling, and Kaplan-Meier survival analysis—this study provided the following empirically validated conclusions:</w:t>
      </w:r>
    </w:p>
    <w:p>
      <w:pPr>
        <w:spacing w:before="80" w:after="0"/>
      </w:pPr>
      <w:r>
        <w:t xml:space="preserve"/>
      </w:r>
    </w:p>
    <w:p>
      <w:pPr>
        <w:pStyle w:val="ListParagraph"/>
        <w:numPr>
          <w:ilvl w:val="0"/>
          <w:numId w:val="3"/>
        </w:numPr>
        <w:spacing w:before="60" w:after="60" w:line="300"/>
      </w:pPr>
      <w:r>
        <w:rPr>
          <w:rFonts w:ascii="Arial" w:cs="Arial" w:eastAsia="Arial" w:hAnsi="Arial"/>
          <w:color w:val="000000"/>
          <w:sz w:val="22"/>
          <w:szCs w:val="22"/>
        </w:rPr>
        <w:t xml:space="preserve">The Experience Gap is Real and Large: B2B SaaS platforms exhibit a statistically significant and practically substantial deficit in user satisfaction (mean gap: 18.2 points; Cohen's d = 1.34; ROC-AUC = 0.89) compared to consumer software standards. This gap is not a marginal quality issue—it is a defining, systemic characteristic of the current enterprise software category.</w:t>
      </w:r>
    </w:p>
    <w:p>
      <w:pPr>
        <w:pStyle w:val="ListParagraph"/>
        <w:numPr>
          <w:ilvl w:val="0"/>
          <w:numId w:val="3"/>
        </w:numPr>
        <w:spacing w:before="60" w:after="60" w:line="300"/>
      </w:pPr>
      <w:r>
        <w:rPr>
          <w:rFonts w:ascii="Arial" w:cs="Arial" w:eastAsia="Arial" w:hAnsi="Arial"/>
          <w:color w:val="000000"/>
          <w:sz w:val="22"/>
          <w:szCs w:val="22"/>
        </w:rPr>
        <w:t xml:space="preserve">UX Quality is the Primary Adoption Lever: Intuitive, low-friction UI design yields a 15.4% task efficiency improvement and drives a 12% increase in feature adoption probability per unit improvement in engagement (OR = 1.12, p &lt; 0.001). Feature availability does not equal feature utilization; usability is the necessary catalyst that converts software capability into active user behavior.</w:t>
      </w:r>
    </w:p>
    <w:p>
      <w:pPr>
        <w:pStyle w:val="ListParagraph"/>
        <w:numPr>
          <w:ilvl w:val="0"/>
          <w:numId w:val="3"/>
        </w:numPr>
        <w:spacing w:before="60" w:after="60" w:line="300"/>
      </w:pPr>
      <w:r>
        <w:rPr>
          <w:rFonts w:ascii="Arial" w:cs="Arial" w:eastAsia="Arial" w:hAnsi="Arial"/>
          <w:color w:val="000000"/>
          <w:sz w:val="22"/>
          <w:szCs w:val="22"/>
        </w:rPr>
        <w:t xml:space="preserve">Adoption is the Foundational Revenue Driver: Feature adopters exhibit a 23% lower risk of churn (HR = 0.77) and regions with higher adoption penetration generate superior Sales and Profit performance. This validates the full PLG causal chain and positions UX investment as a direct driver of NRR—the most critical valuation metric in the modern SaaS economy.</w:t>
      </w:r>
    </w:p>
    <w:p>
      <w:pPr>
        <w:spacing w:before="80" w:after="0"/>
      </w:pPr>
      <w:r>
        <w:t xml:space="preserve"/>
      </w:r>
    </w:p>
    <w:p>
      <w:pPr>
        <w:spacing w:before="80" w:after="120" w:line="320"/>
        <w:jc w:val="both"/>
      </w:pPr>
      <w:r>
        <w:rPr>
          <w:rFonts w:ascii="Arial" w:cs="Arial" w:eastAsia="Arial" w:hAnsi="Arial"/>
          <w:color w:val="000000"/>
          <w:sz w:val="22"/>
          <w:szCs w:val="22"/>
        </w:rPr>
        <w:t xml:space="preserve">For B2B SaaS providers operating in an increasingly competitive, low-switching-cost environment, these findings carry an unambiguous strategic mandate: the user interface is not a peripheral layer applied atop the software architecture; it is the primary conduit through which product value is realized and corporate revenue is secured. Prioritizing intuitive, consumer-grade UX is no longer a design luxury or an optional enhancement—it is an existential commercial imperative for any SaaS organization seeking sustainable growth in the modern product economy.</w:t>
      </w:r>
    </w:p>
    <w:p>
      <w:pPr>
        <w:spacing w:before="160" w:after="0"/>
      </w:pPr>
      <w:r>
        <w:t xml:space="preserve"/>
      </w:r>
    </w:p>
    <w:p>
      <w:pPr>
        <w:pStyle w:val="Heading1"/>
        <w:pBdr>
          <w:bottom w:val="single" w:color="2E5FA3" w:sz="8" w:space="4"/>
        </w:pBdr>
        <w:spacing w:before="360" w:after="160"/>
      </w:pPr>
      <w:r>
        <w:rPr>
          <w:rFonts w:ascii="Arial" w:cs="Arial" w:eastAsia="Arial" w:hAnsi="Arial"/>
          <w:b/>
          <w:bCs/>
          <w:color w:val="1B3A6B"/>
          <w:sz w:val="36"/>
          <w:szCs w:val="36"/>
        </w:rPr>
        <w:t xml:space="preserve">16. References</w:t>
      </w:r>
    </w:p>
    <w:p>
      <w:pPr>
        <w:spacing w:before="80" w:after="120" w:line="320"/>
        <w:jc w:val="both"/>
      </w:pPr>
      <w:r>
        <w:rPr>
          <w:rFonts w:ascii="Arial" w:cs="Arial" w:eastAsia="Arial" w:hAnsi="Arial"/>
          <w:color w:val="000000"/>
          <w:sz w:val="22"/>
          <w:szCs w:val="22"/>
        </w:rPr>
        <w:t xml:space="preserve">Davis, F. D. (1989). Perceived usefulness, perceived ease of use, and user acceptance of information technology. MIS Quarterly, 13(3), 319–340.</w:t>
      </w:r>
    </w:p>
    <w:p>
      <w:pPr>
        <w:spacing w:before="60" w:after="0"/>
      </w:pPr>
      <w:r>
        <w:t xml:space="preserve"/>
      </w:r>
    </w:p>
    <w:p>
      <w:pPr>
        <w:spacing w:before="80" w:after="120" w:line="320"/>
        <w:jc w:val="both"/>
      </w:pPr>
      <w:r>
        <w:rPr>
          <w:rFonts w:ascii="Arial" w:cs="Arial" w:eastAsia="Arial" w:hAnsi="Arial"/>
          <w:color w:val="000000"/>
          <w:sz w:val="22"/>
          <w:szCs w:val="22"/>
        </w:rPr>
        <w:t xml:space="preserve">Fishbein, M., &amp; Ajzen, I. (1975). Belief, Attitude, Intention, and Behavior: An Introduction to Theory and Research. Addison-Wesley.</w:t>
      </w:r>
    </w:p>
    <w:p>
      <w:pPr>
        <w:spacing w:before="60" w:after="0"/>
      </w:pPr>
      <w:r>
        <w:t xml:space="preserve"/>
      </w:r>
    </w:p>
    <w:p>
      <w:pPr>
        <w:spacing w:before="80" w:after="120" w:line="320"/>
        <w:jc w:val="both"/>
      </w:pPr>
      <w:r>
        <w:rPr>
          <w:rFonts w:ascii="Arial" w:cs="Arial" w:eastAsia="Arial" w:hAnsi="Arial"/>
          <w:color w:val="000000"/>
          <w:sz w:val="22"/>
          <w:szCs w:val="22"/>
        </w:rPr>
        <w:t xml:space="preserve">Harris, J., Ives, B., &amp; Junglas, I. (2012). IT consumerization: When gadgets turn into enterprise IT tools. MIS Quarterly Executive, 11(3), 99–112.</w:t>
      </w:r>
    </w:p>
    <w:p>
      <w:pPr>
        <w:spacing w:before="60" w:after="0"/>
      </w:pPr>
      <w:r>
        <w:t xml:space="preserve"/>
      </w:r>
    </w:p>
    <w:p>
      <w:pPr>
        <w:spacing w:before="80" w:after="120" w:line="320"/>
        <w:jc w:val="both"/>
      </w:pPr>
      <w:r>
        <w:rPr>
          <w:rFonts w:ascii="Arial" w:cs="Arial" w:eastAsia="Arial" w:hAnsi="Arial"/>
          <w:color w:val="000000"/>
          <w:sz w:val="22"/>
          <w:szCs w:val="22"/>
        </w:rPr>
        <w:t xml:space="preserve">Kaplan, E. L., &amp; Meier, P. (1958). Nonparametric estimation from incomplete observations. Journal of the American Statistical Association, 53(282), 457–481.</w:t>
      </w:r>
    </w:p>
    <w:p>
      <w:pPr>
        <w:spacing w:before="60" w:after="0"/>
      </w:pPr>
      <w:r>
        <w:t xml:space="preserve"/>
      </w:r>
    </w:p>
    <w:p>
      <w:pPr>
        <w:spacing w:before="80" w:after="120" w:line="320"/>
        <w:jc w:val="both"/>
      </w:pPr>
      <w:r>
        <w:rPr>
          <w:rFonts w:ascii="Arial" w:cs="Arial" w:eastAsia="Arial" w:hAnsi="Arial"/>
          <w:color w:val="000000"/>
          <w:sz w:val="22"/>
          <w:szCs w:val="22"/>
        </w:rPr>
        <w:t xml:space="preserve">Mann, H. B., &amp; Whitney, D. R. (1947). On a test of whether one of two random variables is stochastically larger than the other. Annals of Mathematical Statistics, 18(1), 50–60.</w:t>
      </w:r>
    </w:p>
    <w:p>
      <w:pPr>
        <w:spacing w:before="60" w:after="0"/>
      </w:pPr>
      <w:r>
        <w:t xml:space="preserve"/>
      </w:r>
    </w:p>
    <w:p>
      <w:pPr>
        <w:spacing w:before="80" w:after="120" w:line="320"/>
        <w:jc w:val="both"/>
      </w:pPr>
      <w:r>
        <w:rPr>
          <w:rFonts w:ascii="Arial" w:cs="Arial" w:eastAsia="Arial" w:hAnsi="Arial"/>
          <w:color w:val="000000"/>
          <w:sz w:val="22"/>
          <w:szCs w:val="22"/>
        </w:rPr>
        <w:t xml:space="preserve">Nielsen, J. (1994). Usability Engineering. Morgan Kaufmann.</w:t>
      </w:r>
    </w:p>
    <w:p>
      <w:pPr>
        <w:spacing w:before="60" w:after="0"/>
      </w:pPr>
      <w:r>
        <w:t xml:space="preserve"/>
      </w:r>
    </w:p>
    <w:p>
      <w:pPr>
        <w:spacing w:before="80" w:after="120" w:line="320"/>
        <w:jc w:val="both"/>
      </w:pPr>
      <w:r>
        <w:rPr>
          <w:rFonts w:ascii="Arial" w:cs="Arial" w:eastAsia="Arial" w:hAnsi="Arial"/>
          <w:color w:val="000000"/>
          <w:sz w:val="22"/>
          <w:szCs w:val="22"/>
        </w:rPr>
        <w:t xml:space="preserve">OpenView Partners. (2017). Product-Led Growth: How to Build a Product That Sells Itself. OpenView Venture Partners. Retrieved from openviewpartners.com</w:t>
      </w:r>
    </w:p>
    <w:p>
      <w:pPr>
        <w:spacing w:before="60" w:after="0"/>
      </w:pPr>
      <w:r>
        <w:t xml:space="preserve"/>
      </w:r>
    </w:p>
    <w:p>
      <w:pPr>
        <w:spacing w:before="80" w:after="120" w:line="320"/>
        <w:jc w:val="both"/>
      </w:pPr>
      <w:r>
        <w:rPr>
          <w:rFonts w:ascii="Arial" w:cs="Arial" w:eastAsia="Arial" w:hAnsi="Arial"/>
          <w:color w:val="000000"/>
          <w:sz w:val="22"/>
          <w:szCs w:val="22"/>
        </w:rPr>
        <w:t xml:space="preserve">Sweller, J. (1988). Cognitive load during problem solving: Effects on learning. Cognitive Science, 12(2), 257–285.</w:t>
      </w:r>
    </w:p>
    <w:p>
      <w:pPr>
        <w:spacing w:before="60" w:after="0"/>
      </w:pPr>
      <w:r>
        <w:t xml:space="preserve"/>
      </w:r>
    </w:p>
    <w:p>
      <w:pPr>
        <w:spacing w:before="80" w:after="120" w:line="320"/>
        <w:jc w:val="both"/>
      </w:pPr>
      <w:r>
        <w:rPr>
          <w:rFonts w:ascii="Arial" w:cs="Arial" w:eastAsia="Arial" w:hAnsi="Arial"/>
          <w:color w:val="000000"/>
          <w:sz w:val="22"/>
          <w:szCs w:val="22"/>
        </w:rPr>
        <w:t xml:space="preserve">Venkatesh, V., Morris, M. G., Davis, G. B., &amp; Davis, F. D. (2003). User acceptance of information technology: Toward a unified view. MIS Quarterly, 27(3), 425–478.</w:t>
      </w:r>
    </w:p>
    <w:p>
      <w:pPr>
        <w:spacing w:before="60" w:after="0"/>
      </w:pPr>
      <w:r>
        <w:t xml:space="preserve"/>
      </w:r>
    </w:p>
    <w:p>
      <w:pPr>
        <w:spacing w:before="80" w:after="120" w:line="320"/>
        <w:jc w:val="both"/>
      </w:pPr>
      <w:r>
        <w:rPr>
          <w:rFonts w:ascii="Arial" w:cs="Arial" w:eastAsia="Arial" w:hAnsi="Arial"/>
          <w:color w:val="000000"/>
          <w:sz w:val="22"/>
          <w:szCs w:val="22"/>
        </w:rPr>
        <w:t xml:space="preserve">American Customer Satisfaction Index (ACSI). (2015). ACSI Benchmark Data. acsi.org</w:t>
      </w:r>
    </w:p>
    <w:p>
      <w:pPr>
        <w:spacing w:before="60" w:after="0"/>
      </w:pPr>
      <w:r>
        <w:t xml:space="preserve"/>
      </w:r>
    </w:p>
    <w:p>
      <w:pPr>
        <w:spacing w:before="80" w:after="120" w:line="320"/>
        <w:jc w:val="both"/>
      </w:pPr>
      <w:r>
        <w:rPr>
          <w:rFonts w:ascii="Arial" w:cs="Arial" w:eastAsia="Arial" w:hAnsi="Arial"/>
          <w:color w:val="000000"/>
          <w:sz w:val="22"/>
          <w:szCs w:val="22"/>
        </w:rPr>
        <w:t xml:space="preserve">Cox, D. R. (1972). Regression models and life-tables. Journal of the Royal Statistical Society, Series B (Methodological), 34(2), 187–220.</w:t>
      </w:r>
    </w:p>
    <w:p>
      <w:pPr>
        <w:spacing w:before="60" w:after="0"/>
      </w:pPr>
      <w:r>
        <w:t xml:space="preserve"/>
      </w:r>
    </w:p>
    <w:p>
      <w:pPr>
        <w:spacing w:before="80" w:after="120" w:line="320"/>
        <w:jc w:val="both"/>
      </w:pPr>
      <w:r>
        <w:rPr>
          <w:rFonts w:ascii="Arial" w:cs="Arial" w:eastAsia="Arial" w:hAnsi="Arial"/>
          <w:color w:val="000000"/>
          <w:sz w:val="22"/>
          <w:szCs w:val="22"/>
        </w:rPr>
        <w:t xml:space="preserve">Hochman, J., &amp; Aral, S. (2015). Social influence and product adoption in B2B SaaS environments. Information Systems Research, 26(3), 543–565.</w:t>
      </w:r>
    </w:p>
    <w:p>
      <w:pPr>
        <w:spacing w:before="60" w:after="0"/>
      </w:pPr>
      <w:r>
        <w:t xml:space="preserve"/>
      </w:r>
    </w:p>
    <w:p>
      <w:pPr>
        <w:spacing w:before="80" w:after="120" w:line="320"/>
        <w:jc w:val="both"/>
      </w:pPr>
      <w:r>
        <w:rPr>
          <w:rFonts w:ascii="Arial" w:cs="Arial" w:eastAsia="Arial" w:hAnsi="Arial"/>
          <w:color w:val="000000"/>
          <w:sz w:val="22"/>
          <w:szCs w:val="22"/>
        </w:rPr>
        <w:t xml:space="preserve">Cohen, J. (1988). Statistical Power Analysis for the Behavioral Sciences (2nd ed.). Lawrence Erlbaum Associates.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EE5" w:sz="4" w:space="4"/>
      </w:pBdr>
      <w:spacing w:before="80" w:after="0"/>
      <w:jc w:val="center"/>
    </w:pPr>
    <w:r>
      <w:rPr>
        <w:rFonts w:ascii="Arial" w:cs="Arial" w:eastAsia="Arial" w:hAnsi="Arial"/>
        <w:color w:val="4A4A4A"/>
        <w:sz w:val="18"/>
        <w:szCs w:val="18"/>
      </w:rPr>
      <w:t xml:space="preserve">B2B SaaS Research Paper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EE5" w:sz="4" w:space="4"/>
      </w:pBdr>
      <w:spacing w:before="0" w:after="100"/>
      <w:jc w:val="right"/>
    </w:pPr>
    <w:r>
      <w:rPr>
        <w:rFonts w:ascii="Arial" w:cs="Arial" w:eastAsia="Arial" w:hAnsi="Arial"/>
        <w:color w:val="4A4A4A"/>
        <w:sz w:val="18"/>
        <w:szCs w:val="18"/>
      </w:rPr>
      <w:t xml:space="preserve">Usability, Feature Adoption &amp; Business Outcomes in B2B SaaS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5FA3"/>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2026-03-18T05:02:38.107Z</dcterms:created>
  <dcterms:modified xsi:type="dcterms:W3CDTF">2026-03-18T05:02:38.108Z</dcterms:modified>
</cp:coreProperties>
</file>

<file path=docProps/custom.xml><?xml version="1.0" encoding="utf-8"?>
<Properties xmlns="http://schemas.openxmlformats.org/officeDocument/2006/custom-properties" xmlns:vt="http://schemas.openxmlformats.org/officeDocument/2006/docPropsVTypes"/>
</file>