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SCALE文档11月版本</w:t>
      </w:r>
    </w:p>
    <w:p>
      <w:pPr>
        <w:pStyle w:val="1"/>
        <w:spacing w:before="380" w:after="140" w:line="288" w:lineRule="auto"/>
        <w:ind w:left="0"/>
        <w:jc w:val="left"/>
        <w:outlineLvl w:val="0"/>
      </w:pPr>
      <w:bookmarkStart w:name="heading_0" w:id="0"/>
      <w:r>
        <w:rPr>
          <w:rFonts w:eastAsia="等线" w:ascii="Arial" w:cs="Arial" w:hAnsi="Arial"/>
          <w:b w:val="true"/>
          <w:sz w:val="36"/>
        </w:rPr>
        <w:t>SCALE AI模型SQL能力评测：2025年11月发版总览</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一、发版摘要与核心价值</w:t>
      </w:r>
      <w:bookmarkEnd w:id="1"/>
    </w:p>
    <w:p>
      <w:pPr>
        <w:spacing w:before="120" w:after="120" w:line="288" w:lineRule="auto"/>
        <w:ind w:left="0"/>
        <w:jc w:val="left"/>
      </w:pPr>
      <w:r>
        <w:rPr>
          <w:rFonts w:eastAsia="等线" w:ascii="Arial" w:cs="Arial" w:hAnsi="Arial"/>
          <w:sz w:val="22"/>
        </w:rPr>
        <w:t xml:space="preserve">本期 SCALE 评测聚焦于新一代专业级大语言模型在数据库 SQL 领域的表现边界。发版核心内容为 </w:t>
      </w:r>
      <w:r>
        <w:rPr>
          <w:rFonts w:eastAsia="等线" w:ascii="Arial" w:cs="Arial" w:hAnsi="Arial"/>
          <w:b w:val="true"/>
          <w:sz w:val="22"/>
        </w:rPr>
        <w:t>Gemini 3 Pro</w:t>
      </w:r>
      <w:r>
        <w:rPr>
          <w:rFonts w:eastAsia="等线" w:ascii="Arial" w:cs="Arial" w:hAnsi="Arial"/>
          <w:sz w:val="22"/>
        </w:rPr>
        <w:t xml:space="preserve"> 和 </w:t>
      </w:r>
      <w:r>
        <w:rPr>
          <w:rFonts w:eastAsia="等线" w:ascii="Arial" w:cs="Arial" w:hAnsi="Arial"/>
          <w:b w:val="true"/>
          <w:sz w:val="22"/>
        </w:rPr>
        <w:t>DeepSeek-V3.2-Exp</w:t>
      </w:r>
      <w:r>
        <w:rPr>
          <w:rFonts w:eastAsia="等线" w:ascii="Arial" w:cs="Arial" w:hAnsi="Arial"/>
          <w:sz w:val="22"/>
        </w:rPr>
        <w:t xml:space="preserve"> 两大顶尖模型的首次深度测评报告，旨在为用户提供最前沿、最可靠的技术选型依据。</w:t>
      </w:r>
    </w:p>
    <w:p>
      <w:pPr>
        <w:spacing w:before="120" w:after="120" w:line="288" w:lineRule="auto"/>
        <w:ind w:left="0"/>
        <w:jc w:val="left"/>
      </w:pPr>
      <w:r>
        <w:rPr>
          <w:rFonts w:eastAsia="等线" w:ascii="Arial" w:cs="Arial" w:hAnsi="Arial"/>
          <w:b w:val="true"/>
          <w:sz w:val="22"/>
        </w:rPr>
        <w:t>核心看点速览：</w:t>
      </w:r>
    </w:p>
    <w:p>
      <w:pPr>
        <w:numPr>
          <w:numId w:val="1"/>
        </w:numPr>
        <w:spacing w:before="120" w:after="120" w:line="288" w:lineRule="auto"/>
        <w:ind w:left="0"/>
        <w:jc w:val="left"/>
      </w:pPr>
      <w:r>
        <w:rPr>
          <w:rFonts w:eastAsia="等线" w:ascii="Arial" w:cs="Arial" w:hAnsi="Arial"/>
          <w:b w:val="true"/>
          <w:sz w:val="22"/>
        </w:rPr>
        <w:t>可靠性新标杆</w:t>
      </w:r>
      <w:r>
        <w:rPr>
          <w:rFonts w:eastAsia="等线" w:ascii="Arial" w:cs="Arial" w:hAnsi="Arial"/>
          <w:sz w:val="22"/>
        </w:rPr>
        <w:t>：</w:t>
      </w:r>
      <w:r>
        <w:rPr>
          <w:rFonts w:eastAsia="等线" w:ascii="Arial" w:cs="Arial" w:hAnsi="Arial"/>
          <w:b w:val="true"/>
          <w:sz w:val="22"/>
        </w:rPr>
        <w:t>Gemini 3 Pro</w:t>
      </w:r>
      <w:r>
        <w:rPr>
          <w:rFonts w:eastAsia="等线" w:ascii="Arial" w:cs="Arial" w:hAnsi="Arial"/>
          <w:sz w:val="22"/>
        </w:rPr>
        <w:t xml:space="preserve"> 模型首次参评，在 </w:t>
      </w:r>
      <w:r>
        <w:rPr>
          <w:rFonts w:eastAsia="等线" w:ascii="Arial" w:cs="Arial" w:hAnsi="Arial"/>
          <w:b w:val="true"/>
          <w:sz w:val="22"/>
        </w:rPr>
        <w:t>SQL 理解能力</w:t>
      </w:r>
      <w:r>
        <w:rPr>
          <w:rFonts w:eastAsia="等线" w:ascii="Arial" w:cs="Arial" w:hAnsi="Arial"/>
          <w:sz w:val="22"/>
        </w:rPr>
        <w:t xml:space="preserve"> 维度以 </w:t>
      </w:r>
      <w:r>
        <w:rPr>
          <w:rFonts w:eastAsia="等线" w:ascii="Arial" w:cs="Arial" w:hAnsi="Arial"/>
          <w:b w:val="true"/>
          <w:sz w:val="22"/>
        </w:rPr>
        <w:t>86.0分</w:t>
      </w:r>
      <w:r>
        <w:rPr>
          <w:rFonts w:eastAsia="等线" w:ascii="Arial" w:cs="Arial" w:hAnsi="Arial"/>
          <w:sz w:val="22"/>
        </w:rPr>
        <w:t xml:space="preserve"> 领跑榜单，确立了其在复杂逻辑解析上的业内领先地位。</w:t>
      </w:r>
    </w:p>
    <w:p>
      <w:pPr>
        <w:numPr>
          <w:numId w:val="2"/>
        </w:numPr>
        <w:spacing w:before="120" w:after="120" w:line="288" w:lineRule="auto"/>
        <w:ind w:left="0"/>
        <w:jc w:val="left"/>
      </w:pPr>
      <w:r>
        <w:rPr>
          <w:rFonts w:eastAsia="等线" w:ascii="Arial" w:cs="Arial" w:hAnsi="Arial"/>
          <w:b w:val="true"/>
          <w:sz w:val="22"/>
        </w:rPr>
        <w:t>国产化潜力股</w:t>
      </w:r>
      <w:r>
        <w:rPr>
          <w:rFonts w:eastAsia="等线" w:ascii="Arial" w:cs="Arial" w:hAnsi="Arial"/>
          <w:sz w:val="22"/>
        </w:rPr>
        <w:t>：</w:t>
      </w:r>
      <w:r>
        <w:rPr>
          <w:rFonts w:eastAsia="等线" w:ascii="Arial" w:cs="Arial" w:hAnsi="Arial"/>
          <w:b w:val="true"/>
          <w:sz w:val="22"/>
        </w:rPr>
        <w:t>DeepSeek-V3.2-Exp</w:t>
      </w:r>
      <w:r>
        <w:rPr>
          <w:rFonts w:eastAsia="等线" w:ascii="Arial" w:cs="Arial" w:hAnsi="Arial"/>
          <w:sz w:val="22"/>
        </w:rPr>
        <w:t xml:space="preserve"> 模型首次入榜，其在 </w:t>
      </w:r>
      <w:r>
        <w:rPr>
          <w:rFonts w:eastAsia="等线" w:ascii="Arial" w:cs="Arial" w:hAnsi="Arial"/>
          <w:b w:val="true"/>
          <w:sz w:val="22"/>
        </w:rPr>
        <w:t>国产数据库转换</w:t>
      </w:r>
      <w:r>
        <w:rPr>
          <w:rFonts w:eastAsia="等线" w:ascii="Arial" w:cs="Arial" w:hAnsi="Arial"/>
          <w:sz w:val="22"/>
        </w:rPr>
        <w:t xml:space="preserve"> 方面表现出强劲潜力（</w:t>
      </w:r>
      <w:r>
        <w:rPr>
          <w:rFonts w:eastAsia="等线" w:ascii="Arial" w:cs="Arial" w:hAnsi="Arial"/>
          <w:b w:val="true"/>
          <w:sz w:val="22"/>
        </w:rPr>
        <w:t>92.1分</w:t>
      </w:r>
      <w:r>
        <w:rPr>
          <w:rFonts w:eastAsia="等线" w:ascii="Arial" w:cs="Arial" w:hAnsi="Arial"/>
          <w:sz w:val="22"/>
        </w:rPr>
        <w:t>），为国产化替代场景提供了新的高性能选择。</w:t>
      </w:r>
    </w:p>
    <w:p>
      <w:pPr>
        <w:pStyle w:val="2"/>
        <w:spacing w:before="320" w:after="120" w:line="288" w:lineRule="auto"/>
        <w:ind w:left="0"/>
        <w:jc w:val="left"/>
        <w:outlineLvl w:val="1"/>
      </w:pPr>
      <w:bookmarkStart w:name="heading_2" w:id="2"/>
      <w:r>
        <w:rPr>
          <w:rFonts w:eastAsia="等线" w:ascii="Arial" w:cs="Arial" w:hAnsi="Arial"/>
          <w:b w:val="true"/>
          <w:sz w:val="32"/>
        </w:rPr>
        <w:t>二、评测目的、背景与方法论</w:t>
      </w:r>
      <w:bookmarkEnd w:id="2"/>
    </w:p>
    <w:p>
      <w:pPr>
        <w:spacing w:before="120" w:after="120" w:line="288" w:lineRule="auto"/>
        <w:ind w:left="0"/>
        <w:jc w:val="left"/>
      </w:pPr>
      <w:r>
        <w:rPr>
          <w:rFonts w:eastAsia="等线" w:ascii="Arial" w:cs="Arial" w:hAnsi="Arial"/>
          <w:sz w:val="22"/>
        </w:rPr>
        <w:t>本次测评旨在系统性评估两大模型在企业级复杂数据库场景下的实用性。我们严格遵循 SCALE 框架自创立以来的三大核心维度和统一评测数据集，确保结果的公正性与可复现性。</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9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 w:id="3"/>
      <w:r>
        <w:rPr>
          <w:rFonts w:eastAsia="等线" w:ascii="Arial" w:cs="Arial" w:hAnsi="Arial"/>
          <w:b w:val="true"/>
          <w:sz w:val="32"/>
        </w:rPr>
        <w:t>三、专题深度测评 I：Gemini 3 Pro 评测报告</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3.1 核心结论速览</w:t>
      </w:r>
      <w:bookmarkEnd w:id="4"/>
    </w:p>
    <w:p>
      <w:pPr>
        <w:spacing w:before="120" w:after="120" w:line="288" w:lineRule="auto"/>
        <w:ind w:left="0"/>
        <w:jc w:val="left"/>
      </w:pPr>
      <w:r>
        <w:rPr>
          <w:rFonts w:eastAsia="等线" w:ascii="Arial" w:cs="Arial" w:hAnsi="Arial"/>
          <w:sz w:val="22"/>
        </w:rPr>
        <w:t xml:space="preserve">Gemini 3 Pro 的能力分布呈现出“深度理解、高质优化、均衡转换”的显著特征。其 </w:t>
      </w:r>
      <w:r>
        <w:rPr>
          <w:rFonts w:eastAsia="等线" w:ascii="Arial" w:cs="Arial" w:hAnsi="Arial"/>
          <w:b w:val="true"/>
          <w:sz w:val="22"/>
        </w:rPr>
        <w:t>SQL 理解能力</w:t>
      </w:r>
      <w:r>
        <w:rPr>
          <w:rFonts w:eastAsia="等线" w:ascii="Arial" w:cs="Arial" w:hAnsi="Arial"/>
          <w:sz w:val="22"/>
        </w:rPr>
        <w:t xml:space="preserve"> 取得榜单首位（86.0分），</w:t>
      </w:r>
      <w:r>
        <w:rPr>
          <w:rFonts w:eastAsia="等线" w:ascii="Arial" w:cs="Arial" w:hAnsi="Arial"/>
          <w:b w:val="true"/>
          <w:sz w:val="22"/>
        </w:rPr>
        <w:t>优化后 SQL 语法正确性</w:t>
      </w:r>
      <w:r>
        <w:rPr>
          <w:rFonts w:eastAsia="等线" w:ascii="Arial" w:cs="Arial" w:hAnsi="Arial"/>
          <w:sz w:val="22"/>
        </w:rPr>
        <w:t xml:space="preserve"> 达 </w:t>
      </w:r>
      <w:r>
        <w:rPr>
          <w:rFonts w:eastAsia="等线" w:ascii="Arial" w:cs="Arial" w:hAnsi="Arial"/>
          <w:b w:val="true"/>
          <w:sz w:val="22"/>
        </w:rPr>
        <w:t>100 分</w:t>
      </w:r>
      <w:r>
        <w:rPr>
          <w:rFonts w:eastAsia="等线" w:ascii="Arial" w:cs="Arial" w:hAnsi="Arial"/>
          <w:sz w:val="22"/>
        </w:rPr>
        <w:t>，是面向企业级、高可靠性要求的数据库任务的理想 AI 助手。</w:t>
      </w:r>
    </w:p>
    <w:p>
      <w:pPr>
        <w:pStyle w:val="3"/>
        <w:spacing w:before="300" w:after="120" w:line="288" w:lineRule="auto"/>
        <w:ind w:left="0"/>
        <w:jc w:val="left"/>
        <w:outlineLvl w:val="2"/>
      </w:pPr>
      <w:bookmarkStart w:name="heading_5" w:id="5"/>
      <w:r>
        <w:rPr>
          <w:rFonts w:eastAsia="等线" w:ascii="Arial" w:cs="Arial" w:hAnsi="Arial"/>
          <w:b w:val="true"/>
          <w:sz w:val="30"/>
        </w:rPr>
        <w:t>3.2 维度详细表现与数据洞察</w:t>
      </w:r>
      <w:bookmarkEnd w:id="5"/>
    </w:p>
    <w:p>
      <w:pPr>
        <w:spacing w:before="120" w:after="120" w:line="288" w:lineRule="auto"/>
        <w:ind w:left="0"/>
        <w:jc w:val="center"/>
      </w:pPr>
      <w:r>
        <w:drawing>
          <wp:inline distT="0" distR="0" distB="0" distL="0">
            <wp:extent cx="5257800" cy="2933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2933700"/>
                    </a:xfrm>
                    <a:prstGeom prst="rect">
                      <a:avLst/>
                    </a:prstGeom>
                  </pic:spPr>
                </pic:pic>
              </a:graphicData>
            </a:graphic>
          </wp:inline>
        </w:drawing>
      </w:r>
    </w:p>
    <w:p>
      <w:pPr>
        <w:spacing w:before="120" w:after="120" w:line="288" w:lineRule="auto"/>
        <w:ind w:left="0"/>
      </w:pPr>
      <w:r>
        <w:object>
          <v:shape id="_x0000_i1026" style="width:414pt;height:163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6" w:id="6"/>
      <w:r>
        <w:rPr>
          <w:rFonts w:eastAsia="等线" w:ascii="Arial" w:cs="Arial" w:hAnsi="Arial"/>
          <w:b w:val="true"/>
          <w:sz w:val="30"/>
        </w:rPr>
        <w:t xml:space="preserve">3.3 关键挑战与数据分析 </w:t>
      </w:r>
      <w:bookmarkEnd w:id="6"/>
    </w:p>
    <w:p>
      <w:pPr>
        <w:spacing w:before="120" w:after="120" w:line="288" w:lineRule="auto"/>
        <w:ind w:left="0"/>
        <w:jc w:val="left"/>
      </w:pPr>
      <w:r>
        <w:rPr>
          <w:rFonts w:eastAsia="等线" w:ascii="Arial" w:cs="Arial" w:hAnsi="Arial"/>
          <w:sz w:val="22"/>
        </w:rPr>
        <w:t>评测中发现，Gemini 3 Pro 的主要挑战集中在对数据库底层机制的精细理解和结构化输出的严格规范性上。</w:t>
      </w:r>
    </w:p>
    <w:p>
      <w:pPr>
        <w:numPr>
          <w:numId w:val="3"/>
        </w:numPr>
        <w:spacing w:before="120" w:after="120" w:line="288" w:lineRule="auto"/>
        <w:ind w:left="0"/>
        <w:jc w:val="left"/>
      </w:pPr>
      <w:r>
        <w:rPr>
          <w:rFonts w:eastAsia="等线" w:ascii="Arial" w:cs="Arial" w:hAnsi="Arial"/>
          <w:b w:val="true"/>
          <w:sz w:val="22"/>
        </w:rPr>
        <w:t>SQL 理解维度：执行计划解析缺陷</w:t>
      </w:r>
    </w:p>
    <w:p>
      <w:pPr>
        <w:numPr>
          <w:numId w:val="4"/>
        </w:numPr>
        <w:spacing w:before="120" w:after="120" w:line="288" w:lineRule="auto"/>
        <w:ind w:left="453"/>
        <w:jc w:val="left"/>
      </w:pPr>
      <w:r>
        <w:rPr>
          <w:rFonts w:eastAsia="等线" w:ascii="Arial" w:cs="Arial" w:hAnsi="Arial"/>
          <w:b w:val="true"/>
          <w:sz w:val="22"/>
        </w:rPr>
        <w:t>语义混淆</w:t>
      </w:r>
      <w:r>
        <w:rPr>
          <w:rFonts w:eastAsia="等线" w:ascii="Arial" w:cs="Arial" w:hAnsi="Arial"/>
          <w:sz w:val="22"/>
        </w:rPr>
        <w:t xml:space="preserve">：模型在结构化输出中未能严格遵循规范，将 JSON 的 </w:t>
      </w:r>
      <w:r>
        <w:rPr>
          <w:rFonts w:eastAsia="Consolas" w:ascii="Consolas" w:cs="Consolas" w:hAnsi="Consolas"/>
          <w:sz w:val="22"/>
          <w:shd w:fill="EFF0F1"/>
        </w:rPr>
        <w:t>null</w:t>
      </w:r>
      <w:r>
        <w:rPr>
          <w:rFonts w:eastAsia="等线" w:ascii="Arial" w:cs="Arial" w:hAnsi="Arial"/>
          <w:sz w:val="22"/>
        </w:rPr>
        <w:t xml:space="preserve"> 值错误输出为字符串 </w:t>
      </w:r>
      <w:r>
        <w:rPr>
          <w:rFonts w:eastAsia="Consolas" w:ascii="Consolas" w:cs="Consolas" w:hAnsi="Consolas"/>
          <w:sz w:val="22"/>
          <w:shd w:fill="EFF0F1"/>
        </w:rPr>
        <w:t>"NULL"</w:t>
      </w:r>
      <w:r>
        <w:rPr>
          <w:rFonts w:eastAsia="等线" w:ascii="Arial" w:cs="Arial" w:hAnsi="Arial"/>
          <w:sz w:val="22"/>
        </w:rPr>
        <w:t xml:space="preserve">，导致 SQL 语义中的 </w:t>
      </w:r>
      <w:r>
        <w:rPr>
          <w:rFonts w:eastAsia="Consolas" w:ascii="Consolas" w:cs="Consolas" w:hAnsi="Consolas"/>
          <w:sz w:val="22"/>
          <w:shd w:fill="EFF0F1"/>
        </w:rPr>
        <w:t>NULL</w:t>
      </w:r>
      <w:r>
        <w:rPr>
          <w:rFonts w:eastAsia="等线" w:ascii="Arial" w:cs="Arial" w:hAnsi="Arial"/>
          <w:sz w:val="22"/>
        </w:rPr>
        <w:t xml:space="preserve"> 与 JSON 数据类型规范发生混淆。</w:t>
      </w:r>
    </w:p>
    <w:p>
      <w:pPr>
        <w:numPr>
          <w:numId w:val="5"/>
        </w:numPr>
        <w:spacing w:before="120" w:after="120" w:line="288" w:lineRule="auto"/>
        <w:ind w:left="453"/>
        <w:jc w:val="left"/>
      </w:pPr>
      <w:r>
        <w:rPr>
          <w:rFonts w:eastAsia="等线" w:ascii="Arial" w:cs="Arial" w:hAnsi="Arial"/>
          <w:b w:val="true"/>
          <w:sz w:val="22"/>
        </w:rPr>
        <w:t>写操作误判</w:t>
      </w:r>
      <w:r>
        <w:rPr>
          <w:rFonts w:eastAsia="等线" w:ascii="Arial" w:cs="Arial" w:hAnsi="Arial"/>
          <w:sz w:val="22"/>
        </w:rPr>
        <w:t>：在执行计划检测中，模型对数据库写操作（</w:t>
      </w:r>
      <w:r>
        <w:rPr>
          <w:rFonts w:eastAsia="Consolas" w:ascii="Consolas" w:cs="Consolas" w:hAnsi="Consolas"/>
          <w:sz w:val="22"/>
          <w:shd w:fill="EFF0F1"/>
        </w:rPr>
        <w:t>UPDATE</w:t>
      </w:r>
      <w:r>
        <w:rPr>
          <w:rFonts w:eastAsia="等线" w:ascii="Arial" w:cs="Arial" w:hAnsi="Arial"/>
          <w:sz w:val="22"/>
        </w:rPr>
        <w:t>/</w:t>
      </w:r>
      <w:r>
        <w:rPr>
          <w:rFonts w:eastAsia="Consolas" w:ascii="Consolas" w:cs="Consolas" w:hAnsi="Consolas"/>
          <w:sz w:val="22"/>
          <w:shd w:fill="EFF0F1"/>
        </w:rPr>
        <w:t>DELETE</w:t>
      </w:r>
      <w:r>
        <w:rPr>
          <w:rFonts w:eastAsia="等线" w:ascii="Arial" w:cs="Arial" w:hAnsi="Arial"/>
          <w:sz w:val="22"/>
        </w:rPr>
        <w:t xml:space="preserve">）的语义理解不足，未能识别 MySQL 优化器会使用主键索引进行行定位的优化行为，错误地将应使用索引扫描的 </w:t>
      </w:r>
      <w:r>
        <w:rPr>
          <w:rFonts w:eastAsia="Consolas" w:ascii="Consolas" w:cs="Consolas" w:hAnsi="Consolas"/>
          <w:sz w:val="22"/>
          <w:shd w:fill="EFF0F1"/>
        </w:rPr>
        <w:t>UPDATE</w:t>
      </w:r>
      <w:r>
        <w:rPr>
          <w:rFonts w:eastAsia="等线" w:ascii="Arial" w:cs="Arial" w:hAnsi="Arial"/>
          <w:sz w:val="22"/>
        </w:rPr>
        <w:t xml:space="preserve"> 操作误判为全表扫描（type: </w:t>
      </w:r>
      <w:r>
        <w:rPr>
          <w:rFonts w:eastAsia="Consolas" w:ascii="Consolas" w:cs="Consolas" w:hAnsi="Consolas"/>
          <w:sz w:val="22"/>
          <w:shd w:fill="EFF0F1"/>
        </w:rPr>
        <w:t>"ALL"</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b w:val="true"/>
          <w:sz w:val="22"/>
        </w:rPr>
        <w:t>SQL 优化维度：模式识别与策略应用不足</w:t>
      </w:r>
    </w:p>
    <w:p>
      <w:pPr>
        <w:numPr>
          <w:numId w:val="7"/>
        </w:numPr>
        <w:spacing w:before="120" w:after="120" w:line="288" w:lineRule="auto"/>
        <w:ind w:left="453"/>
        <w:jc w:val="left"/>
      </w:pPr>
      <w:r>
        <w:rPr>
          <w:rFonts w:eastAsia="等线" w:ascii="Arial" w:cs="Arial" w:hAnsi="Arial"/>
          <w:b w:val="true"/>
          <w:sz w:val="22"/>
        </w:rPr>
        <w:t>模式识别缺陷</w:t>
      </w:r>
      <w:r>
        <w:rPr>
          <w:rFonts w:eastAsia="等线" w:ascii="Arial" w:cs="Arial" w:hAnsi="Arial"/>
          <w:sz w:val="22"/>
        </w:rPr>
        <w:t xml:space="preserve">：未能识别 </w:t>
      </w:r>
      <w:r>
        <w:rPr>
          <w:rFonts w:eastAsia="Consolas" w:ascii="Consolas" w:cs="Consolas" w:hAnsi="Consolas"/>
          <w:sz w:val="22"/>
          <w:shd w:fill="EFF0F1"/>
        </w:rPr>
        <w:t>LIKE</w:t>
      </w:r>
      <w:r>
        <w:rPr>
          <w:rFonts w:eastAsia="等线" w:ascii="Arial" w:cs="Arial" w:hAnsi="Arial"/>
          <w:sz w:val="22"/>
        </w:rPr>
        <w:t xml:space="preserve"> 前缀查询模式可改写为范围查询以利用索引有序性，限制了在特定查询场景下的性能提升。</w:t>
      </w:r>
    </w:p>
    <w:p>
      <w:pPr>
        <w:numPr>
          <w:numId w:val="8"/>
        </w:numPr>
        <w:spacing w:before="120" w:after="120" w:line="288" w:lineRule="auto"/>
        <w:ind w:left="453"/>
        <w:jc w:val="left"/>
      </w:pPr>
      <w:r>
        <w:rPr>
          <w:rFonts w:eastAsia="等线" w:ascii="Arial" w:cs="Arial" w:hAnsi="Arial"/>
          <w:b w:val="true"/>
          <w:sz w:val="22"/>
        </w:rPr>
        <w:t>冗余消除不足</w:t>
      </w:r>
      <w:r>
        <w:rPr>
          <w:rFonts w:eastAsia="等线" w:ascii="Arial" w:cs="Arial" w:hAnsi="Arial"/>
          <w:sz w:val="22"/>
        </w:rPr>
        <w:t xml:space="preserve">：未能识别并消除无 </w:t>
      </w:r>
      <w:r>
        <w:rPr>
          <w:rFonts w:eastAsia="Consolas" w:ascii="Consolas" w:cs="Consolas" w:hAnsi="Consolas"/>
          <w:sz w:val="22"/>
          <w:shd w:fill="EFF0F1"/>
        </w:rPr>
        <w:t>LIMIT</w:t>
      </w:r>
      <w:r>
        <w:rPr>
          <w:rFonts w:eastAsia="等线" w:ascii="Arial" w:cs="Arial" w:hAnsi="Arial"/>
          <w:sz w:val="22"/>
        </w:rPr>
        <w:t xml:space="preserve"> 子查询中的冗余 </w:t>
      </w:r>
      <w:r>
        <w:rPr>
          <w:rFonts w:eastAsia="Consolas" w:ascii="Consolas" w:cs="Consolas" w:hAnsi="Consolas"/>
          <w:sz w:val="22"/>
          <w:shd w:fill="EFF0F1"/>
        </w:rPr>
        <w:t>ORDER BY</w:t>
      </w:r>
      <w:r>
        <w:rPr>
          <w:rFonts w:eastAsia="等线" w:ascii="Arial" w:cs="Arial" w:hAnsi="Arial"/>
          <w:sz w:val="22"/>
        </w:rPr>
        <w:t xml:space="preserve"> 操作，反映出模型在细粒度语义分析和规则消除方面的不足。</w:t>
      </w:r>
    </w:p>
    <w:p>
      <w:pPr>
        <w:numPr>
          <w:numId w:val="9"/>
        </w:numPr>
        <w:spacing w:before="120" w:after="120" w:line="288" w:lineRule="auto"/>
        <w:ind w:left="453"/>
        <w:jc w:val="left"/>
      </w:pPr>
      <w:r>
        <w:rPr>
          <w:rFonts w:eastAsia="等线" w:ascii="Arial" w:cs="Arial" w:hAnsi="Arial"/>
          <w:b w:val="true"/>
          <w:sz w:val="22"/>
        </w:rPr>
        <w:t>类型转换盲区</w:t>
      </w:r>
      <w:r>
        <w:rPr>
          <w:rFonts w:eastAsia="等线" w:ascii="Arial" w:cs="Arial" w:hAnsi="Arial"/>
          <w:sz w:val="22"/>
        </w:rPr>
        <w:t xml:space="preserve">：未能识别 </w:t>
      </w:r>
      <w:r>
        <w:rPr>
          <w:rFonts w:eastAsia="Consolas" w:ascii="Consolas" w:cs="Consolas" w:hAnsi="Consolas"/>
          <w:sz w:val="22"/>
          <w:shd w:fill="EFF0F1"/>
        </w:rPr>
        <w:t>DATE</w:t>
      </w:r>
      <w:r>
        <w:rPr>
          <w:rFonts w:eastAsia="等线" w:ascii="Arial" w:cs="Arial" w:hAnsi="Arial"/>
          <w:sz w:val="22"/>
        </w:rPr>
        <w:t xml:space="preserve"> 字段与字符串比较时可能发生的隐式类型转换问题，这可能在生产环境中导致性能下降。</w:t>
      </w:r>
    </w:p>
    <w:p>
      <w:pPr>
        <w:numPr>
          <w:numId w:val="10"/>
        </w:numPr>
        <w:spacing w:before="120" w:after="120" w:line="288" w:lineRule="auto"/>
        <w:ind w:left="0"/>
        <w:jc w:val="left"/>
      </w:pPr>
      <w:r>
        <w:rPr>
          <w:rFonts w:eastAsia="等线" w:ascii="Arial" w:cs="Arial" w:hAnsi="Arial"/>
          <w:b w:val="true"/>
          <w:sz w:val="22"/>
        </w:rPr>
        <w:t>方言转换维度：国产数据库知识短板</w:t>
      </w:r>
    </w:p>
    <w:p>
      <w:pPr>
        <w:numPr>
          <w:numId w:val="11"/>
        </w:numPr>
        <w:spacing w:before="120" w:after="120" w:line="288" w:lineRule="auto"/>
        <w:ind w:left="453"/>
        <w:jc w:val="left"/>
      </w:pPr>
      <w:r>
        <w:rPr>
          <w:rFonts w:eastAsia="等线" w:ascii="Arial" w:cs="Arial" w:hAnsi="Arial"/>
          <w:b w:val="true"/>
          <w:sz w:val="22"/>
        </w:rPr>
        <w:t>知识性错误</w:t>
      </w:r>
      <w:r>
        <w:rPr>
          <w:rFonts w:eastAsia="等线" w:ascii="Arial" w:cs="Arial" w:hAnsi="Arial"/>
          <w:sz w:val="22"/>
        </w:rPr>
        <w:t xml:space="preserve">：在处理 Oracle 的 </w:t>
      </w:r>
      <w:r>
        <w:rPr>
          <w:rFonts w:eastAsia="Consolas" w:ascii="Consolas" w:cs="Consolas" w:hAnsi="Consolas"/>
          <w:sz w:val="22"/>
          <w:shd w:fill="EFF0F1"/>
        </w:rPr>
        <w:t>CAST</w:t>
      </w:r>
      <w:r>
        <w:rPr>
          <w:rFonts w:eastAsia="等线" w:ascii="Arial" w:cs="Arial" w:hAnsi="Arial"/>
          <w:sz w:val="22"/>
        </w:rPr>
        <w:t xml:space="preserve"> 语法时，模型错误地将其替换为 OceanBase（Oracle 模式）不支持的 </w:t>
      </w:r>
      <w:r>
        <w:rPr>
          <w:rFonts w:eastAsia="Consolas" w:ascii="Consolas" w:cs="Consolas" w:hAnsi="Consolas"/>
          <w:sz w:val="22"/>
          <w:shd w:fill="EFF0F1"/>
        </w:rPr>
        <w:t>COLLECT</w:t>
      </w:r>
      <w:r>
        <w:rPr>
          <w:rFonts w:eastAsia="等线" w:ascii="Arial" w:cs="Arial" w:hAnsi="Arial"/>
          <w:sz w:val="22"/>
        </w:rPr>
        <w:t xml:space="preserve"> 聚合函数，反映出模型对于国产数据库的知识储备不足，更倾向于机械转换而非基于目标环境特性进行语义等价性判断。</w:t>
      </w:r>
    </w:p>
    <w:p>
      <w:pPr>
        <w:pStyle w:val="3"/>
        <w:spacing w:before="300" w:after="120" w:line="288" w:lineRule="auto"/>
        <w:ind w:left="0"/>
        <w:jc w:val="left"/>
        <w:outlineLvl w:val="2"/>
      </w:pPr>
      <w:bookmarkStart w:name="heading_7" w:id="7"/>
      <w:r>
        <w:rPr>
          <w:rFonts w:eastAsia="等线" w:ascii="Arial" w:cs="Arial" w:hAnsi="Arial"/>
          <w:b w:val="true"/>
          <w:sz w:val="30"/>
        </w:rPr>
        <w:t>3.4 应用建议与价值体现</w:t>
      </w:r>
      <w:bookmarkEnd w:id="7"/>
    </w:p>
    <w:p>
      <w:pPr>
        <w:spacing w:before="120" w:after="120" w:line="288" w:lineRule="auto"/>
        <w:ind w:left="0"/>
      </w:pPr>
      <w:r>
        <w:object>
          <v:shape id="_x0000_i1027" style="width:414pt;height:56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8" w:id="8"/>
      <w:r>
        <w:rPr>
          <w:rFonts w:eastAsia="等线" w:ascii="Arial" w:cs="Arial" w:hAnsi="Arial"/>
          <w:b w:val="true"/>
          <w:sz w:val="32"/>
        </w:rPr>
        <w:t>四、专题深度测评 II：Deep</w:t>
      </w:r>
      <w:r>
        <w:rPr>
          <w:rFonts w:eastAsia="等线" w:ascii="Arial" w:cs="Arial" w:hAnsi="Arial"/>
          <w:b w:val="true"/>
          <w:sz w:val="32"/>
        </w:rPr>
        <w:t>S</w:t>
      </w:r>
      <w:r>
        <w:rPr>
          <w:rFonts w:eastAsia="等线" w:ascii="Arial" w:cs="Arial" w:hAnsi="Arial"/>
          <w:b w:val="true"/>
          <w:sz w:val="32"/>
        </w:rPr>
        <w:t>eek-</w:t>
      </w:r>
      <w:r>
        <w:rPr>
          <w:rFonts w:eastAsia="等线" w:ascii="Arial" w:cs="Arial" w:hAnsi="Arial"/>
          <w:b w:val="true"/>
          <w:sz w:val="32"/>
        </w:rPr>
        <w:t>V</w:t>
      </w:r>
      <w:r>
        <w:rPr>
          <w:rFonts w:eastAsia="等线" w:ascii="Arial" w:cs="Arial" w:hAnsi="Arial"/>
          <w:b w:val="true"/>
          <w:sz w:val="32"/>
        </w:rPr>
        <w:t>3.2-</w:t>
      </w:r>
      <w:r>
        <w:rPr>
          <w:rFonts w:eastAsia="等线" w:ascii="Arial" w:cs="Arial" w:hAnsi="Arial"/>
          <w:b w:val="true"/>
          <w:sz w:val="32"/>
        </w:rPr>
        <w:t>E</w:t>
      </w:r>
      <w:r>
        <w:rPr>
          <w:rFonts w:eastAsia="等线" w:ascii="Arial" w:cs="Arial" w:hAnsi="Arial"/>
          <w:b w:val="true"/>
          <w:sz w:val="32"/>
        </w:rPr>
        <w:t>xp 初始评测报告</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4.1 核心结论速览</w:t>
      </w:r>
      <w:bookmarkEnd w:id="9"/>
    </w:p>
    <w:p>
      <w:pPr>
        <w:spacing w:before="120" w:after="120" w:line="288" w:lineRule="auto"/>
        <w:ind w:left="0"/>
        <w:jc w:val="left"/>
      </w:pPr>
      <w:r>
        <w:rPr>
          <w:rFonts w:eastAsia="等线" w:ascii="Arial" w:cs="Arial" w:hAnsi="Arial"/>
          <w:sz w:val="22"/>
        </w:rPr>
        <w:t>Deepseek-v3.2-exp 在本期评测中展现了明显的</w:t>
      </w:r>
      <w:r>
        <w:rPr>
          <w:rFonts w:eastAsia="等线" w:ascii="Arial" w:cs="Arial" w:hAnsi="Arial"/>
          <w:b w:val="true"/>
          <w:sz w:val="22"/>
        </w:rPr>
        <w:t>能力聚焦</w:t>
      </w:r>
      <w:r>
        <w:rPr>
          <w:rFonts w:eastAsia="等线" w:ascii="Arial" w:cs="Arial" w:hAnsi="Arial"/>
          <w:sz w:val="22"/>
        </w:rPr>
        <w:t xml:space="preserve">。其在 </w:t>
      </w:r>
      <w:r>
        <w:rPr>
          <w:rFonts w:eastAsia="等线" w:ascii="Arial" w:cs="Arial" w:hAnsi="Arial"/>
          <w:b w:val="true"/>
          <w:sz w:val="22"/>
        </w:rPr>
        <w:t>国产数据库转换</w:t>
      </w:r>
      <w:r>
        <w:rPr>
          <w:rFonts w:eastAsia="等线" w:ascii="Arial" w:cs="Arial" w:hAnsi="Arial"/>
          <w:sz w:val="22"/>
        </w:rPr>
        <w:t xml:space="preserve"> 子项上取得了</w:t>
      </w:r>
      <w:r>
        <w:rPr>
          <w:rFonts w:eastAsia="等线" w:ascii="Arial" w:cs="Arial" w:hAnsi="Arial"/>
          <w:b w:val="true"/>
          <w:sz w:val="22"/>
        </w:rPr>
        <w:t>92.1分</w:t>
      </w:r>
      <w:r>
        <w:rPr>
          <w:rFonts w:eastAsia="等线" w:ascii="Arial" w:cs="Arial" w:hAnsi="Arial"/>
          <w:sz w:val="22"/>
        </w:rPr>
        <w:t>的优异成绩，使其成为</w:t>
      </w:r>
      <w:r>
        <w:rPr>
          <w:rFonts w:eastAsia="等线" w:ascii="Arial" w:cs="Arial" w:hAnsi="Arial"/>
          <w:b w:val="true"/>
          <w:sz w:val="22"/>
        </w:rPr>
        <w:t>国产化替代路径中具有突出价值的工具</w:t>
      </w:r>
      <w:r>
        <w:rPr>
          <w:rFonts w:eastAsia="等线" w:ascii="Arial" w:cs="Arial" w:hAnsi="Arial"/>
          <w:sz w:val="22"/>
        </w:rPr>
        <w:t>。然而，其在复杂逻辑处理和优化深度上的不足表明，它更适用于特定领域的辅助工作。</w:t>
      </w:r>
    </w:p>
    <w:p>
      <w:pPr>
        <w:pStyle w:val="3"/>
        <w:spacing w:before="300" w:after="120" w:line="288" w:lineRule="auto"/>
        <w:ind w:left="0"/>
        <w:jc w:val="left"/>
        <w:outlineLvl w:val="2"/>
      </w:pPr>
      <w:bookmarkStart w:name="heading_10" w:id="10"/>
      <w:r>
        <w:rPr>
          <w:rFonts w:eastAsia="等线" w:ascii="Arial" w:cs="Arial" w:hAnsi="Arial"/>
          <w:b w:val="true"/>
          <w:sz w:val="30"/>
        </w:rPr>
        <w:t>4.2 维度详细表现与数据洞察</w:t>
      </w:r>
      <w:bookmarkEnd w:id="10"/>
    </w:p>
    <w:p>
      <w:pPr>
        <w:spacing w:before="120" w:after="120" w:line="288" w:lineRule="auto"/>
        <w:ind w:left="0"/>
        <w:jc w:val="center"/>
      </w:pPr>
      <w:r>
        <w:drawing>
          <wp:inline distT="0" distR="0" distB="0" distL="0">
            <wp:extent cx="5257800" cy="2819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5257800" cy="2819400"/>
                    </a:xfrm>
                    <a:prstGeom prst="rect">
                      <a:avLst/>
                    </a:prstGeom>
                  </pic:spPr>
                </pic:pic>
              </a:graphicData>
            </a:graphic>
          </wp:inline>
        </w:drawing>
      </w:r>
    </w:p>
    <w:p>
      <w:pPr>
        <w:spacing w:before="120" w:after="120" w:line="288" w:lineRule="auto"/>
        <w:ind w:left="0"/>
      </w:pPr>
      <w:r>
        <w:object>
          <v:shape id="_x0000_i1028" style="width:414pt;height:177pt;mso-width-percent:0;mso-height-percent:0;mso-width-percent:0;mso-height-percent:0" type="#_x0000_t75" o:ole="">
            <v:imagedata r:id="rId14" o:title=""/>
          </v:shape>
          <o:OLEObject DrawAspect="Icon" ObjectID="_1718471222" ProgID="Excel.Sheet.12" ShapeID="_x0000_i1028" Type="Embed" r:id="rId1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1" w:id="11"/>
      <w:r>
        <w:rPr>
          <w:rFonts w:eastAsia="等线" w:ascii="Arial" w:cs="Arial" w:hAnsi="Arial"/>
          <w:b w:val="true"/>
          <w:sz w:val="30"/>
        </w:rPr>
        <w:t xml:space="preserve">4.3 关键挑战与数据分析 </w:t>
      </w:r>
      <w:bookmarkEnd w:id="11"/>
    </w:p>
    <w:p>
      <w:pPr>
        <w:spacing w:before="120" w:after="120" w:line="288" w:lineRule="auto"/>
        <w:ind w:left="0"/>
        <w:jc w:val="left"/>
      </w:pPr>
      <w:r>
        <w:rPr>
          <w:rFonts w:eastAsia="等线" w:ascii="Arial" w:cs="Arial" w:hAnsi="Arial"/>
          <w:sz w:val="22"/>
        </w:rPr>
        <w:t>评测中发现，DeepSeek-V3.2-Exp 的主要挑战集中在对数据库底层机制的精细理解、SQL优化模式识别以及跨方言语义等价转换的准确性上。</w:t>
      </w:r>
    </w:p>
    <w:p>
      <w:pPr>
        <w:numPr>
          <w:numId w:val="12"/>
        </w:numPr>
        <w:spacing w:before="120" w:after="120" w:line="288" w:lineRule="auto"/>
        <w:ind w:left="0"/>
        <w:jc w:val="left"/>
      </w:pPr>
      <w:r>
        <w:rPr>
          <w:rFonts w:eastAsia="等线" w:ascii="Arial" w:cs="Arial" w:hAnsi="Arial"/>
          <w:b w:val="true"/>
          <w:sz w:val="22"/>
        </w:rPr>
        <w:t>SQL 理解维度：执行计划解析缺陷</w:t>
      </w:r>
    </w:p>
    <w:p>
      <w:pPr>
        <w:numPr>
          <w:numId w:val="13"/>
        </w:numPr>
        <w:spacing w:before="120" w:after="120" w:line="288" w:lineRule="auto"/>
        <w:ind w:left="0"/>
        <w:jc w:val="left"/>
      </w:pPr>
      <w:r>
        <w:rPr>
          <w:rFonts w:eastAsia="等线" w:ascii="Arial" w:cs="Arial" w:hAnsi="Arial"/>
          <w:b w:val="true"/>
          <w:sz w:val="22"/>
        </w:rPr>
        <w:t>写操作语义混淆：</w:t>
      </w:r>
      <w:r>
        <w:rPr>
          <w:rFonts w:eastAsia="等线" w:ascii="Arial" w:cs="Arial" w:hAnsi="Arial"/>
          <w:sz w:val="22"/>
        </w:rPr>
        <w:t>模型在处理 INSERT/REPLACE 操作时，错误地返回了具体的执行计划信息（type: "INSERT", rows: "1"），而 MySQL 的 EXPLAIN 对于写操作应返回 type: "ALL" 且 rows、Extra、filtered 等字段均为 null，反映出模型对写操作执行计划输出规范的理解偏差。</w:t>
      </w:r>
    </w:p>
    <w:p>
      <w:pPr>
        <w:numPr>
          <w:numId w:val="14"/>
        </w:numPr>
        <w:spacing w:before="120" w:after="120" w:line="288" w:lineRule="auto"/>
        <w:ind w:left="0"/>
        <w:jc w:val="left"/>
      </w:pPr>
      <w:r>
        <w:rPr>
          <w:rFonts w:eastAsia="等线" w:ascii="Arial" w:cs="Arial" w:hAnsi="Arial"/>
          <w:b w:val="true"/>
          <w:sz w:val="22"/>
        </w:rPr>
        <w:t>写操作索引使用误判：</w:t>
      </w:r>
      <w:r>
        <w:rPr>
          <w:rFonts w:eastAsia="等线" w:ascii="Arial" w:cs="Arial" w:hAnsi="Arial"/>
          <w:sz w:val="22"/>
        </w:rPr>
        <w:t>在执行计划检测中，模型对数据库写操作（UPDATE）的语义理解不足，未能识别 MySQL 优化器会使用主键索引进行行定位的优化行为，错误地将应使用索引扫描的 UPDATE 操作返回为 type: "UPDATE" 而非 type: "index"。</w:t>
      </w:r>
    </w:p>
    <w:p>
      <w:pPr>
        <w:numPr>
          <w:numId w:val="15"/>
        </w:numPr>
        <w:spacing w:before="120" w:after="120" w:line="288" w:lineRule="auto"/>
        <w:ind w:left="0"/>
        <w:jc w:val="left"/>
      </w:pPr>
      <w:r>
        <w:rPr>
          <w:rFonts w:eastAsia="等线" w:ascii="Arial" w:cs="Arial" w:hAnsi="Arial"/>
          <w:b w:val="true"/>
          <w:sz w:val="22"/>
        </w:rPr>
        <w:t>过滤比例计算偏差：</w:t>
      </w:r>
      <w:r>
        <w:rPr>
          <w:rFonts w:eastAsia="等线" w:ascii="Arial" w:cs="Arial" w:hAnsi="Arial"/>
          <w:sz w:val="22"/>
        </w:rPr>
        <w:t>在处理 DELETE 操作时，模型返回 filtered: "33.33" 而预期应为 100，反映出模型对 WHERE 条件过滤比例计算逻辑的理解不足。</w:t>
      </w:r>
    </w:p>
    <w:p>
      <w:pPr>
        <w:numPr>
          <w:numId w:val="16"/>
        </w:numPr>
        <w:spacing w:before="120" w:after="120" w:line="288" w:lineRule="auto"/>
        <w:ind w:left="0"/>
        <w:jc w:val="left"/>
      </w:pPr>
      <w:r>
        <w:rPr>
          <w:rFonts w:eastAsia="等线" w:ascii="Arial" w:cs="Arial" w:hAnsi="Arial"/>
          <w:b w:val="true"/>
          <w:sz w:val="22"/>
        </w:rPr>
        <w:t>SQL 优化维度：模式识别与策略应用不足</w:t>
      </w:r>
    </w:p>
    <w:p>
      <w:pPr>
        <w:numPr>
          <w:numId w:val="17"/>
        </w:numPr>
        <w:spacing w:before="120" w:after="120" w:line="288" w:lineRule="auto"/>
        <w:ind w:left="0"/>
        <w:jc w:val="left"/>
      </w:pPr>
      <w:r>
        <w:rPr>
          <w:rFonts w:eastAsia="等线" w:ascii="Arial" w:cs="Arial" w:hAnsi="Arial"/>
          <w:b w:val="true"/>
          <w:sz w:val="22"/>
        </w:rPr>
        <w:t>模式识别缺陷：</w:t>
      </w:r>
      <w:r>
        <w:rPr>
          <w:rFonts w:eastAsia="等线" w:ascii="Arial" w:cs="Arial" w:hAnsi="Arial"/>
          <w:sz w:val="22"/>
        </w:rPr>
        <w:t>未能识别 LIKE 前缀查询模式可改写为范围查询以利用索引有序性，限制了在特定查询场景下的性能提升。</w:t>
      </w:r>
    </w:p>
    <w:p>
      <w:pPr>
        <w:numPr>
          <w:numId w:val="18"/>
        </w:numPr>
        <w:spacing w:before="120" w:after="120" w:line="288" w:lineRule="auto"/>
        <w:ind w:left="0"/>
        <w:jc w:val="left"/>
      </w:pPr>
      <w:r>
        <w:rPr>
          <w:rFonts w:eastAsia="等线" w:ascii="Arial" w:cs="Arial" w:hAnsi="Arial"/>
          <w:b w:val="true"/>
          <w:sz w:val="22"/>
        </w:rPr>
        <w:t>类型转换盲区：</w:t>
      </w:r>
      <w:r>
        <w:rPr>
          <w:rFonts w:eastAsia="等线" w:ascii="Arial" w:cs="Arial" w:hAnsi="Arial"/>
          <w:sz w:val="22"/>
        </w:rPr>
        <w:t>未能识别 DATE 字段与字符串比较时可能发生的隐式类型转换问题，即使已提供 DDL 信息，模型仍未能检测出潜在的隐式转换风险，这可能在生产环境中导致性能下降。</w:t>
      </w:r>
    </w:p>
    <w:p>
      <w:pPr>
        <w:numPr>
          <w:numId w:val="19"/>
        </w:numPr>
        <w:spacing w:before="120" w:after="120" w:line="288" w:lineRule="auto"/>
        <w:ind w:left="0"/>
        <w:jc w:val="left"/>
      </w:pPr>
      <w:r>
        <w:rPr>
          <w:rFonts w:eastAsia="等线" w:ascii="Arial" w:cs="Arial" w:hAnsi="Arial"/>
          <w:b w:val="true"/>
          <w:sz w:val="22"/>
        </w:rPr>
        <w:t>谓词下推优化遗漏：</w:t>
      </w:r>
      <w:r>
        <w:rPr>
          <w:rFonts w:eastAsia="等线" w:ascii="Arial" w:cs="Arial" w:hAnsi="Arial"/>
          <w:sz w:val="22"/>
        </w:rPr>
        <w:t>在包含多层嵌套子查询的场景中，模型未能识别可以将过滤条件下推到更内层查询以减少中间结果集大小的优化机会。</w:t>
      </w:r>
    </w:p>
    <w:p>
      <w:pPr>
        <w:numPr>
          <w:numId w:val="20"/>
        </w:numPr>
        <w:spacing w:before="120" w:after="120" w:line="288" w:lineRule="auto"/>
        <w:ind w:left="0"/>
        <w:jc w:val="left"/>
      </w:pPr>
      <w:r>
        <w:rPr>
          <w:rFonts w:eastAsia="等线" w:ascii="Arial" w:cs="Arial" w:hAnsi="Arial"/>
          <w:b w:val="true"/>
          <w:sz w:val="22"/>
        </w:rPr>
        <w:t>方言转换维度：语义等价性与语法准确性不足</w:t>
      </w:r>
    </w:p>
    <w:p>
      <w:pPr>
        <w:numPr>
          <w:numId w:val="21"/>
        </w:numPr>
        <w:spacing w:before="120" w:after="120" w:line="288" w:lineRule="auto"/>
        <w:ind w:left="0"/>
        <w:jc w:val="left"/>
      </w:pPr>
      <w:r>
        <w:rPr>
          <w:rFonts w:eastAsia="等线" w:ascii="Arial" w:cs="Arial" w:hAnsi="Arial"/>
          <w:b w:val="true"/>
          <w:sz w:val="22"/>
        </w:rPr>
        <w:t>逻辑错误</w:t>
      </w:r>
      <w:r>
        <w:rPr>
          <w:rFonts w:eastAsia="等线" w:ascii="Arial" w:cs="Arial" w:hAnsi="Arial"/>
          <w:sz w:val="22"/>
        </w:rPr>
        <w:t>：在 Oracle 转 PostgreSQL 的转换中，模型将 v_rows_updated := v_rows_updated + SQL%ROWCOUNT 错误转换为 v_rows_updated := v_rows_updated + v_rows_updated，导致累加逻辑完全失效，反映出模型在跨方言语义映射时的注意力机制缺陷。</w:t>
      </w:r>
    </w:p>
    <w:p>
      <w:pPr>
        <w:numPr>
          <w:numId w:val="22"/>
        </w:numPr>
        <w:spacing w:before="120" w:after="120" w:line="288" w:lineRule="auto"/>
        <w:ind w:left="0"/>
        <w:jc w:val="left"/>
      </w:pPr>
      <w:r>
        <w:rPr>
          <w:rFonts w:eastAsia="等线" w:ascii="Arial" w:cs="Arial" w:hAnsi="Arial"/>
          <w:b w:val="true"/>
          <w:sz w:val="22"/>
        </w:rPr>
        <w:t>类型系统理解偏差：</w:t>
      </w:r>
      <w:r>
        <w:rPr>
          <w:rFonts w:eastAsia="等线" w:ascii="Arial" w:cs="Arial" w:hAnsi="Arial"/>
          <w:sz w:val="22"/>
        </w:rPr>
        <w:t>模型在转换 Oracle 的 TYPE t_sales_summary IS RECORD 时，直接保留了类似的语法结构，但 PostgreSQL 9.2 不支持显式定义 RECORD 结构，RECORD 类型只能通过 SELECT INTO 或 FOR 循环隐式确定结构，反映出模型对目标数据库类型系统的理解不足，更倾向于机械转换而非基于目标环境特性进行语义等价性判断。</w:t>
      </w:r>
    </w:p>
    <w:p>
      <w:pPr>
        <w:numPr>
          <w:numId w:val="23"/>
        </w:numPr>
        <w:spacing w:before="120" w:after="120" w:line="288" w:lineRule="auto"/>
        <w:ind w:left="0"/>
        <w:jc w:val="left"/>
      </w:pPr>
      <w:r>
        <w:rPr>
          <w:rFonts w:eastAsia="等线" w:ascii="Arial" w:cs="Arial" w:hAnsi="Arial"/>
          <w:b w:val="true"/>
          <w:sz w:val="22"/>
        </w:rPr>
        <w:t>不兼容语法残留：</w:t>
      </w:r>
      <w:r>
        <w:rPr>
          <w:rFonts w:eastAsia="等线" w:ascii="Arial" w:cs="Arial" w:hAnsi="Arial"/>
          <w:sz w:val="22"/>
        </w:rPr>
        <w:t>在 SQL Server 转 GaussDB 的转换中，模型保留了 SET NOCOUNT=ON 语句，但 GaussDB 不支持该语法，反映出模型对目标数据库语法约束的理解不充分。</w:t>
      </w:r>
    </w:p>
    <w:p>
      <w:pPr>
        <w:numPr>
          <w:numId w:val="24"/>
        </w:numPr>
        <w:spacing w:before="120" w:after="120" w:line="288" w:lineRule="auto"/>
        <w:ind w:left="0"/>
        <w:jc w:val="left"/>
      </w:pPr>
      <w:r>
        <w:rPr>
          <w:rFonts w:eastAsia="等线" w:ascii="Arial" w:cs="Arial" w:hAnsi="Arial"/>
          <w:b w:val="true"/>
          <w:sz w:val="22"/>
        </w:rPr>
        <w:t>函数映射错误</w:t>
      </w:r>
      <w:r>
        <w:rPr>
          <w:rFonts w:eastAsia="等线" w:ascii="Arial" w:cs="Arial" w:hAnsi="Arial"/>
          <w:sz w:val="22"/>
        </w:rPr>
        <w:t>：在 SQL Server 转 GaussDB 的转换中，模型使用了 GET DIAGNOSTICS v_cursor_status = CURSOR_STATUS，但 GaussDB 的 GET DIAGNOSTICS 不支持 CURSOR_STATUS 诊断项，反映出模型对目标数据库系统函数和诊断机制的理解不足。</w:t>
      </w:r>
    </w:p>
    <w:p>
      <w:pPr>
        <w:pStyle w:val="3"/>
        <w:spacing w:before="300" w:after="120" w:line="288" w:lineRule="auto"/>
        <w:ind w:left="0"/>
        <w:jc w:val="left"/>
        <w:outlineLvl w:val="2"/>
      </w:pPr>
      <w:bookmarkStart w:name="heading_12" w:id="12"/>
      <w:r>
        <w:rPr>
          <w:rFonts w:eastAsia="等线" w:ascii="Arial" w:cs="Arial" w:hAnsi="Arial"/>
          <w:b w:val="true"/>
          <w:sz w:val="30"/>
        </w:rPr>
        <w:t>4.4 总结与应用建议</w:t>
      </w:r>
      <w:bookmarkEnd w:id="12"/>
    </w:p>
    <w:p>
      <w:pPr>
        <w:spacing w:before="120" w:after="120" w:line="288" w:lineRule="auto"/>
        <w:ind w:left="0"/>
        <w:jc w:val="left"/>
      </w:pPr>
      <w:r>
        <w:rPr>
          <w:rFonts w:eastAsia="等线" w:ascii="Arial" w:cs="Arial" w:hAnsi="Arial"/>
          <w:b w:val="true"/>
          <w:sz w:val="22"/>
        </w:rPr>
        <w:t>总体结论：</w:t>
      </w:r>
      <w:r>
        <w:rPr>
          <w:rFonts w:eastAsia="等线" w:ascii="Arial" w:cs="Arial" w:hAnsi="Arial"/>
          <w:sz w:val="22"/>
        </w:rPr>
        <w:t xml:space="preserve"> </w:t>
      </w:r>
      <w:r>
        <w:rPr>
          <w:rFonts w:eastAsia="等线" w:ascii="Arial" w:cs="Arial" w:hAnsi="Arial"/>
          <w:sz w:val="22"/>
        </w:rPr>
        <w:t>DeepSeek-V3.2-Exp</w:t>
      </w:r>
      <w:r>
        <w:rPr>
          <w:rFonts w:eastAsia="等线" w:ascii="Arial" w:cs="Arial" w:hAnsi="Arial"/>
          <w:sz w:val="22"/>
        </w:rPr>
        <w:t xml:space="preserve"> 的能力分布呈现出</w:t>
      </w:r>
      <w:r>
        <w:rPr>
          <w:rFonts w:eastAsia="等线" w:ascii="Arial" w:cs="Arial" w:hAnsi="Arial"/>
          <w:b w:val="true"/>
          <w:sz w:val="22"/>
        </w:rPr>
        <w:t>明显的专业领域聚焦</w:t>
      </w:r>
      <w:r>
        <w:rPr>
          <w:rFonts w:eastAsia="等线" w:ascii="Arial" w:cs="Arial" w:hAnsi="Arial"/>
          <w:sz w:val="22"/>
        </w:rPr>
        <w:t xml:space="preserve">。其核心优势在于对 </w:t>
      </w:r>
      <w:r>
        <w:rPr>
          <w:rFonts w:eastAsia="等线" w:ascii="Arial" w:cs="Arial" w:hAnsi="Arial"/>
          <w:b w:val="true"/>
          <w:sz w:val="22"/>
        </w:rPr>
        <w:t>SQL 规范性的严格遵守</w:t>
      </w:r>
      <w:r>
        <w:rPr>
          <w:rFonts w:eastAsia="等线" w:ascii="Arial" w:cs="Arial" w:hAnsi="Arial"/>
          <w:sz w:val="22"/>
        </w:rPr>
        <w:t xml:space="preserve">（理解维度 84.3分）和 </w:t>
      </w:r>
      <w:r>
        <w:rPr>
          <w:rFonts w:eastAsia="等线" w:ascii="Arial" w:cs="Arial" w:hAnsi="Arial"/>
          <w:b w:val="true"/>
          <w:sz w:val="22"/>
        </w:rPr>
        <w:t>国产数据库迁移的针对性支持</w:t>
      </w:r>
      <w:r>
        <w:rPr>
          <w:rFonts w:eastAsia="等线" w:ascii="Arial" w:cs="Arial" w:hAnsi="Arial"/>
          <w:sz w:val="22"/>
        </w:rPr>
        <w:t>（转换维度 92.1分）。虽然在性能优化深度和复杂场景上仍有提升空间，但其高分的针对性能力使其在国产化替代项目中具有显著的辅助价值。</w:t>
      </w:r>
    </w:p>
    <w:p>
      <w:pPr>
        <w:spacing w:before="120" w:after="120" w:line="288" w:lineRule="auto"/>
        <w:ind w:left="0"/>
        <w:jc w:val="left"/>
      </w:pPr>
      <w:r>
        <w:rPr>
          <w:rFonts w:eastAsia="等线" w:ascii="Arial" w:cs="Arial" w:hAnsi="Arial"/>
          <w:b w:val="true"/>
          <w:sz w:val="22"/>
        </w:rPr>
        <w:t>应用建议：</w:t>
      </w:r>
    </w:p>
    <w:p>
      <w:pPr>
        <w:spacing w:before="120" w:after="120" w:line="288" w:lineRule="auto"/>
        <w:ind w:left="0"/>
      </w:pPr>
      <w:r>
        <w:object>
          <v:shape id="_x0000_i1029" style="width:414pt;height:99pt;mso-width-percent:0;mso-height-percent:0;mso-width-percent:0;mso-height-percent:0" type="#_x0000_t75" o:ole="">
            <v:imagedata r:id="rId16" o:title=""/>
          </v:shape>
          <o:OLEObject DrawAspect="Icon" ObjectID="_1718471223" ProgID="Excel.Sheet.12" ShapeID="_x0000_i1029" Type="Embed" r:id="rId1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3" w:id="13"/>
      <w:r>
        <w:rPr>
          <w:rFonts w:eastAsia="等线" w:ascii="Arial" w:cs="Arial" w:hAnsi="Arial"/>
          <w:b w:val="true"/>
          <w:sz w:val="32"/>
        </w:rPr>
        <w:t>五、未来展望与行动号号</w:t>
      </w:r>
      <w:bookmarkEnd w:id="13"/>
    </w:p>
    <w:p>
      <w:pPr>
        <w:spacing w:before="120" w:after="120" w:line="288" w:lineRule="auto"/>
        <w:ind w:left="0"/>
        <w:jc w:val="left"/>
      </w:pPr>
      <w:r>
        <w:rPr>
          <w:rFonts w:eastAsia="等线" w:ascii="Arial" w:cs="Arial" w:hAnsi="Arial"/>
          <w:sz w:val="22"/>
        </w:rPr>
        <w:t>SCALE 评测体系将持续跟踪各大厂商的最新模型动态和迭代进展。我们致力于通过公正、透明的评测数据，与社区共同推动大语言模型在数据库领域的应用和实践走向更深层次。</w:t>
      </w:r>
    </w:p>
    <w:p>
      <w:pPr>
        <w:spacing w:before="120" w:after="120" w:line="288" w:lineRule="auto"/>
        <w:ind w:left="0"/>
        <w:jc w:val="left"/>
      </w:pPr>
      <w:r>
        <w:rPr>
          <w:rFonts w:eastAsia="等线" w:ascii="Arial" w:cs="Arial" w:hAnsi="Arial"/>
          <w:b w:val="true"/>
          <w:sz w:val="22"/>
        </w:rPr>
        <w:t>即刻探索新一代模型的专业能力！</w:t>
      </w:r>
      <w:r>
        <w:rPr>
          <w:rFonts w:eastAsia="等线" w:ascii="Arial" w:cs="Arial" w:hAnsi="Arial"/>
          <w:sz w:val="22"/>
        </w:rPr>
        <w:t xml:space="preserve"> 欢迎您登陆 SCALE 官方平台，查看完整的最新榜单和模型对比详情，共同把握 AI 技术的前沿脉搏。 </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34711">
    <w:lvl>
      <w:start w:val="1"/>
      <w:numFmt w:val="decimal"/>
      <w:suff w:val="tab"/>
      <w:lvlText w:val="%1."/>
      <w:rPr>
        <w:color w:val="3370ff"/>
      </w:rPr>
    </w:lvl>
  </w:abstractNum>
  <w:abstractNum w:abstractNumId="934712">
    <w:lvl>
      <w:start w:val="2"/>
      <w:numFmt w:val="decimal"/>
      <w:suff w:val="tab"/>
      <w:lvlText w:val="%1."/>
      <w:rPr>
        <w:color w:val="3370ff"/>
      </w:rPr>
    </w:lvl>
  </w:abstractNum>
  <w:abstractNum w:abstractNumId="934713">
    <w:lvl>
      <w:start w:val="1"/>
      <w:numFmt w:val="decimal"/>
      <w:suff w:val="tab"/>
      <w:lvlText w:val="%1."/>
      <w:rPr>
        <w:color w:val="3370ff"/>
      </w:rPr>
    </w:lvl>
  </w:abstractNum>
  <w:abstractNum w:abstractNumId="934714">
    <w:lvl>
      <w:numFmt w:val="bullet"/>
      <w:suff w:val="tab"/>
      <w:lvlText w:val="￮"/>
      <w:rPr>
        <w:color w:val="3370ff"/>
      </w:rPr>
    </w:lvl>
  </w:abstractNum>
  <w:abstractNum w:abstractNumId="934715">
    <w:lvl>
      <w:numFmt w:val="bullet"/>
      <w:suff w:val="tab"/>
      <w:lvlText w:val="￮"/>
      <w:rPr>
        <w:color w:val="3370ff"/>
      </w:rPr>
    </w:lvl>
  </w:abstractNum>
  <w:abstractNum w:abstractNumId="934716">
    <w:lvl>
      <w:start w:val="2"/>
      <w:numFmt w:val="decimal"/>
      <w:suff w:val="tab"/>
      <w:lvlText w:val="%1."/>
      <w:rPr>
        <w:color w:val="3370ff"/>
      </w:rPr>
    </w:lvl>
  </w:abstractNum>
  <w:abstractNum w:abstractNumId="934717">
    <w:lvl>
      <w:numFmt w:val="bullet"/>
      <w:suff w:val="tab"/>
      <w:lvlText w:val="￮"/>
      <w:rPr>
        <w:color w:val="3370ff"/>
      </w:rPr>
    </w:lvl>
  </w:abstractNum>
  <w:abstractNum w:abstractNumId="934718">
    <w:lvl>
      <w:numFmt w:val="bullet"/>
      <w:suff w:val="tab"/>
      <w:lvlText w:val="￮"/>
      <w:rPr>
        <w:color w:val="3370ff"/>
      </w:rPr>
    </w:lvl>
  </w:abstractNum>
  <w:abstractNum w:abstractNumId="934719">
    <w:lvl>
      <w:numFmt w:val="bullet"/>
      <w:suff w:val="tab"/>
      <w:lvlText w:val="￮"/>
      <w:rPr>
        <w:color w:val="3370ff"/>
      </w:rPr>
    </w:lvl>
  </w:abstractNum>
  <w:abstractNum w:abstractNumId="934720">
    <w:lvl>
      <w:start w:val="3"/>
      <w:numFmt w:val="decimal"/>
      <w:suff w:val="tab"/>
      <w:lvlText w:val="%1."/>
      <w:rPr>
        <w:color w:val="3370ff"/>
      </w:rPr>
    </w:lvl>
  </w:abstractNum>
  <w:abstractNum w:abstractNumId="934721">
    <w:lvl>
      <w:numFmt w:val="bullet"/>
      <w:suff w:val="tab"/>
      <w:lvlText w:val="￮"/>
      <w:rPr>
        <w:color w:val="3370ff"/>
      </w:rPr>
    </w:lvl>
  </w:abstractNum>
  <w:abstractNum w:abstractNumId="934722">
    <w:lvl>
      <w:start w:val="1"/>
      <w:numFmt w:val="decimal"/>
      <w:suff w:val="tab"/>
      <w:lvlText w:val="%1."/>
      <w:rPr>
        <w:color w:val="3370ff"/>
      </w:rPr>
    </w:lvl>
  </w:abstractNum>
  <w:abstractNum w:abstractNumId="934723">
    <w:lvl>
      <w:numFmt w:val="bullet"/>
      <w:suff w:val="tab"/>
      <w:lvlText w:val="•"/>
      <w:rPr>
        <w:color w:val="3370ff"/>
      </w:rPr>
    </w:lvl>
  </w:abstractNum>
  <w:abstractNum w:abstractNumId="934724">
    <w:lvl>
      <w:numFmt w:val="bullet"/>
      <w:suff w:val="tab"/>
      <w:lvlText w:val="•"/>
      <w:rPr>
        <w:color w:val="3370ff"/>
      </w:rPr>
    </w:lvl>
  </w:abstractNum>
  <w:abstractNum w:abstractNumId="934725">
    <w:lvl>
      <w:numFmt w:val="bullet"/>
      <w:suff w:val="tab"/>
      <w:lvlText w:val="•"/>
      <w:rPr>
        <w:color w:val="3370ff"/>
      </w:rPr>
    </w:lvl>
  </w:abstractNum>
  <w:abstractNum w:abstractNumId="934726">
    <w:lvl>
      <w:start w:val="2"/>
      <w:numFmt w:val="decimal"/>
      <w:suff w:val="tab"/>
      <w:lvlText w:val="%1."/>
      <w:rPr>
        <w:color w:val="3370ff"/>
      </w:rPr>
    </w:lvl>
  </w:abstractNum>
  <w:abstractNum w:abstractNumId="934727">
    <w:lvl>
      <w:numFmt w:val="bullet"/>
      <w:suff w:val="tab"/>
      <w:lvlText w:val="•"/>
      <w:rPr>
        <w:color w:val="3370ff"/>
      </w:rPr>
    </w:lvl>
  </w:abstractNum>
  <w:abstractNum w:abstractNumId="934728">
    <w:lvl>
      <w:numFmt w:val="bullet"/>
      <w:suff w:val="tab"/>
      <w:lvlText w:val="•"/>
      <w:rPr>
        <w:color w:val="3370ff"/>
      </w:rPr>
    </w:lvl>
  </w:abstractNum>
  <w:abstractNum w:abstractNumId="934729">
    <w:lvl>
      <w:numFmt w:val="bullet"/>
      <w:suff w:val="tab"/>
      <w:lvlText w:val="•"/>
      <w:rPr>
        <w:color w:val="3370ff"/>
      </w:rPr>
    </w:lvl>
  </w:abstractNum>
  <w:abstractNum w:abstractNumId="934730">
    <w:lvl>
      <w:start w:val="3"/>
      <w:numFmt w:val="decimal"/>
      <w:suff w:val="tab"/>
      <w:lvlText w:val="%1."/>
      <w:rPr>
        <w:color w:val="3370ff"/>
      </w:rPr>
    </w:lvl>
  </w:abstractNum>
  <w:abstractNum w:abstractNumId="934731">
    <w:lvl>
      <w:numFmt w:val="bullet"/>
      <w:suff w:val="tab"/>
      <w:lvlText w:val="•"/>
      <w:rPr>
        <w:color w:val="3370ff"/>
      </w:rPr>
    </w:lvl>
  </w:abstractNum>
  <w:abstractNum w:abstractNumId="934732">
    <w:lvl>
      <w:numFmt w:val="bullet"/>
      <w:suff w:val="tab"/>
      <w:lvlText w:val="•"/>
      <w:rPr>
        <w:color w:val="3370ff"/>
      </w:rPr>
    </w:lvl>
  </w:abstractNum>
  <w:abstractNum w:abstractNumId="934733">
    <w:lvl>
      <w:numFmt w:val="bullet"/>
      <w:suff w:val="tab"/>
      <w:lvlText w:val="•"/>
      <w:rPr>
        <w:color w:val="3370ff"/>
      </w:rPr>
    </w:lvl>
  </w:abstractNum>
  <w:abstractNum w:abstractNumId="934734">
    <w:lvl>
      <w:numFmt w:val="bullet"/>
      <w:suff w:val="tab"/>
      <w:lvlText w:val="•"/>
      <w:rPr>
        <w:color w:val="3370ff"/>
      </w:rPr>
    </w:lvl>
  </w:abstractNum>
  <w:num w:numId="1">
    <w:abstractNumId w:val="934711"/>
  </w:num>
  <w:num w:numId="2">
    <w:abstractNumId w:val="934712"/>
  </w:num>
  <w:num w:numId="3">
    <w:abstractNumId w:val="934713"/>
  </w:num>
  <w:num w:numId="4">
    <w:abstractNumId w:val="934714"/>
  </w:num>
  <w:num w:numId="5">
    <w:abstractNumId w:val="934715"/>
  </w:num>
  <w:num w:numId="6">
    <w:abstractNumId w:val="934716"/>
  </w:num>
  <w:num w:numId="7">
    <w:abstractNumId w:val="934717"/>
  </w:num>
  <w:num w:numId="8">
    <w:abstractNumId w:val="934718"/>
  </w:num>
  <w:num w:numId="9">
    <w:abstractNumId w:val="934719"/>
  </w:num>
  <w:num w:numId="10">
    <w:abstractNumId w:val="934720"/>
  </w:num>
  <w:num w:numId="11">
    <w:abstractNumId w:val="934721"/>
  </w:num>
  <w:num w:numId="12">
    <w:abstractNumId w:val="934722"/>
  </w:num>
  <w:num w:numId="13">
    <w:abstractNumId w:val="934723"/>
  </w:num>
  <w:num w:numId="14">
    <w:abstractNumId w:val="934724"/>
  </w:num>
  <w:num w:numId="15">
    <w:abstractNumId w:val="934725"/>
  </w:num>
  <w:num w:numId="16">
    <w:abstractNumId w:val="934726"/>
  </w:num>
  <w:num w:numId="17">
    <w:abstractNumId w:val="934727"/>
  </w:num>
  <w:num w:numId="18">
    <w:abstractNumId w:val="934728"/>
  </w:num>
  <w:num w:numId="19">
    <w:abstractNumId w:val="934729"/>
  </w:num>
  <w:num w:numId="20">
    <w:abstractNumId w:val="934730"/>
  </w:num>
  <w:num w:numId="21">
    <w:abstractNumId w:val="934731"/>
  </w:num>
  <w:num w:numId="22">
    <w:abstractNumId w:val="934732"/>
  </w:num>
  <w:num w:numId="23">
    <w:abstractNumId w:val="934733"/>
  </w:num>
  <w:num w:numId="24">
    <w:abstractNumId w:val="9347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media/image5.png" Type="http://schemas.openxmlformats.org/officeDocument/2006/relationships/image"/><Relationship Id="rId13" Target="embeddings/Microsoft_Excel_Worksheet4.xlsx" Type="http://schemas.openxmlformats.org/officeDocument/2006/relationships/package"/><Relationship Id="rId14" Target="media/image6.png" Type="http://schemas.openxmlformats.org/officeDocument/2006/relationships/image"/><Relationship Id="rId15" Target="embeddings/Microsoft_Excel_Worksheet5.xlsx" Type="http://schemas.openxmlformats.org/officeDocument/2006/relationships/package"/><Relationship Id="rId16" Target="media/image7.png" Type="http://schemas.openxmlformats.org/officeDocument/2006/relationships/image"/><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2025-12-10T06:25:48Z</dcterms:created>
  <dc:creator>Apache POI</dc:creator>
</cp:coreProperties>
</file>