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SCALE文档12月版本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SCALE 测评框架 2025年12月版本说明：生产级 SQL 评测基准的深度演进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 本月导览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2025年12月，SCALE 完成了</w:t>
      </w:r>
      <w:r>
        <w:rPr>
          <w:rFonts w:eastAsia="等线" w:ascii="Arial" w:cs="Arial" w:hAnsi="Arial"/>
          <w:sz w:val="22"/>
        </w:rPr>
        <w:t>核心数据集和榜单模型的</w:t>
      </w:r>
      <w:r>
        <w:rPr>
          <w:rFonts w:eastAsia="等线" w:ascii="Arial" w:cs="Arial" w:hAnsi="Arial"/>
          <w:sz w:val="22"/>
        </w:rPr>
        <w:t>迭代。本月更新的核心价值在于：</w:t>
      </w:r>
      <w:r>
        <w:rPr>
          <w:rFonts w:eastAsia="等线" w:ascii="Arial" w:cs="Arial" w:hAnsi="Arial"/>
          <w:b w:val="true"/>
          <w:sz w:val="22"/>
        </w:rPr>
        <w:t>SQL 调优维度</w:t>
      </w:r>
      <w:r>
        <w:rPr>
          <w:rFonts w:eastAsia="等线" w:ascii="Arial" w:cs="Arial" w:hAnsi="Arial"/>
          <w:b w:val="true"/>
          <w:sz w:val="22"/>
        </w:rPr>
        <w:t>测评</w:t>
      </w:r>
      <w:r>
        <w:rPr>
          <w:rFonts w:eastAsia="等线" w:ascii="Arial" w:cs="Arial" w:hAnsi="Arial"/>
          <w:b w:val="true"/>
          <w:sz w:val="22"/>
        </w:rPr>
        <w:t>数据集 2.0 正式上线</w:t>
      </w:r>
      <w:r>
        <w:rPr>
          <w:rFonts w:eastAsia="等线" w:ascii="Arial" w:cs="Arial" w:hAnsi="Arial"/>
          <w:sz w:val="22"/>
        </w:rPr>
        <w:t>。该版本标志着评测基准从学术化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SQL </w:t>
      </w:r>
      <w:r>
        <w:rPr>
          <w:rFonts w:eastAsia="等线" w:ascii="Arial" w:cs="Arial" w:hAnsi="Arial"/>
          <w:sz w:val="22"/>
        </w:rPr>
        <w:t>调优</w:t>
      </w:r>
      <w:r>
        <w:rPr>
          <w:rFonts w:eastAsia="等线" w:ascii="Arial" w:cs="Arial" w:hAnsi="Arial"/>
          <w:sz w:val="22"/>
        </w:rPr>
        <w:t>，全面转向对“生产级复杂性”场景的真实模拟。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与此同时，本月完成了针对 GPT-5 系列、Claude 4.5 系列及蚂蚁百灵 Ling-2.0-Flash 等新一代模型的首发评测。我们旨在通过严苛的基准数据集，为企业技术决策者提供模型 SQL 能力具备落地价值的参考。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 评测基准升级：SQL 调优数据集 2.0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为系统化评估大语言模型（LLM）在</w:t>
      </w:r>
      <w:r>
        <w:rPr>
          <w:rFonts w:eastAsia="等线" w:ascii="Arial" w:cs="Arial" w:hAnsi="Arial"/>
          <w:sz w:val="22"/>
        </w:rPr>
        <w:t>真实生产环境</w:t>
      </w:r>
      <w:r>
        <w:rPr>
          <w:rFonts w:eastAsia="等线" w:ascii="Arial" w:cs="Arial" w:hAnsi="Arial"/>
          <w:sz w:val="22"/>
        </w:rPr>
        <w:t>复杂业务逻辑处理中的实战能力，我们对 SQL 调优维度的评测</w:t>
      </w:r>
      <w:r>
        <w:rPr>
          <w:rFonts w:eastAsia="等线" w:ascii="Arial" w:cs="Arial" w:hAnsi="Arial"/>
          <w:sz w:val="22"/>
        </w:rPr>
        <w:t>数据集</w:t>
      </w:r>
      <w:r>
        <w:rPr>
          <w:rFonts w:eastAsia="等线" w:ascii="Arial" w:cs="Arial" w:hAnsi="Arial"/>
          <w:sz w:val="22"/>
        </w:rPr>
        <w:t>进行了</w:t>
      </w:r>
      <w:r>
        <w:rPr>
          <w:rFonts w:eastAsia="等线" w:ascii="Arial" w:cs="Arial" w:hAnsi="Arial"/>
          <w:sz w:val="22"/>
        </w:rPr>
        <w:t>体量扩充和难度升级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生产级复杂性维度定义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新版数据集摒弃了理想化的语法改写，聚焦于解决生产环境中的真实性能瓶颈：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高阶算子与复杂函数适配</w:t>
      </w:r>
      <w:r>
        <w:rPr>
          <w:rFonts w:eastAsia="等线" w:ascii="Arial" w:cs="Arial" w:hAnsi="Arial"/>
          <w:sz w:val="22"/>
        </w:rPr>
        <w:t>：深度覆盖窗口函数（Window Functions）、嵌套聚合、递归 CTE 及特定数据库引擎的高级特性算子。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大规模关联与长上下文</w:t>
      </w:r>
      <w:r>
        <w:rPr>
          <w:rFonts w:eastAsia="等线" w:ascii="Arial" w:cs="Arial" w:hAnsi="Arial"/>
          <w:sz w:val="22"/>
        </w:rPr>
        <w:t>：测试用例涉及平均 5-10 张物理表关联，单条 SQL 长度普遍超过 100 行，重点考察模型在长文本环境下的语义锚定能力。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逻辑链路重构能力</w:t>
      </w:r>
      <w:r>
        <w:rPr>
          <w:rFonts w:eastAsia="等线" w:ascii="Arial" w:cs="Arial" w:hAnsi="Arial"/>
          <w:sz w:val="22"/>
        </w:rPr>
        <w:t>：通过多层嵌套结构，验证模型对执行路径的重排能力及对临时逻辑链路的解构效率。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高保真业务语义</w:t>
      </w:r>
      <w:r>
        <w:rPr>
          <w:rFonts w:eastAsia="等线" w:ascii="Arial" w:cs="Arial" w:hAnsi="Arial"/>
          <w:sz w:val="22"/>
        </w:rPr>
        <w:t>：用例来源于金融清算、电商核算等脱敏真实业务，要求模型在理解深层业务意图的基础上进行逻辑等价优化。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SQL 优化分项指标表现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基于强化后的数据集，我们通过三个核心技术子维度量化模型在数据升级后的真实表现：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逻辑等价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优化深度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语法错误检测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SQL 优化维度测评总结：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技术分层显著化</w:t>
      </w:r>
      <w:r>
        <w:rPr>
          <w:rFonts w:eastAsia="等线" w:ascii="Arial" w:cs="Arial" w:hAnsi="Arial"/>
          <w:sz w:val="22"/>
        </w:rPr>
        <w:t>：在生产级复杂任务下，GPT-5.2 与 Claude Opus 4.5 展现了代际领跑优势。特别是在“规则深度”维度，GPT-5.2 展示了卓越的物理代价评估能力。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路径差异化竞争</w:t>
      </w:r>
      <w:r>
        <w:rPr>
          <w:rFonts w:eastAsia="等线" w:ascii="Arial" w:cs="Arial" w:hAnsi="Arial"/>
          <w:sz w:val="22"/>
        </w:rPr>
        <w:t>：OpenAI 阵营倾向于“执行效率”与重写深度；Anthropic 阵营则在“语义保真度”上达到极致；</w:t>
      </w:r>
      <w:r>
        <w:rPr>
          <w:rFonts w:eastAsia="等线" w:ascii="Arial" w:cs="Arial" w:hAnsi="Arial"/>
          <w:b w:val="true"/>
          <w:sz w:val="22"/>
        </w:rPr>
        <w:t xml:space="preserve">SQLflash </w:t>
      </w:r>
      <w:r>
        <w:rPr>
          <w:rFonts w:eastAsia="等线" w:ascii="Arial" w:cs="Arial" w:hAnsi="Arial"/>
          <w:sz w:val="22"/>
        </w:rPr>
        <w:t>则通过 MoE 架构在执行准确性与效能平衡上开辟了新赛道。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工业熟化判定</w:t>
      </w:r>
      <w:r>
        <w:rPr>
          <w:rFonts w:eastAsia="等线" w:ascii="Arial" w:cs="Arial" w:hAnsi="Arial"/>
          <w:sz w:val="22"/>
        </w:rPr>
        <w:t xml:space="preserve">：GPT-5.2 具备最高的综合生产就绪度。而 </w:t>
      </w:r>
      <w:r>
        <w:rPr>
          <w:rFonts w:eastAsia="等线" w:ascii="Arial" w:cs="Arial" w:hAnsi="Arial"/>
          <w:b w:val="true"/>
          <w:sz w:val="22"/>
        </w:rPr>
        <w:t>SQLflash</w:t>
      </w:r>
      <w:r>
        <w:rPr>
          <w:rFonts w:eastAsia="等线" w:ascii="Arial" w:cs="Arial" w:hAnsi="Arial"/>
          <w:sz w:val="22"/>
        </w:rPr>
        <w:t xml:space="preserve"> 则在“语法安全性”与“执行合规性”上展现了极高的工业级底色，是构建安全审计防火墙的理想选择。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 核心厂商模型技术解析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OpenAI：聚焦执行计划的物理优化专家</w:t>
      </w:r>
      <w:bookmarkEnd w:id="1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GPT-5.2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能力核心</w:t>
      </w:r>
      <w:r>
        <w:rPr>
          <w:rFonts w:eastAsia="等线" w:ascii="Arial" w:cs="Arial" w:hAnsi="Arial"/>
          <w:sz w:val="22"/>
        </w:rPr>
        <w:t>：具备卓越的物理执行计划洞察力，不仅能进行等效语义改写，更能主动识别隐式转换、索引失效等底层痛点，干预执行路径（如建议 Hash Join）。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：显著降低生产环境慢查询风险，生成的 SQL 符合金融级合规标准，执行准确率达 95.5%，极大减少 DBA 的人工审核成本。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GPT-5.1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能力核心</w:t>
      </w:r>
      <w:r>
        <w:rPr>
          <w:rFonts w:eastAsia="等线" w:ascii="Arial" w:cs="Arial" w:hAnsi="Arial"/>
          <w:sz w:val="22"/>
        </w:rPr>
        <w:t>：专注于激进的结构化重构，擅长将老旧系统的复杂子查询扁平化，消除冗余关联，降低系统负载。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：实测数据显示执行时延平均降低 30% 以上，是存量老旧系统代码现代化与性能压测达标的首选模型。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Anthropic：语义保真与复杂逻辑解构的基准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Opus 4.5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能力核心</w:t>
      </w:r>
      <w:r>
        <w:rPr>
          <w:rFonts w:eastAsia="等线" w:ascii="Arial" w:cs="Arial" w:hAnsi="Arial"/>
          <w:sz w:val="22"/>
        </w:rPr>
        <w:t>：逻辑一致性的代际标杆，目前唯一能稳定处理 10 层以上 CTE 嵌套且保证逻辑零偏差的模型，语境锚定与语义解构精度极高。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：在高敏感的财务核算、核销逻辑等容错率为零的场景下，提供极高的逻辑保真度（99.5 分），杜绝因改写导致的业务结果偏差。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Sonnet 4.5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能力核心</w:t>
      </w:r>
      <w:r>
        <w:rPr>
          <w:rFonts w:eastAsia="等线" w:ascii="Arial" w:cs="Arial" w:hAnsi="Arial"/>
          <w:sz w:val="22"/>
        </w:rPr>
        <w:t>：全能型迁移底座，对不同数据库方言间的变量作用域、临时表生命周期等底层细节掌控极其细腻。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：具备极高的转换稳定性与长期维护性，是构建企业级自动化迁移流水线、处理大规模 DDL/DML 迁移的最佳平衡方案。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Haiku 4.5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能力核心</w:t>
      </w:r>
      <w:r>
        <w:rPr>
          <w:rFonts w:eastAsia="等线" w:ascii="Arial" w:cs="Arial" w:hAnsi="Arial"/>
          <w:sz w:val="22"/>
        </w:rPr>
        <w:t>：极低延迟下的高精度语法诊断，能在毫秒级响应中提供优于前代旗舰的纠错能力。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：显著提升 IDE 插件集成及实时 SQL Linting 的用户体验，在保证低计算成本的同时维持开发辅助的高可靠性。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蚂蚁百灵：信创生态适配与审计领跑者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Ling-2.0-Flash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能力核心</w:t>
      </w:r>
      <w:r>
        <w:rPr>
          <w:rFonts w:eastAsia="等线" w:ascii="Arial" w:cs="Arial" w:hAnsi="Arial"/>
          <w:sz w:val="22"/>
        </w:rPr>
        <w:t>：针对国产数据库生态（如 OceanBase Oracle 模式）底层协议与方言特性的原生对标，具备极致的 MoE 参数激活策略。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：信创国产化替代场景下的核心引擎，显著降低跨数据库迁移的适配成本，在处理存储过程等高级对象时表现亮眼。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 评测模型变更日志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新增评测模型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4.5 系列</w:t>
      </w:r>
      <w:r>
        <w:rPr>
          <w:rFonts w:eastAsia="等线" w:ascii="Arial" w:cs="Arial" w:hAnsi="Arial"/>
          <w:sz w:val="22"/>
        </w:rPr>
        <w:t>：Opus、Sonnet、Haiku 全量进入评测矩阵。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OpenAI 系列</w:t>
      </w:r>
      <w:r>
        <w:rPr>
          <w:rFonts w:eastAsia="等线" w:ascii="Arial" w:cs="Arial" w:hAnsi="Arial"/>
          <w:sz w:val="22"/>
        </w:rPr>
        <w:t>：GPT-5.1、GPT-5.2 正式版本。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蚂蚁百灵系列</w:t>
      </w:r>
      <w:r>
        <w:rPr>
          <w:rFonts w:eastAsia="等线" w:ascii="Arial" w:cs="Arial" w:hAnsi="Arial"/>
          <w:sz w:val="22"/>
        </w:rPr>
        <w:t>：Ling-2.0-Flash (MoE 架构)。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存量模型升级与快照更新</w:t>
      </w:r>
      <w:bookmarkEnd w:id="1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o4-mini-high</w:t>
      </w:r>
      <w:r>
        <w:rPr>
          <w:rFonts w:eastAsia="等线" w:ascii="Arial" w:cs="Arial" w:hAnsi="Arial"/>
          <w:sz w:val="22"/>
        </w:rPr>
        <w:t>：替换旧版版本，显著提升了多表关联场景下的逻辑收敛性。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GPT-5 统一快照</w:t>
      </w:r>
      <w:r>
        <w:rPr>
          <w:rFonts w:eastAsia="等线" w:ascii="Arial" w:cs="Arial" w:hAnsi="Arial"/>
          <w:sz w:val="22"/>
        </w:rPr>
        <w:t>：将所有实验分支统一更新为 12 月最新的 Snapshot 版本，确保评测的一致性。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DeepSeek-V3.2 正式版</w:t>
      </w:r>
      <w:r>
        <w:rPr>
          <w:rFonts w:eastAsia="等线" w:ascii="Arial" w:cs="Arial" w:hAnsi="Arial"/>
          <w:sz w:val="22"/>
        </w:rPr>
        <w:t>：由实验版 (Exp) 切换至生产稳定版，重点针对 Oracle 语法下的幻觉问题进行了针对性修复。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 三大核心维度综合榜单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SCALE 2.0 评测标准，本月模型在各维度的性能排布如下：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SQL 优化能力榜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 xml:space="preserve">2. SQL 方言转换榜 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SQL 理解能力榜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 xml:space="preserve">六、 结论与推荐部署矩阵 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 SCALE </w:t>
      </w:r>
      <w:r>
        <w:rPr>
          <w:rFonts w:eastAsia="等线" w:ascii="Arial" w:cs="Arial" w:hAnsi="Arial"/>
          <w:sz w:val="22"/>
        </w:rPr>
        <w:t>SQL优化数据集</w:t>
      </w:r>
      <w:r>
        <w:rPr>
          <w:rFonts w:eastAsia="等线" w:ascii="Arial" w:cs="Arial" w:hAnsi="Arial"/>
          <w:sz w:val="22"/>
        </w:rPr>
        <w:t>2.0 的实战评测</w:t>
      </w:r>
      <w:r>
        <w:rPr>
          <w:rFonts w:eastAsia="等线" w:ascii="Arial" w:cs="Arial" w:hAnsi="Arial"/>
          <w:sz w:val="22"/>
        </w:rPr>
        <w:t>得分</w:t>
      </w:r>
      <w:r>
        <w:rPr>
          <w:rFonts w:eastAsia="等线" w:ascii="Arial" w:cs="Arial" w:hAnsi="Arial"/>
          <w:sz w:val="22"/>
        </w:rPr>
        <w:t>，我们建议用户按需选择部署方案：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生产环境慢 SQL 性能调优</w:t>
      </w:r>
      <w:r>
        <w:rPr>
          <w:rFonts w:eastAsia="等线" w:ascii="Arial" w:cs="Arial" w:hAnsi="Arial"/>
          <w:sz w:val="22"/>
        </w:rPr>
        <w:t xml:space="preserve">：首选 </w:t>
      </w:r>
      <w:r>
        <w:rPr>
          <w:rFonts w:eastAsia="等线" w:ascii="Arial" w:cs="Arial" w:hAnsi="Arial"/>
          <w:b w:val="true"/>
          <w:sz w:val="22"/>
        </w:rPr>
        <w:t>GPT-5.2</w:t>
      </w:r>
      <w:r>
        <w:rPr>
          <w:rFonts w:eastAsia="等线" w:ascii="Arial" w:cs="Arial" w:hAnsi="Arial"/>
          <w:sz w:val="22"/>
        </w:rPr>
        <w:t>，利用其在物理层执行路径的深度优化能力。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复杂核心业务逻辑迁移</w:t>
      </w:r>
      <w:r>
        <w:rPr>
          <w:rFonts w:eastAsia="等线" w:ascii="Arial" w:cs="Arial" w:hAnsi="Arial"/>
          <w:sz w:val="22"/>
        </w:rPr>
        <w:t xml:space="preserve">：首选 </w:t>
      </w:r>
      <w:r>
        <w:rPr>
          <w:rFonts w:eastAsia="等线" w:ascii="Arial" w:cs="Arial" w:hAnsi="Arial"/>
          <w:b w:val="true"/>
          <w:sz w:val="22"/>
        </w:rPr>
        <w:t>Claude Opus 4.5</w:t>
      </w:r>
      <w:r>
        <w:rPr>
          <w:rFonts w:eastAsia="等线" w:ascii="Arial" w:cs="Arial" w:hAnsi="Arial"/>
          <w:sz w:val="22"/>
        </w:rPr>
        <w:t>，确保在跨库迁移中的极致逻辑一致性。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信创国产化替代场景</w:t>
      </w:r>
      <w:r>
        <w:rPr>
          <w:rFonts w:eastAsia="等线" w:ascii="Arial" w:cs="Arial" w:hAnsi="Arial"/>
          <w:sz w:val="22"/>
        </w:rPr>
        <w:t xml:space="preserve">：推荐部署 </w:t>
      </w:r>
      <w:r>
        <w:rPr>
          <w:rFonts w:eastAsia="等线" w:ascii="Arial" w:cs="Arial" w:hAnsi="Arial"/>
          <w:b w:val="true"/>
          <w:sz w:val="22"/>
        </w:rPr>
        <w:t>Ling-2.0-Flash</w:t>
      </w:r>
      <w:r>
        <w:rPr>
          <w:rFonts w:eastAsia="等线" w:ascii="Arial" w:cs="Arial" w:hAnsi="Arial"/>
          <w:sz w:val="22"/>
        </w:rPr>
        <w:t>，其针对国产化数据库的专向适配能显著缩短迁移周期。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高频实时 SQL 审计与校验</w:t>
      </w:r>
      <w:r>
        <w:rPr>
          <w:rFonts w:eastAsia="等线" w:ascii="Arial" w:cs="Arial" w:hAnsi="Arial"/>
          <w:sz w:val="22"/>
        </w:rPr>
        <w:t xml:space="preserve">：首选 </w:t>
      </w:r>
      <w:r>
        <w:rPr>
          <w:rFonts w:eastAsia="等线" w:ascii="Arial" w:cs="Arial" w:hAnsi="Arial"/>
          <w:b w:val="true"/>
          <w:sz w:val="22"/>
        </w:rPr>
        <w:t>Claude Haiku 4.5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Ling-2.0-Flash</w:t>
      </w:r>
      <w:r>
        <w:rPr>
          <w:rFonts w:eastAsia="等线" w:ascii="Arial" w:cs="Arial" w:hAnsi="Arial"/>
          <w:sz w:val="22"/>
        </w:rPr>
        <w:t>，在极低时延下提供高可靠的语法诊断。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立即体验：</w:t>
      </w:r>
      <w:r>
        <w:rPr>
          <w:rFonts w:eastAsia="等线" w:ascii="Arial" w:cs="Arial" w:hAnsi="Arial"/>
          <w:sz w:val="22"/>
        </w:rPr>
        <w:t xml:space="preserve"> 欢迎登录 SCALE 官网获取详尽的技术白皮书及完整模型跑分矩阵。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04729">
    <w:lvl>
      <w:numFmt w:val="bullet"/>
      <w:suff w:val="tab"/>
      <w:lvlText w:val="•"/>
      <w:rPr>
        <w:color w:val="3370ff"/>
      </w:rPr>
    </w:lvl>
  </w:abstractNum>
  <w:abstractNum w:abstractNumId="3304730">
    <w:lvl>
      <w:numFmt w:val="bullet"/>
      <w:suff w:val="tab"/>
      <w:lvlText w:val="•"/>
      <w:rPr>
        <w:color w:val="3370ff"/>
      </w:rPr>
    </w:lvl>
  </w:abstractNum>
  <w:abstractNum w:abstractNumId="3304731">
    <w:lvl>
      <w:numFmt w:val="bullet"/>
      <w:suff w:val="tab"/>
      <w:lvlText w:val="•"/>
      <w:rPr>
        <w:color w:val="3370ff"/>
      </w:rPr>
    </w:lvl>
  </w:abstractNum>
  <w:abstractNum w:abstractNumId="3304732">
    <w:lvl>
      <w:numFmt w:val="bullet"/>
      <w:suff w:val="tab"/>
      <w:lvlText w:val="•"/>
      <w:rPr>
        <w:color w:val="3370ff"/>
      </w:rPr>
    </w:lvl>
  </w:abstractNum>
  <w:abstractNum w:abstractNumId="3304733">
    <w:lvl>
      <w:numFmt w:val="bullet"/>
      <w:suff w:val="tab"/>
      <w:lvlText w:val="•"/>
      <w:rPr>
        <w:color w:val="3370ff"/>
      </w:rPr>
    </w:lvl>
  </w:abstractNum>
  <w:abstractNum w:abstractNumId="3304734">
    <w:lvl>
      <w:numFmt w:val="bullet"/>
      <w:suff w:val="tab"/>
      <w:lvlText w:val="•"/>
      <w:rPr>
        <w:color w:val="3370ff"/>
      </w:rPr>
    </w:lvl>
  </w:abstractNum>
  <w:abstractNum w:abstractNumId="3304735">
    <w:lvl>
      <w:numFmt w:val="bullet"/>
      <w:suff w:val="tab"/>
      <w:lvlText w:val="•"/>
      <w:rPr>
        <w:color w:val="3370ff"/>
      </w:rPr>
    </w:lvl>
  </w:abstractNum>
  <w:abstractNum w:abstractNumId="3304736">
    <w:lvl>
      <w:numFmt w:val="bullet"/>
      <w:suff w:val="tab"/>
      <w:lvlText w:val="•"/>
      <w:rPr>
        <w:color w:val="3370ff"/>
      </w:rPr>
    </w:lvl>
  </w:abstractNum>
  <w:abstractNum w:abstractNumId="3304737">
    <w:lvl>
      <w:numFmt w:val="bullet"/>
      <w:suff w:val="tab"/>
      <w:lvlText w:val="￮"/>
      <w:rPr>
        <w:color w:val="3370ff"/>
      </w:rPr>
    </w:lvl>
  </w:abstractNum>
  <w:abstractNum w:abstractNumId="3304738">
    <w:lvl>
      <w:numFmt w:val="bullet"/>
      <w:suff w:val="tab"/>
      <w:lvlText w:val="￮"/>
      <w:rPr>
        <w:color w:val="3370ff"/>
      </w:rPr>
    </w:lvl>
  </w:abstractNum>
  <w:abstractNum w:abstractNumId="3304739">
    <w:lvl>
      <w:numFmt w:val="bullet"/>
      <w:suff w:val="tab"/>
      <w:lvlText w:val="•"/>
      <w:rPr>
        <w:color w:val="3370ff"/>
      </w:rPr>
    </w:lvl>
  </w:abstractNum>
  <w:abstractNum w:abstractNumId="3304740">
    <w:lvl>
      <w:numFmt w:val="bullet"/>
      <w:suff w:val="tab"/>
      <w:lvlText w:val="￮"/>
      <w:rPr>
        <w:color w:val="3370ff"/>
      </w:rPr>
    </w:lvl>
  </w:abstractNum>
  <w:abstractNum w:abstractNumId="3304741">
    <w:lvl>
      <w:numFmt w:val="bullet"/>
      <w:suff w:val="tab"/>
      <w:lvlText w:val="￮"/>
      <w:rPr>
        <w:color w:val="3370ff"/>
      </w:rPr>
    </w:lvl>
  </w:abstractNum>
  <w:abstractNum w:abstractNumId="3304742">
    <w:lvl>
      <w:numFmt w:val="bullet"/>
      <w:suff w:val="tab"/>
      <w:lvlText w:val="•"/>
      <w:rPr>
        <w:color w:val="3370ff"/>
      </w:rPr>
    </w:lvl>
  </w:abstractNum>
  <w:abstractNum w:abstractNumId="3304743">
    <w:lvl>
      <w:numFmt w:val="bullet"/>
      <w:suff w:val="tab"/>
      <w:lvlText w:val="￮"/>
      <w:rPr>
        <w:color w:val="3370ff"/>
      </w:rPr>
    </w:lvl>
  </w:abstractNum>
  <w:abstractNum w:abstractNumId="3304744">
    <w:lvl>
      <w:numFmt w:val="bullet"/>
      <w:suff w:val="tab"/>
      <w:lvlText w:val="￮"/>
      <w:rPr>
        <w:color w:val="3370ff"/>
      </w:rPr>
    </w:lvl>
  </w:abstractNum>
  <w:abstractNum w:abstractNumId="3304745">
    <w:lvl>
      <w:numFmt w:val="bullet"/>
      <w:suff w:val="tab"/>
      <w:lvlText w:val="•"/>
      <w:rPr>
        <w:color w:val="3370ff"/>
      </w:rPr>
    </w:lvl>
  </w:abstractNum>
  <w:abstractNum w:abstractNumId="3304746">
    <w:lvl>
      <w:numFmt w:val="bullet"/>
      <w:suff w:val="tab"/>
      <w:lvlText w:val="￮"/>
      <w:rPr>
        <w:color w:val="3370ff"/>
      </w:rPr>
    </w:lvl>
  </w:abstractNum>
  <w:abstractNum w:abstractNumId="3304747">
    <w:lvl>
      <w:numFmt w:val="bullet"/>
      <w:suff w:val="tab"/>
      <w:lvlText w:val="￮"/>
      <w:rPr>
        <w:color w:val="3370ff"/>
      </w:rPr>
    </w:lvl>
  </w:abstractNum>
  <w:abstractNum w:abstractNumId="3304748">
    <w:lvl>
      <w:numFmt w:val="bullet"/>
      <w:suff w:val="tab"/>
      <w:lvlText w:val="•"/>
      <w:rPr>
        <w:color w:val="3370ff"/>
      </w:rPr>
    </w:lvl>
  </w:abstractNum>
  <w:abstractNum w:abstractNumId="3304749">
    <w:lvl>
      <w:numFmt w:val="bullet"/>
      <w:suff w:val="tab"/>
      <w:lvlText w:val="￮"/>
      <w:rPr>
        <w:color w:val="3370ff"/>
      </w:rPr>
    </w:lvl>
  </w:abstractNum>
  <w:abstractNum w:abstractNumId="3304750">
    <w:lvl>
      <w:numFmt w:val="bullet"/>
      <w:suff w:val="tab"/>
      <w:lvlText w:val="￮"/>
      <w:rPr>
        <w:color w:val="3370ff"/>
      </w:rPr>
    </w:lvl>
  </w:abstractNum>
  <w:abstractNum w:abstractNumId="3304751">
    <w:lvl>
      <w:numFmt w:val="bullet"/>
      <w:suff w:val="tab"/>
      <w:lvlText w:val="•"/>
      <w:rPr>
        <w:color w:val="3370ff"/>
      </w:rPr>
    </w:lvl>
  </w:abstractNum>
  <w:abstractNum w:abstractNumId="3304752">
    <w:lvl>
      <w:numFmt w:val="bullet"/>
      <w:suff w:val="tab"/>
      <w:lvlText w:val="￮"/>
      <w:rPr>
        <w:color w:val="3370ff"/>
      </w:rPr>
    </w:lvl>
  </w:abstractNum>
  <w:abstractNum w:abstractNumId="3304753">
    <w:lvl>
      <w:numFmt w:val="bullet"/>
      <w:suff w:val="tab"/>
      <w:lvlText w:val="￮"/>
      <w:rPr>
        <w:color w:val="3370ff"/>
      </w:rPr>
    </w:lvl>
  </w:abstractNum>
  <w:abstractNum w:abstractNumId="3304754">
    <w:lvl>
      <w:numFmt w:val="bullet"/>
      <w:suff w:val="tab"/>
      <w:lvlText w:val="•"/>
      <w:rPr>
        <w:color w:val="3370ff"/>
      </w:rPr>
    </w:lvl>
  </w:abstractNum>
  <w:abstractNum w:abstractNumId="3304755">
    <w:lvl>
      <w:numFmt w:val="bullet"/>
      <w:suff w:val="tab"/>
      <w:lvlText w:val="•"/>
      <w:rPr>
        <w:color w:val="3370ff"/>
      </w:rPr>
    </w:lvl>
  </w:abstractNum>
  <w:abstractNum w:abstractNumId="3304756">
    <w:lvl>
      <w:numFmt w:val="bullet"/>
      <w:suff w:val="tab"/>
      <w:lvlText w:val="•"/>
      <w:rPr>
        <w:color w:val="3370ff"/>
      </w:rPr>
    </w:lvl>
  </w:abstractNum>
  <w:abstractNum w:abstractNumId="3304757">
    <w:lvl>
      <w:numFmt w:val="bullet"/>
      <w:suff w:val="tab"/>
      <w:lvlText w:val="•"/>
      <w:rPr>
        <w:color w:val="3370ff"/>
      </w:rPr>
    </w:lvl>
  </w:abstractNum>
  <w:abstractNum w:abstractNumId="3304758">
    <w:lvl>
      <w:numFmt w:val="bullet"/>
      <w:suff w:val="tab"/>
      <w:lvlText w:val="•"/>
      <w:rPr>
        <w:color w:val="3370ff"/>
      </w:rPr>
    </w:lvl>
  </w:abstractNum>
  <w:abstractNum w:abstractNumId="3304759">
    <w:lvl>
      <w:numFmt w:val="bullet"/>
      <w:suff w:val="tab"/>
      <w:lvlText w:val="•"/>
      <w:rPr>
        <w:color w:val="3370ff"/>
      </w:rPr>
    </w:lvl>
  </w:abstractNum>
  <w:abstractNum w:abstractNumId="3304760">
    <w:lvl>
      <w:numFmt w:val="bullet"/>
      <w:suff w:val="tab"/>
      <w:lvlText w:val="•"/>
      <w:rPr>
        <w:color w:val="3370ff"/>
      </w:rPr>
    </w:lvl>
  </w:abstractNum>
  <w:abstractNum w:abstractNumId="3304761">
    <w:lvl>
      <w:numFmt w:val="bullet"/>
      <w:suff w:val="tab"/>
      <w:lvlText w:val="•"/>
      <w:rPr>
        <w:color w:val="3370ff"/>
      </w:rPr>
    </w:lvl>
  </w:abstractNum>
  <w:abstractNum w:abstractNumId="3304762">
    <w:lvl>
      <w:numFmt w:val="bullet"/>
      <w:suff w:val="tab"/>
      <w:lvlText w:val="•"/>
      <w:rPr>
        <w:color w:val="3370ff"/>
      </w:rPr>
    </w:lvl>
  </w:abstractNum>
  <w:abstractNum w:abstractNumId="3304763">
    <w:lvl>
      <w:numFmt w:val="bullet"/>
      <w:suff w:val="tab"/>
      <w:lvlText w:val="•"/>
      <w:rPr>
        <w:color w:val="3370ff"/>
      </w:rPr>
    </w:lvl>
  </w:abstractNum>
  <w:num w:numId="1">
    <w:abstractNumId w:val="3304729"/>
  </w:num>
  <w:num w:numId="2">
    <w:abstractNumId w:val="3304730"/>
  </w:num>
  <w:num w:numId="3">
    <w:abstractNumId w:val="3304731"/>
  </w:num>
  <w:num w:numId="4">
    <w:abstractNumId w:val="3304732"/>
  </w:num>
  <w:num w:numId="5">
    <w:abstractNumId w:val="3304733"/>
  </w:num>
  <w:num w:numId="6">
    <w:abstractNumId w:val="3304734"/>
  </w:num>
  <w:num w:numId="7">
    <w:abstractNumId w:val="3304735"/>
  </w:num>
  <w:num w:numId="8">
    <w:abstractNumId w:val="3304736"/>
  </w:num>
  <w:num w:numId="9">
    <w:abstractNumId w:val="3304737"/>
  </w:num>
  <w:num w:numId="10">
    <w:abstractNumId w:val="3304738"/>
  </w:num>
  <w:num w:numId="11">
    <w:abstractNumId w:val="3304739"/>
  </w:num>
  <w:num w:numId="12">
    <w:abstractNumId w:val="3304740"/>
  </w:num>
  <w:num w:numId="13">
    <w:abstractNumId w:val="3304741"/>
  </w:num>
  <w:num w:numId="14">
    <w:abstractNumId w:val="3304742"/>
  </w:num>
  <w:num w:numId="15">
    <w:abstractNumId w:val="3304743"/>
  </w:num>
  <w:num w:numId="16">
    <w:abstractNumId w:val="3304744"/>
  </w:num>
  <w:num w:numId="17">
    <w:abstractNumId w:val="3304745"/>
  </w:num>
  <w:num w:numId="18">
    <w:abstractNumId w:val="3304746"/>
  </w:num>
  <w:num w:numId="19">
    <w:abstractNumId w:val="3304747"/>
  </w:num>
  <w:num w:numId="20">
    <w:abstractNumId w:val="3304748"/>
  </w:num>
  <w:num w:numId="21">
    <w:abstractNumId w:val="3304749"/>
  </w:num>
  <w:num w:numId="22">
    <w:abstractNumId w:val="3304750"/>
  </w:num>
  <w:num w:numId="23">
    <w:abstractNumId w:val="3304751"/>
  </w:num>
  <w:num w:numId="24">
    <w:abstractNumId w:val="3304752"/>
  </w:num>
  <w:num w:numId="25">
    <w:abstractNumId w:val="3304753"/>
  </w:num>
  <w:num w:numId="26">
    <w:abstractNumId w:val="3304754"/>
  </w:num>
  <w:num w:numId="27">
    <w:abstractNumId w:val="3304755"/>
  </w:num>
  <w:num w:numId="28">
    <w:abstractNumId w:val="3304756"/>
  </w:num>
  <w:num w:numId="29">
    <w:abstractNumId w:val="3304757"/>
  </w:num>
  <w:num w:numId="30">
    <w:abstractNumId w:val="3304758"/>
  </w:num>
  <w:num w:numId="31">
    <w:abstractNumId w:val="3304759"/>
  </w:num>
  <w:num w:numId="32">
    <w:abstractNumId w:val="3304760"/>
  </w:num>
  <w:num w:numId="33">
    <w:abstractNumId w:val="3304761"/>
  </w:num>
  <w:num w:numId="34">
    <w:abstractNumId w:val="3304762"/>
  </w:num>
  <w:num w:numId="35">
    <w:abstractNumId w:val="33047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2025-12-26T08:36:21Z</dcterms:created>
  <dc:creator>Apache POI</dc:creator>
</cp:coreProperties>
</file>