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F17684">
      <w:pPr>
        <w:jc w:val="center"/>
        <w:outlineLvl w:val="0"/>
        <w:rPr>
          <w:rFonts w:ascii="宋体" w:hAnsi="宋体"/>
          <w:b/>
          <w:spacing w:val="20"/>
          <w:sz w:val="36"/>
          <w:szCs w:val="36"/>
        </w:rPr>
      </w:pPr>
      <w:r>
        <w:rPr>
          <w:rFonts w:hint="eastAsia" w:ascii="宋体" w:hAnsi="宋体"/>
          <w:b/>
          <w:spacing w:val="20"/>
          <w:sz w:val="36"/>
          <w:szCs w:val="36"/>
        </w:rPr>
        <w:t>腐蚀防腐系统质量等级评价</w:t>
      </w:r>
    </w:p>
    <w:tbl>
      <w:tblPr>
        <w:tblStyle w:val="4"/>
        <w:tblW w:w="928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4253"/>
        <w:gridCol w:w="1559"/>
        <w:gridCol w:w="2232"/>
      </w:tblGrid>
      <w:tr w14:paraId="2F3FF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  <w:jc w:val="center"/>
        </w:trPr>
        <w:tc>
          <w:tcPr>
            <w:tcW w:w="1242" w:type="dxa"/>
            <w:vAlign w:val="center"/>
          </w:tcPr>
          <w:p w14:paraId="5CC5EA21">
            <w:pPr>
              <w:jc w:val="center"/>
              <w:rPr>
                <w:sz w:val="24"/>
              </w:rPr>
            </w:pPr>
            <w:r>
              <w:rPr>
                <w:sz w:val="24"/>
              </w:rPr>
              <w:t>管道名称</w:t>
            </w:r>
          </w:p>
        </w:tc>
        <w:tc>
          <w:tcPr>
            <w:tcW w:w="4253" w:type="dxa"/>
            <w:vAlign w:val="center"/>
          </w:tcPr>
          <w:p w14:paraId="18E65F78">
            <w:pPr>
              <w:jc w:val="center"/>
              <w:rPr>
                <w:rFonts w:ascii="宋体" w:hAnsi="宋体"/>
                <w:color w:val="00000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41E50C11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评价标准</w:t>
            </w:r>
          </w:p>
        </w:tc>
        <w:tc>
          <w:tcPr>
            <w:tcW w:w="2232" w:type="dxa"/>
            <w:vAlign w:val="center"/>
          </w:tcPr>
          <w:p w14:paraId="08ED1E8E">
            <w:pPr>
              <w:jc w:val="center"/>
              <w:rPr>
                <w:rFonts w:ascii="宋体" w:hAnsi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GB/T 19285-2026</w:t>
            </w:r>
          </w:p>
        </w:tc>
      </w:tr>
      <w:tr w14:paraId="497F4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13" w:hRule="atLeast"/>
          <w:jc w:val="center"/>
        </w:trPr>
        <w:tc>
          <w:tcPr>
            <w:tcW w:w="9286" w:type="dxa"/>
            <w:gridSpan w:val="4"/>
            <w:tcMar>
              <w:left w:w="125" w:type="dxa"/>
              <w:right w:w="125" w:type="dxa"/>
            </w:tcMar>
          </w:tcPr>
          <w:p w14:paraId="2F6636E0">
            <w:pPr>
              <w:numPr>
                <w:ilvl w:val="0"/>
                <w:numId w:val="1"/>
              </w:num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评价使用的检测数据</w:t>
            </w:r>
          </w:p>
          <w:p w14:paraId="68F97822">
            <w:pPr>
              <w:spacing w:line="360" w:lineRule="auto"/>
              <w:ind w:firstLine="420" w:firstLineChars="200"/>
              <w:jc w:val="left"/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防腐层：石油沥青，管径：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159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，土壤腐蚀性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(N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值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)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：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18.5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；外防腐层状况：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 P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值: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 0.67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；杂散电流干扰：管地电位波动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: 40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；阴保有效性：无效，排流有效性：无效；</w:t>
            </w:r>
          </w:p>
          <w:p w14:paraId="76E0CD61">
            <w:pPr>
              <w:numPr>
                <w:ilvl w:val="0"/>
                <w:numId w:val="1"/>
              </w:num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建立模糊集</w:t>
            </w:r>
          </w:p>
          <w:p w14:paraId="01E8F0E8">
            <w:pPr>
              <w:spacing w:line="360" w:lineRule="auto"/>
              <w:ind w:firstLine="420" w:firstLineChars="200"/>
              <w:jc w:val="left"/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因素集：</w:t>
            </w:r>
            <w:r>
              <w:rPr>
                <w:rFonts w:hint="eastAsia"/>
                <w:i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U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={外防腐层状况 </w:t>
            </w: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u</m:t>
                  </m:r>
                  <m:ctrlPr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1</m:t>
                  </m:r>
                  <m:ctrlPr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，阴极保护有效性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，土壤腐蚀性 </w:t>
            </w: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u</m:t>
                  </m:r>
                  <m:ctrlPr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3</m:t>
                  </m:r>
                  <m:ctrlPr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，杂散电流干扰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4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，排流效果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5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}</w:t>
            </w:r>
          </w:p>
          <w:p w14:paraId="66FFDAEE">
            <w:pPr>
              <w:spacing w:line="360" w:lineRule="auto"/>
              <w:ind w:firstLine="420" w:firstLineChars="200"/>
              <w:jc w:val="left"/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评价集：</w:t>
            </w:r>
            <m:oMath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V=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v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j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</m:d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v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v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v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3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v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4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</m:d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1,2,3,4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</m:d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 xml:space="preserve"> </m:t>
              </m:r>
              <m:r>
                <m:rPr>
                  <m:sty m:val="p"/>
                </m:rPr>
                <w:rPr>
                  <w:rFonts w:hint="eastAsia"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（</m:t>
              </m:r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j=1,2,3, 4</m:t>
              </m:r>
              <m:r>
                <m:rPr>
                  <m:sty m:val="p"/>
                </m:rPr>
                <w:rPr>
                  <w:rFonts w:hint="eastAsia"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）</m:t>
              </m:r>
            </m:oMath>
            <w:bookmarkStart w:id="0" w:name="_GoBack"/>
            <w:bookmarkEnd w:id="0"/>
          </w:p>
          <w:p w14:paraId="57B4CE2D">
            <w:pPr>
              <w:numPr>
                <w:ilvl w:val="0"/>
                <w:numId w:val="1"/>
              </w:num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建立单因素评价矩阵并计算结果</w:t>
            </w:r>
          </w:p>
          <w:p w14:paraId="7B279B66">
            <w:pPr>
              <w:spacing w:line="360" w:lineRule="auto"/>
              <w:jc w:val="left"/>
              <w:rPr>
                <w:szCs w:val="21"/>
              </w:rPr>
            </w:pPr>
            <m:oMathPara>
              <m:oMathParaPr>
                <m:jc m:val="center"/>
              </m:oMathParaPr>
              <m:oMath>
                <m:r>
                  <m:rPr/>
                  <w:rPr>
                    <w:rFonts w:hint="eastAsia" w:ascii="Cambria Math" w:hAnsi="Cambria Math"/>
                    <w:sz w:val="18"/>
                    <w:szCs w:val="18"/>
                  </w:rPr>
                  <m:t>R=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/>
                        <w:sz w:val="18"/>
                        <w:szCs w:val="18"/>
                      </w:rPr>
                      <m:t>[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/>
                            <w:sz w:val="18"/>
                            <w:szCs w:val="18"/>
                          </w:rPr>
                          <m:t>R</m:t>
                        </m: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z w:val="18"/>
                        <w:szCs w:val="18"/>
                      </w:rPr>
                      <m:t>]</m:t>
                    </m: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z w:val="18"/>
                    <w:szCs w:val="1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/>
                        <w:sz w:val="18"/>
                        <w:szCs w:val="18"/>
                      </w:rPr>
                      <m:t>[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/>
                            <w:sz w:val="18"/>
                            <w:szCs w:val="18"/>
                          </w:rPr>
                          <m:t>μ</m:t>
                        </m: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ivj</m:t>
                        </m: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z w:val="18"/>
                        <w:szCs w:val="18"/>
                      </w:rPr>
                      <m:t>(x)]</m:t>
                    </m: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z w:val="18"/>
                    <w:szCs w:val="18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1v1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1v2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1v3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2v1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2v2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2v3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3v1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3v2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3v3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</m:m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1v4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2v4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3v4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</m:m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4v1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4v2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4v3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5v1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4v2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5v3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</m:m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4v4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5v4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</m:m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e>
                      </m:mr>
                    </m:m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z w:val="18"/>
                    <w:szCs w:val="18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eastAsiaTheme="minorEastAsia" w:cstheme="minorBidi"/>
                        <w:i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</m:mr>
                    </m:m>
                    <m:ctrlPr>
                      <w:rPr>
                        <w:rFonts w:ascii="Cambria Math" w:hAnsi="Cambria Math" w:eastAsiaTheme="minorEastAsia" w:cstheme="minorBidi"/>
                        <w:i/>
                        <w:sz w:val="18"/>
                        <w:szCs w:val="18"/>
                      </w:rPr>
                    </m:ctrlPr>
                  </m:e>
                </m:d>
              </m:oMath>
            </m:oMathPara>
          </w:p>
          <w:p w14:paraId="0E22DEB4">
            <w:pPr>
              <w:pStyle w:val="8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确定评价指标的权重</w:t>
            </w:r>
          </w:p>
          <w:p w14:paraId="38914508">
            <w:pPr>
              <w:ind w:left="454" w:leftChars="216"/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、判断矩阵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:</w:t>
            </w:r>
          </w:p>
          <w:p w14:paraId="11E22592">
            <w:pPr>
              <w:ind w:left="454" w:leftChars="216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r>
                  <m:rPr/>
                  <w:rPr>
                    <w:rFonts w:ascii="Cambria Math" w:hAnsi="Cambria Math"/>
                    <w:color w:val="000000" w:themeColor="text1"/>
                    <w:sz w:val="18"/>
                    <w:szCs w:val="18"/>
                    <w14:textFill>
                      <w14:solidFill>
                        <w14:schemeClr w14:val="tx1"/>
                      </w14:solidFill>
                    </w14:textFill>
                  </w:rPr>
                  <m:t>B=[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m:t>b</m:t>
                    </m:r>
                    <m:ctrlPr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m:t>ij</m:t>
                    </m:r>
                    <m:ctrlPr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m:ctrlPr>
                  </m:sub>
                </m:sSub>
                <m:r>
                  <m:rPr/>
                  <w:rPr>
                    <w:rFonts w:ascii="Cambria Math" w:hAnsi="Cambria Math"/>
                    <w:color w:val="000000" w:themeColor="text1"/>
                    <w:sz w:val="18"/>
                    <w:szCs w:val="18"/>
                    <w14:textFill>
                      <w14:solidFill>
                        <w14:schemeClr w14:val="tx1"/>
                      </w14:solidFill>
                    </w14:textFill>
                  </w:rPr>
                  <m:t>]=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eastAsiaTheme="minorEastAsia" w:cstheme="minorBidi"/>
                        <w:i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ascii="Cambria Math" w:hAnsi="Cambria Math"/>
                            <w:color w:val="000000" w:themeColor="text1"/>
                            <w:sz w:val="18"/>
                            <w:szCs w:val="1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11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12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13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14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15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21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22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23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24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25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31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32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33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34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35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41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42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43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44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45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51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52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53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54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55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</m:m>
                    <m:ctrlPr>
                      <w:rPr>
                        <w:rFonts w:ascii="Cambria Math" w:hAnsi="Cambria Math" w:eastAsiaTheme="minorEastAsia" w:cstheme="minorBidi"/>
                        <w:i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color w:val="000000" w:themeColor="text1"/>
                    <w:sz w:val="18"/>
                    <w:szCs w:val="18"/>
                    <w14:textFill>
                      <w14:solidFill>
                        <w14:schemeClr w14:val="tx1"/>
                      </w14:solidFill>
                    </w14:textFill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eastAsiaTheme="minorEastAsia" w:cstheme="minorBidi"/>
                        <w:i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ascii="Cambria Math" w:hAnsi="Cambria Math"/>
                            <w:color w:val="000000" w:themeColor="text1"/>
                            <w:sz w:val="18"/>
                            <w:szCs w:val="1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5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4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1/4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1/5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</m:m>
                    <m:ctrlPr>
                      <w:rPr>
                        <w:rFonts w:ascii="Cambria Math" w:hAnsi="Cambria Math" w:eastAsiaTheme="minorEastAsia" w:cstheme="minorBidi"/>
                        <w:i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m:ctrlPr>
                  </m:e>
                </m:d>
              </m:oMath>
            </m:oMathPara>
          </w:p>
          <w:p w14:paraId="4F8177AC">
            <w:pPr>
              <w:pStyle w:val="8"/>
              <w:spacing w:line="360" w:lineRule="auto"/>
              <w:ind w:left="510" w:firstLine="0" w:firstLineChars="0"/>
              <w:jc w:val="left"/>
              <w:rPr>
                <w:color w:val="000000" w:themeColor="text1"/>
                <w:szCs w:val="21"/>
                <w:vertAlign w:val="superscript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、计算权值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:W=(W</w:t>
            </w:r>
            <w:r>
              <w:rPr>
                <w:color w:val="000000" w:themeColor="text1"/>
                <w:szCs w:val="21"/>
                <w:vertAlign w:val="subscript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,W</w:t>
            </w:r>
            <w:r>
              <w:rPr>
                <w:color w:val="000000" w:themeColor="text1"/>
                <w:szCs w:val="21"/>
                <w:vertAlign w:val="subscript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,W</w:t>
            </w:r>
            <w:r>
              <w:rPr>
                <w:color w:val="000000" w:themeColor="text1"/>
                <w:szCs w:val="21"/>
                <w:vertAlign w:val="subscript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,W</w:t>
            </w:r>
            <w:r>
              <w:rPr>
                <w:color w:val="000000" w:themeColor="text1"/>
                <w:szCs w:val="21"/>
                <w:vertAlign w:val="subscript"/>
                <w14:textFill>
                  <w14:solidFill>
                    <w14:schemeClr w14:val="tx1"/>
                  </w14:solidFill>
                </w14:textFill>
              </w:rPr>
              <w:t>4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,W</w:t>
            </w:r>
            <w:r>
              <w:rPr>
                <w:color w:val="000000" w:themeColor="text1"/>
                <w:szCs w:val="21"/>
                <w:vertAlign w:val="subscript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)</w:t>
            </w:r>
            <w:r>
              <w:rPr>
                <w:color w:val="000000" w:themeColor="text1"/>
                <w:szCs w:val="21"/>
                <w:vertAlign w:val="superscript"/>
                <w14:textFill>
                  <w14:solidFill>
                    <w14:schemeClr w14:val="tx1"/>
                  </w14:solidFill>
                </w14:textFill>
              </w:rPr>
              <w:t>T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=(</w:t>
            </w: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0.402,0.269,0.099,0.066,0.163</m:t>
              </m:r>
            </m:oMath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)</w:t>
            </w:r>
            <w:r>
              <w:rPr>
                <w:color w:val="000000" w:themeColor="text1"/>
                <w:szCs w:val="21"/>
                <w:vertAlign w:val="superscript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  <w:p w14:paraId="4D91002A">
            <w:pPr>
              <w:pStyle w:val="8"/>
              <w:spacing w:line="360" w:lineRule="auto"/>
              <w:ind w:left="510" w:firstLine="0" w:firstLineChars="0"/>
              <w:jc w:val="left"/>
              <w:textAlignment w:val="center"/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、最大特征根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:</w:t>
            </w:r>
            <m:oMath>
              <m:sSub>
                <m:sSubPr>
                  <m:ctrlPr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λ</m:t>
                  </m:r>
                  <m:ctrlPr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max</m:t>
                  </m:r>
                  <m:ctrlPr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  <m:r>
                <m:rPr/>
                <w:rPr>
                  <w:rFonts w:ascii="Cambria Math" w:hAnsi="Cambria Math" w:cs="Calibri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Calibri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naryPr>
                <m:sub>
                  <m:r>
                    <m:rPr/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i=1</m:t>
                  </m:r>
                  <m:ctrlPr>
                    <w:rPr>
                      <w:rFonts w:ascii="Cambria Math" w:hAnsi="Cambria Math" w:cs="Calibri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  <m:sup>
                  <m:r>
                    <m:rPr/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5</m:t>
                  </m:r>
                  <m:ctrlPr>
                    <w:rPr>
                      <w:rFonts w:ascii="Cambria Math" w:hAnsi="Cambria Math" w:cs="Calibri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p>
                <m:e>
                  <m:f>
                    <m:fPr>
                      <m:ctrlPr>
                        <w:rPr>
                          <w:rFonts w:ascii="Cambria Math" w:hAnsi="Cambria Math" w:cs="Calibri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(BW)</m:t>
                          </m: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i</m:t>
                          </m: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cs="Calibri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num>
                    <m:den>
                      <m:r>
                        <m:rPr/>
                        <w:rPr>
                          <w:rFonts w:ascii="Cambria Math" w:hAnsi="Cambria Math" w:cs="Calibri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5</m:t>
                      </m:r>
                      <m:sSub>
                        <m:sSubP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W</m:t>
                          </m: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i</m:t>
                          </m: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cs="Calibri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=5.140</m:t>
                  </m:r>
                  <m:ctrlPr>
                    <w:rPr>
                      <w:rFonts w:ascii="Cambria Math" w:hAnsi="Cambria Math" w:cs="Calibri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</m:nary>
            </m:oMath>
          </w:p>
          <w:p w14:paraId="2A2B7AAD">
            <w:pPr>
              <w:pStyle w:val="8"/>
              <w:spacing w:line="360" w:lineRule="auto"/>
              <w:ind w:left="510" w:firstLine="0" w:firstLineChars="0"/>
              <w:jc w:val="left"/>
              <w:textAlignment w:val="center"/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4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、一致性检验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:</w:t>
            </w:r>
            <m:oMath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CI=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Cs w:val="21"/>
                          <w:vertAlign w:val="subscript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λ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Cs w:val="21"/>
                          <w:vertAlign w:val="subscript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:vertAlign w:val="subscript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max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Cs w:val="21"/>
                          <w:vertAlign w:val="subscript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−5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num>
                <m:den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4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en>
              </m:f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=0.03</m:t>
              </m:r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    </w:t>
            </w:r>
            <m:oMath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CR=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fPr>
                <m:num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CI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num>
                <m:den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RI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en>
              </m:f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fPr>
                <m:num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0.035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num>
                <m:den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1.12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en>
              </m:f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0.031</m:t>
              </m:r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&lt;0.10</m:t>
              </m:r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一致性检验</w:t>
            </w:r>
            <m:oMath>
              <m:r>
                <m:rPr>
                  <m:sty m:val="p"/>
                </m:rPr>
                <w:rPr>
                  <w:rFonts w:hint="eastAsia"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合格</m:t>
              </m:r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  <w:p w14:paraId="31A847B7">
            <w:pPr>
              <w:pStyle w:val="8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腐蚀防护系统模糊综合评价结果</w:t>
            </w:r>
          </w:p>
          <w:p w14:paraId="28D5265E">
            <w:pPr>
              <w:pStyle w:val="8"/>
              <w:spacing w:line="360" w:lineRule="auto"/>
              <w:ind w:left="426" w:firstLine="0" w:firstLineChars="0"/>
              <w:jc w:val="left"/>
              <w:rPr>
                <w:rFonts w:ascii="Cambria Math" w:hAnsi="Cambria Math"/>
                <w:i/>
                <w:szCs w:val="21"/>
              </w:rPr>
            </w:pPr>
            <m:oMathPara>
              <m:oMathParaPr>
                <m:jc m:val="left"/>
              </m:oMathParaPr>
              <m:oMath>
                <m:r>
                  <m:rPr/>
                  <w:rPr>
                    <w:rFonts w:hint="eastAsia" w:ascii="Cambria Math" w:hAnsi="Cambria Math"/>
                    <w:szCs w:val="21"/>
                  </w:rPr>
                  <m:t>A</m:t>
                </m:r>
                <m:r>
                  <m:rPr/>
                  <w:rPr>
                    <w:rFonts w:ascii="Cambria Math" w:hAnsi="Cambria Math"/>
                    <w:szCs w:val="21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/>
                        <w:szCs w:val="21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zCs w:val="21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/>
                    <w:szCs w:val="21"/>
                  </w:rPr>
                  <m:t>·</m:t>
                </m:r>
                <m:r>
                  <m:rPr/>
                  <w:rPr>
                    <w:rFonts w:ascii="Cambria Math" w:hAnsi="Cambria Math"/>
                    <w:szCs w:val="21"/>
                  </w:rPr>
                  <m:t>R=[01.00,01.00,01.00,01.00]</m:t>
                </m:r>
              </m:oMath>
            </m:oMathPara>
          </w:p>
          <w:p w14:paraId="10D0E7A9">
            <w:pPr>
              <w:pStyle w:val="8"/>
              <w:spacing w:line="360" w:lineRule="auto"/>
              <w:ind w:left="426" w:firstLine="0" w:firstLineChars="0"/>
              <w:jc w:val="left"/>
              <w:rPr>
                <w:szCs w:val="21"/>
              </w:rPr>
            </w:pPr>
            <m:oMathPara>
              <m:oMathParaPr>
                <m:jc m:val="left"/>
              </m:oMathParaPr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accPr>
                  <m:e>
                    <m:r>
                      <m:rPr/>
                      <w:rPr>
                        <w:rFonts w:hint="eastAsia" w:ascii="Cambria Math" w:hAnsi="Cambria Math"/>
                        <w:szCs w:val="21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e>
                </m:acc>
                <m:r>
                  <m:rPr>
                    <m:sty m:val="p"/>
                  </m:rPr>
                  <w:rPr>
                    <w:rFonts w:hint="eastAsia" w:ascii="Cambria Math" w:hAnsi="Cambria Math"/>
                    <w:szCs w:val="21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01.00</m:t>
                </m:r>
              </m:oMath>
            </m:oMathPara>
          </w:p>
          <w:p w14:paraId="0472A6F2">
            <w:pPr>
              <w:ind w:firstLine="420" w:firstLineChars="200"/>
              <w:rPr>
                <w:szCs w:val="21"/>
              </w:rPr>
            </w:pPr>
          </w:p>
        </w:tc>
      </w:tr>
      <w:tr w14:paraId="332CB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48" w:hRule="atLeast"/>
          <w:jc w:val="center"/>
        </w:trPr>
        <w:tc>
          <w:tcPr>
            <w:tcW w:w="9286" w:type="dxa"/>
            <w:gridSpan w:val="4"/>
          </w:tcPr>
          <w:p w14:paraId="2D1EB960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结论：</w:t>
            </w:r>
          </w:p>
          <w:p w14:paraId="3E7D6734">
            <w:pPr>
              <w:ind w:firstLine="420" w:firstLineChars="20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本段管道的腐蚀状况综合评价结果为三级，腐蚀防护系统整体状况较差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,</w:t>
            </w: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存在缺陷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,</w:t>
            </w: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不能完全满足设计要求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,</w:t>
            </w: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在使用单位采取适当措施后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,</w:t>
            </w: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可在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年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~3</w:t>
            </w: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年检验周期内在限定的条件下使用。</w:t>
            </w:r>
          </w:p>
        </w:tc>
      </w:tr>
    </w:tbl>
    <w:p w14:paraId="3B4FB575"/>
    <w:sectPr>
      <w:pgSz w:w="11906" w:h="16838"/>
      <w:pgMar w:top="851" w:right="1800" w:bottom="993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1CF0CAF"/>
    <w:multiLevelType w:val="multilevel"/>
    <w:tmpl w:val="61CF0CAF"/>
    <w:lvl w:ilvl="0" w:tentative="0">
      <w:start w:val="1"/>
      <w:numFmt w:val="japaneseCounting"/>
      <w:lvlText w:val="%1、"/>
      <w:lvlJc w:val="left"/>
      <w:pPr>
        <w:ind w:left="510" w:hanging="51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1473"/>
    <w:rsid w:val="00044847"/>
    <w:rsid w:val="00171473"/>
    <w:rsid w:val="004E0D8B"/>
    <w:rsid w:val="00500E5B"/>
    <w:rsid w:val="007E2CB8"/>
    <w:rsid w:val="008F7296"/>
    <w:rsid w:val="00B3063F"/>
    <w:rsid w:val="00B4346C"/>
    <w:rsid w:val="00C06BC9"/>
    <w:rsid w:val="00CA6093"/>
    <w:rsid w:val="00D905FB"/>
    <w:rsid w:val="00EC57C9"/>
    <w:rsid w:val="00EF6E92"/>
    <w:rsid w:val="00F83327"/>
    <w:rsid w:val="047D6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7">
    <w:name w:val="页脚 字符"/>
    <w:basedOn w:val="5"/>
    <w:link w:val="2"/>
    <w:qFormat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  <w:style w:type="character" w:styleId="9">
    <w:name w:val="Placeholder Text"/>
    <w:basedOn w:val="5"/>
    <w:semiHidden/>
    <w:qFormat/>
    <w:uiPriority w:val="99"/>
    <w:rPr>
      <w:color w:val="80808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...</Company>
  <Pages>1</Pages>
  <Words>576</Words>
  <Characters>936</Characters>
  <Lines>10</Lines>
  <Paragraphs>2</Paragraphs>
  <TotalTime>42</TotalTime>
  <ScaleCrop>false</ScaleCrop>
  <LinksUpToDate>false</LinksUpToDate>
  <CharactersWithSpaces>951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2026-07-24T07:14:00Z</dcterms:created>
  <dc:creator>Wang</dc:creator>
  <cp:lastModifiedBy>远车</cp:lastModifiedBy>
  <dcterms:modified xsi:type="dcterms:W3CDTF">2026-08-01T15:48:41Z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eyJoZGlkIjoiMTc5MDZhOWFmODFhNDMwMjRmODBjMmJhOTlmNTYwNjEiLCJ1c2VySWQiOiI3ODMyMTU0NzYifQ==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659836D3CFC2414E96B5456761406F82_12</vt:lpwstr>
  </property>
</Properties>
</file>