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17684">
      <w:pPr>
        <w:jc w:val="center"/>
        <w:outlineLvl w:val="0"/>
        <w:rPr>
          <w:rFonts w:ascii="宋体" w:hAnsi="宋体"/>
          <w:b/>
          <w:spacing w:val="20"/>
          <w:sz w:val="36"/>
          <w:szCs w:val="36"/>
        </w:rPr>
      </w:pPr>
      <w:r>
        <w:rPr>
          <w:rFonts w:hint="eastAsia" w:ascii="宋体" w:hAnsi="宋体"/>
          <w:b/>
          <w:spacing w:val="20"/>
          <w:sz w:val="36"/>
          <w:szCs w:val="36"/>
        </w:rPr>
        <w:t>腐蚀</w:t>
      </w:r>
      <w:r>
        <w:rPr>
          <w:rFonts w:hint="eastAsia" w:ascii="宋体" w:hAnsi="宋体"/>
          <w:b/>
          <w:spacing w:val="20"/>
          <w:sz w:val="36"/>
          <w:szCs w:val="36"/>
          <w:lang w:val="en-US" w:eastAsia="zh-CN"/>
        </w:rPr>
        <w:t>防护</w:t>
      </w:r>
      <w:r>
        <w:rPr>
          <w:rFonts w:hint="eastAsia" w:ascii="宋体" w:hAnsi="宋体"/>
          <w:b/>
          <w:spacing w:val="20"/>
          <w:sz w:val="36"/>
          <w:szCs w:val="36"/>
        </w:rPr>
        <w:t>系统质量等级评价</w:t>
      </w:r>
    </w:p>
    <w:tbl>
      <w:tblPr>
        <w:tblStyle w:val="4"/>
        <w:tblW w:w="92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4253"/>
        <w:gridCol w:w="1559"/>
        <w:gridCol w:w="2232"/>
      </w:tblGrid>
      <w:tr w14:paraId="2F3FF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242" w:type="dxa"/>
            <w:vAlign w:val="center"/>
          </w:tcPr>
          <w:p w14:paraId="5CC5EA21">
            <w:pPr>
              <w:jc w:val="center"/>
              <w:rPr>
                <w:sz w:val="24"/>
              </w:rPr>
            </w:pPr>
            <w:r>
              <w:rPr>
                <w:sz w:val="24"/>
              </w:rPr>
              <w:t>管道名称</w:t>
            </w:r>
          </w:p>
        </w:tc>
        <w:tc>
          <w:tcPr>
            <w:tcW w:w="4253" w:type="dxa"/>
            <w:vAlign w:val="center"/>
          </w:tcPr>
          <w:p w14:paraId="18E65F78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41E50C1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评价标准</w:t>
            </w:r>
          </w:p>
        </w:tc>
        <w:tc>
          <w:tcPr>
            <w:tcW w:w="2232" w:type="dxa"/>
            <w:vAlign w:val="center"/>
          </w:tcPr>
          <w:p w14:paraId="08ED1E8E">
            <w:pPr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GB/T 19285-2026</w:t>
            </w:r>
          </w:p>
        </w:tc>
      </w:tr>
      <w:tr w14:paraId="497F4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3" w:hRule="atLeast"/>
          <w:jc w:val="center"/>
        </w:trPr>
        <w:tc>
          <w:tcPr>
            <w:tcW w:w="9286" w:type="dxa"/>
            <w:gridSpan w:val="4"/>
            <w:tcMar>
              <w:left w:w="125" w:type="dxa"/>
              <w:right w:w="125" w:type="dxa"/>
            </w:tcMar>
          </w:tcPr>
          <w:p w14:paraId="2F6636E0">
            <w:pPr>
              <w:numPr>
                <w:ilvl w:val="0"/>
                <w:numId w:val="1"/>
              </w:num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评价使用的检测数据</w:t>
            </w:r>
          </w:p>
          <w:p w14:paraId="68F97822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{% for r in pip_stats%}{{r.数据}}</w:t>
            </w:r>
          </w:p>
          <w:p w14:paraId="1C1A6735">
            <w:pPr>
              <w:spacing w:line="360" w:lineRule="auto"/>
              <w:ind w:firstLine="420" w:firstLineChars="200"/>
              <w:jc w:val="left"/>
              <w:rPr>
                <w:rFonts w:hint="default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{%endfor%}</w:t>
            </w:r>
          </w:p>
          <w:p w14:paraId="76E0CD61">
            <w:pPr>
              <w:numPr>
                <w:ilvl w:val="0"/>
                <w:numId w:val="1"/>
              </w:num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建立模糊集</w:t>
            </w:r>
          </w:p>
          <w:p w14:paraId="01E8F0E8">
            <w:pPr>
              <w:spacing w:line="360" w:lineRule="auto"/>
              <w:ind w:firstLine="420" w:firstLineChars="200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因素集：</w:t>
            </w:r>
            <w:r>
              <w:rPr>
                <w:rFonts w:hint="eastAsia"/>
                <w:i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U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={外防腐层状况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u</m:t>
                  </m: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1</m:t>
                  </m: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</m:oMath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，阴极保护有效性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</m:oMath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，土壤腐蚀性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u</m:t>
                  </m: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3</m:t>
                  </m:r>
                  <m:ctrlPr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</m:oMath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，杂散电流干扰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</m:oMath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，排流效果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5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</m:oMath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}</w:t>
            </w:r>
          </w:p>
          <w:p w14:paraId="66FFDAEE">
            <w:pPr>
              <w:spacing w:line="360" w:lineRule="auto"/>
              <w:ind w:firstLine="420" w:firstLineChars="200"/>
              <w:jc w:val="left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评价集：</w:t>
            </w:r>
            <m:oMath>
              <m:r>
                <m:rPr/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V=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d>
              <m:r>
                <m:rPr/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1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3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d>
              <m:r>
                <m:rPr/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1,2,3,4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d>
              <m:r>
                <m:rPr/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 xml:space="preserve"> </m:t>
              </m:r>
              <m:r>
                <m:rPr>
                  <m:sty m:val="p"/>
                </m:rPr>
                <w:rPr>
                  <w:rFonts w:hint="eastAsia"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（</m:t>
              </m:r>
              <m:r>
                <m:rPr/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j=1,2,3, 4</m:t>
              </m:r>
              <m:r>
                <m:rPr>
                  <m:sty m:val="p"/>
                </m:rPr>
                <w:rPr>
                  <w:rFonts w:hint="eastAsia"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）</m:t>
              </m:r>
            </m:oMath>
          </w:p>
          <w:p w14:paraId="57B4CE2D">
            <w:pPr>
              <w:numPr>
                <w:ilvl w:val="0"/>
                <w:numId w:val="1"/>
              </w:num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建立单因素评价矩阵并计算结果</w:t>
            </w:r>
          </w:p>
          <w:p w14:paraId="7B279B66">
            <w:pPr>
              <w:spacing w:line="360" w:lineRule="auto"/>
              <w:jc w:val="left"/>
              <w:rPr>
                <w:szCs w:val="21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eastAsia" w:ascii="Cambria Math" w:hAnsi="Cambria Math"/>
                    <w:sz w:val="18"/>
                    <w:szCs w:val="18"/>
                  </w:rPr>
                  <m:t>R=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sz w:val="18"/>
                        <w:szCs w:val="1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/>
                            <w:sz w:val="18"/>
                            <w:szCs w:val="18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]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/>
                            <w:sz w:val="18"/>
                            <w:szCs w:val="18"/>
                          </w:rPr>
                          <m:t>μ</m:t>
                        </m: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ivj</m:t>
                        </m: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(x)]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 w:val="18"/>
                        <w:szCs w:val="18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1v1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1v2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1v3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2v1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2v2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2v3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3v1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3v2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3v3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1v4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2v4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3v4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4v1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4v2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4v3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5v1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4v2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5v3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4v4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sz w:val="18"/>
                                        <w:szCs w:val="18"/>
                                      </w:rPr>
                                      <m:t>μ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hAnsi="Cambria Math"/>
                                        <w:sz w:val="18"/>
                                        <w:szCs w:val="18"/>
                                      </w:rPr>
                                      <m:t>5v4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z w:val="18"/>
                                    <w:szCs w:val="18"/>
                                  </w:rPr>
                                  <m:t>(x)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i/>
                        <w:sz w:val="18"/>
                        <w:szCs w:val="18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18"/>
                    <w:szCs w:val="18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Theme="minorEastAsia" w:cstheme="minorBidi"/>
                        <w:i/>
                        <w:sz w:val="18"/>
                        <w:szCs w:val="1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18"/>
                              <w:szCs w:val="18"/>
                              <w:lang w:val="en-US" w:eastAsia="zh-CN"/>
                            </w:rPr>
                            <m:t>PMR</m:t>
                          </m:r>
                          <m:ctrl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 w:cstheme="minorBidi"/>
                        <w:i/>
                        <w:sz w:val="18"/>
                        <w:szCs w:val="18"/>
                      </w:rPr>
                    </m:ctrlPr>
                  </m:e>
                </m:d>
              </m:oMath>
            </m:oMathPara>
          </w:p>
          <w:p w14:paraId="0E22DEB4">
            <w:pPr>
              <w:pStyle w:val="8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确定评价指标的权重</w:t>
            </w:r>
          </w:p>
          <w:p w14:paraId="38914508">
            <w:pPr>
              <w:ind w:left="454" w:leftChars="216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、判断矩阵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  <w:p w14:paraId="11E22592">
            <w:pPr>
              <w:ind w:left="454" w:leftChars="216"/>
              <w:rPr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m:oMathPara>
              <m:oMath>
                <m:r>
                  <m:rPr/>
                  <w:rPr>
                    <w:rFonts w:ascii="Cambria Math" w:hAnsi="Cambria Math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B=[</m:t>
                </m:r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b</m:t>
                    </m:r>
                    <m:ctrlP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m:t>ij</m:t>
                    </m:r>
                    <m:ctrlPr>
                      <w:rPr>
                        <w:rFonts w:ascii="Cambria Math" w:hAnsi="Cambria Math"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]=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Theme="minorEastAsia" w:cstheme="minorBidi"/>
                        <w:i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11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12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13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14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15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21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22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23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24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25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31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32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33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34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35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41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42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43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44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45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51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52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53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54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m:t>55</m:t>
                              </m: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 w:cstheme="minorBidi"/>
                        <w:i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color w:val="000000" w:themeColor="text1"/>
                    <w:sz w:val="18"/>
                    <w:szCs w:val="18"/>
                    <w14:textFill>
                      <w14:solidFill>
                        <w14:schemeClr w14:val="tx1"/>
                      </w14:solidFill>
                    </w14:textFill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eastAsiaTheme="minorEastAsia" w:cstheme="minorBidi"/>
                        <w:i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5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ascii="Cambria Math" w:hAnsi="Cambria Math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1/2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4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1/3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1/4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1/2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1/5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1/3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1/2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1/3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1/3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1/2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 w:eastAsiaTheme="minorEastAsia" w:cstheme="minorBidi"/>
                        <w:i/>
                        <w:color w:val="000000" w:themeColor="text1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m:ctrlPr>
                  </m:e>
                </m:d>
              </m:oMath>
            </m:oMathPara>
          </w:p>
          <w:p w14:paraId="4F8177AC">
            <w:pPr>
              <w:pStyle w:val="8"/>
              <w:spacing w:line="360" w:lineRule="auto"/>
              <w:ind w:left="510" w:firstLine="0" w:firstLineChars="0"/>
              <w:jc w:val="left"/>
              <w:rPr>
                <w:color w:val="000000" w:themeColor="text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、计算权值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:W=(W</w:t>
            </w:r>
            <w:r>
              <w:rPr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,W</w:t>
            </w:r>
            <w:r>
              <w:rPr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,W</w:t>
            </w:r>
            <w:r>
              <w:rPr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,W</w:t>
            </w:r>
            <w:r>
              <w:rPr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,W</w:t>
            </w:r>
            <w:r>
              <w:rPr>
                <w:color w:val="000000" w:themeColor="text1"/>
                <w:szCs w:val="21"/>
                <w:vertAlign w:val="subscript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color w:val="000000" w:themeColor="text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=(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0.402,0.269,0.099,0.066,0.163</m:t>
              </m:r>
            </m:oMath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)</w:t>
            </w:r>
            <w:r>
              <w:rPr>
                <w:color w:val="000000" w:themeColor="text1"/>
                <w:szCs w:val="21"/>
                <w:vertAlign w:val="superscript"/>
                <w14:textFill>
                  <w14:solidFill>
                    <w14:schemeClr w14:val="tx1"/>
                  </w14:solidFill>
                </w14:textFill>
              </w:rPr>
              <w:t>T</w:t>
            </w:r>
          </w:p>
          <w:p w14:paraId="4D91002A">
            <w:pPr>
              <w:pStyle w:val="8"/>
              <w:spacing w:line="360" w:lineRule="auto"/>
              <w:ind w:left="510" w:firstLine="0" w:firstLineChars="0"/>
              <w:jc w:val="left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、最大特征根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:</w:t>
            </w:r>
            <m:oMath>
              <m:sSub>
                <m:sSubPr>
                  <m:ctrlPr>
                    <w:rPr>
                      <w:rFonts w:ascii="Cambria Math" w:hAnsi="Cambria Math" w:cs="Calibri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λ</m:t>
                  </m:r>
                  <m:ctrlPr>
                    <w:rPr>
                      <w:rFonts w:ascii="Cambria Math" w:hAnsi="Cambria Math" w:cs="Calibri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  <m:sub>
                  <m:r>
                    <m:rPr/>
                    <w:rPr>
                      <w:rFonts w:ascii="Cambria Math" w:hAnsi="Cambria Math" w:cs="Calibri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max</m:t>
                  </m:r>
                  <m:ctrlPr>
                    <w:rPr>
                      <w:rFonts w:ascii="Cambria Math" w:hAnsi="Cambria Math" w:cs="Calibri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</m:sSub>
              <m:r>
                <m:rPr/>
                <w:rPr>
                  <w:rFonts w:ascii="Cambria Math" w:hAnsi="Cambria Math" w:cs="Calibri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Calibri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aryPr>
                <m:sub>
                  <m:r>
                    <m:rPr/>
                    <w:rPr>
                      <w:rFonts w:ascii="Cambria Math" w:hAnsi="Cambria Math" w:cs="Calibri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i=1</m:t>
                  </m: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b>
                <m:sup>
                  <m:r>
                    <m:rPr/>
                    <w:rPr>
                      <w:rFonts w:ascii="Cambria Math" w:hAnsi="Cambria Math" w:cs="Calibri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5</m:t>
                  </m: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sup>
                <m:e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Calibri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(BW)</m:t>
                          </m:r>
                          <m:ctrlPr>
                            <w:rPr>
                              <w:rFonts w:ascii="Cambria Math" w:hAnsi="Cambria Math" w:cs="Calibri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cs="Calibri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i</m:t>
                          </m:r>
                          <m:ctrlPr>
                            <w:rPr>
                              <w:rFonts w:ascii="Cambria Math" w:hAnsi="Cambria Math" w:cs="Calibri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libri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cs="Calibri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5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cs="Calibri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W</m:t>
                          </m:r>
                          <m:ctrlPr>
                            <w:rPr>
                              <w:rFonts w:ascii="Cambria Math" w:hAnsi="Cambria Math" w:cs="Calibri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cs="Calibri"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m:t>i</m:t>
                          </m:r>
                          <m:ctrlPr>
                            <w:rPr>
                              <w:rFonts w:ascii="Cambria Math" w:hAnsi="Cambria Math" w:cs="Calibri"/>
                              <w:i/>
                              <w:color w:val="000000" w:themeColor="text1"/>
                              <w:szCs w:val="21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libri"/>
                          <w:i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=5.140</m:t>
                  </m:r>
                  <m:ctrlPr>
                    <w:rPr>
                      <w:rFonts w:ascii="Cambria Math" w:hAnsi="Cambria Math" w:cs="Calibri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e>
              </m:nary>
            </m:oMath>
          </w:p>
          <w:p w14:paraId="2A2B7AAD">
            <w:pPr>
              <w:pStyle w:val="8"/>
              <w:spacing w:line="360" w:lineRule="auto"/>
              <w:ind w:left="510" w:firstLine="0" w:firstLineChars="0"/>
              <w:jc w:val="left"/>
              <w:textAlignment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、一致性检验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:</w:t>
            </w:r>
            <m:oMath>
              <m:r>
                <m:rPr/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CI=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 w:themeColor="text1"/>
                          <w:szCs w:val="21"/>
                          <w:vertAlign w:val="subscript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000000" w:themeColor="text1"/>
                          <w:szCs w:val="21"/>
                          <w:vertAlign w:val="subscript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color w:val="000000" w:themeColor="text1"/>
                          <w:szCs w:val="21"/>
                          <w:vertAlign w:val="subscript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color w:val="000000" w:themeColor="text1"/>
                          <w:szCs w:val="21"/>
                          <w:vertAlign w:val="subscript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−5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4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=0.03</m:t>
              </m:r>
            </m:oMath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m:oMath>
              <m:r>
                <m:rPr/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CR=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CI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RI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r>
                <m:rPr/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0.035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  <m:t>1.12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  <w14:textFill>
                        <w14:solidFill>
                          <w14:schemeClr w14:val="tx1"/>
                        </w14:solidFill>
                      </w14:textFill>
                    </w:rPr>
                  </m:ctrlPr>
                </m:den>
              </m:f>
              <m:r>
                <m:rPr/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0.031</m:t>
              </m:r>
              <m:r>
                <m:rPr/>
                <w:rPr>
                  <w:rFonts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&lt;0.10</m:t>
              </m:r>
            </m:oMath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一致性检验</w:t>
            </w:r>
            <m:oMath>
              <m:r>
                <m:rPr>
                  <m:sty m:val="p"/>
                </m:rPr>
                <w:rPr>
                  <w:rFonts w:hint="eastAsia" w:ascii="Cambria Math" w:hAnsi="Cambria Math"/>
                  <w:color w:val="000000" w:themeColor="text1"/>
                  <w:szCs w:val="21"/>
                  <w14:textFill>
                    <w14:solidFill>
                      <w14:schemeClr w14:val="tx1"/>
                    </w14:solidFill>
                  </w14:textFill>
                </w:rPr>
                <m:t>合格</m:t>
              </m:r>
            </m:oMath>
            <w:r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31A847B7">
            <w:pPr>
              <w:pStyle w:val="8"/>
              <w:numPr>
                <w:ilvl w:val="0"/>
                <w:numId w:val="1"/>
              </w:numPr>
              <w:spacing w:line="360" w:lineRule="auto"/>
              <w:ind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腐蚀防护系统模糊综合评价结果</w:t>
            </w:r>
          </w:p>
          <w:p w14:paraId="28D5265E">
            <w:pPr>
              <w:pStyle w:val="8"/>
              <w:spacing w:line="360" w:lineRule="auto"/>
              <w:ind w:left="426" w:firstLine="0" w:firstLineChars="0"/>
              <w:jc w:val="left"/>
              <w:rPr>
                <w:rFonts w:ascii="Cambria Math" w:hAnsi="Cambria Math"/>
                <w:i/>
                <w:szCs w:val="21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eastAsia" w:ascii="Cambria Math" w:hAnsi="Cambria Math"/>
                    <w:szCs w:val="21"/>
                  </w:rPr>
                  <m:t>A</m:t>
                </m:r>
                <m:r>
                  <m:rPr/>
                  <w:rPr>
                    <w:rFonts w:ascii="Cambria Math" w:hAnsi="Cambria Math"/>
                    <w:szCs w:val="21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zCs w:val="21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/>
                    <w:szCs w:val="21"/>
                  </w:rPr>
                  <m:t>·</m:t>
                </m:r>
                <m:r>
                  <m:rPr/>
                  <w:rPr>
                    <w:rFonts w:ascii="Cambria Math" w:hAnsi="Cambria Math"/>
                    <w:szCs w:val="21"/>
                  </w:rPr>
                  <m:t>R=</m:t>
                </m:r>
                <m:d>
                  <m:dPr>
                    <m:begChr m:val="["/>
                    <m:endChr m:val="]"/>
                    <m:ctrlPr>
                      <m:rPr/>
                      <w:rPr>
                        <w:rFonts w:ascii="Cambria Math" w:hAnsi="Cambria Math"/>
                        <w:i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4"/>
                              <m:mcJc m:val="center"/>
                            </m:mcPr>
                          </m:mc>
                        </m:mcs>
                        <m:ctrlPr>
                          <m:rPr/>
                          <w:rPr>
                            <w:rFonts w:ascii="Cambria Math" w:hAnsi="Cambria Math"/>
                            <w:i/>
                            <w:szCs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default" w:ascii="Cambria Math" w:hAnsi="Cambria Math"/>
                              <w:szCs w:val="21"/>
                              <w:lang w:val="en-US" w:eastAsia="zh-CN"/>
                            </w:rPr>
                            <m:t>PMR</m:t>
                          </m:r>
                          <m:ctrlPr>
                            <m:rPr/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Cs w:val="21"/>
                              <w:lang w:val="en-US" w:eastAsia="zh-CN"/>
                            </w:rPr>
                            <m:t>PMR</m:t>
                          </m:r>
                          <m:ctrlPr>
                            <m:rPr/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Cs w:val="21"/>
                              <w:lang w:val="en-US" w:eastAsia="zh-CN"/>
                            </w:rPr>
                            <m:t>PMR</m:t>
                          </m:r>
                          <m:ctrlPr>
                            <m:rPr/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default" w:ascii="Cambria Math" w:hAnsi="Cambria Math"/>
                              <w:szCs w:val="21"/>
                              <w:lang w:val="en-US" w:eastAsia="zh-CN"/>
                            </w:rPr>
                            <m:t>PMR</m:t>
                          </m:r>
                          <m:ctrlPr>
                            <m:rPr/>
                            <w:rPr>
                              <w:rFonts w:ascii="Cambria Math" w:hAnsi="Cambria Math"/>
                              <w:i/>
                              <w:szCs w:val="21"/>
                            </w:rPr>
                          </m:ctrlPr>
                        </m:e>
                      </m:mr>
                    </m:m>
                    <m:ctrlPr>
                      <m:rPr/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d>
              </m:oMath>
            </m:oMathPara>
          </w:p>
          <w:p w14:paraId="10D0E7A9">
            <w:pPr>
              <w:pStyle w:val="8"/>
              <w:spacing w:line="360" w:lineRule="auto"/>
              <w:ind w:left="426" w:firstLine="0" w:firstLineChars="0"/>
              <w:jc w:val="left"/>
              <w:rPr>
                <w:rFonts w:hint="default" w:eastAsia="宋体"/>
                <w:szCs w:val="21"/>
                <w:lang w:val="en-US" w:eastAsia="zh-CN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hint="eastAsia" w:ascii="Cambria Math" w:hAnsi="Cambria Math"/>
                        <w:szCs w:val="21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hint="eastAsia" w:ascii="Cambria Math" w:hAnsi="Cambria Math"/>
                    <w:szCs w:val="21"/>
                  </w:rPr>
                  <m:t>=</m:t>
                </m:r>
                <m:r>
                  <m:rPr>
                    <m:sty m:val="p"/>
                  </m:rPr>
                  <w:rPr>
                    <w:rFonts w:hint="default" w:ascii="Cambria Math" w:hAnsi="Cambria Math"/>
                    <w:szCs w:val="21"/>
                    <w:lang w:val="en-US" w:eastAsia="zh-CN"/>
                  </w:rPr>
                  <m:t>PMR</m:t>
                </m:r>
              </m:oMath>
            </m:oMathPara>
          </w:p>
          <w:p w14:paraId="0472A6F2">
            <w:pPr>
              <w:ind w:firstLine="420" w:firstLineChars="200"/>
              <w:rPr>
                <w:szCs w:val="21"/>
              </w:rPr>
            </w:pPr>
          </w:p>
        </w:tc>
      </w:tr>
      <w:tr w14:paraId="332CB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8" w:hRule="atLeast"/>
          <w:jc w:val="center"/>
        </w:trPr>
        <w:tc>
          <w:tcPr>
            <w:tcW w:w="9286" w:type="dxa"/>
            <w:gridSpan w:val="4"/>
          </w:tcPr>
          <w:p w14:paraId="2D1EB960">
            <w:pPr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结论：</w:t>
            </w:r>
            <w:bookmarkStart w:id="0" w:name="_GoBack"/>
            <w:bookmarkEnd w:id="0"/>
          </w:p>
          <w:p w14:paraId="3E7D6734">
            <w:pPr>
              <w:ind w:firstLine="420" w:firstLineChars="200"/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{{结论}}</w:t>
            </w:r>
          </w:p>
        </w:tc>
      </w:tr>
    </w:tbl>
    <w:p w14:paraId="3B4FB575"/>
    <w:sectPr>
      <w:pgSz w:w="11906" w:h="16838"/>
      <w:pgMar w:top="851" w:right="1800" w:bottom="99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CF0CAF"/>
    <w:multiLevelType w:val="multilevel"/>
    <w:tmpl w:val="61CF0CAF"/>
    <w:lvl w:ilvl="0" w:tentative="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473"/>
    <w:rsid w:val="00044847"/>
    <w:rsid w:val="00171473"/>
    <w:rsid w:val="004E0D8B"/>
    <w:rsid w:val="00500E5B"/>
    <w:rsid w:val="007E2CB8"/>
    <w:rsid w:val="008F7296"/>
    <w:rsid w:val="00B3063F"/>
    <w:rsid w:val="00B4346C"/>
    <w:rsid w:val="00C06BC9"/>
    <w:rsid w:val="00CA6093"/>
    <w:rsid w:val="00D905FB"/>
    <w:rsid w:val="00EC57C9"/>
    <w:rsid w:val="00EF6E92"/>
    <w:rsid w:val="00F83327"/>
    <w:rsid w:val="047D6C56"/>
    <w:rsid w:val="0E8D2557"/>
    <w:rsid w:val="14A77E6F"/>
    <w:rsid w:val="2D6F3BD3"/>
    <w:rsid w:val="3CFC24D2"/>
    <w:rsid w:val="4DA96588"/>
    <w:rsid w:val="4F6C5EFF"/>
    <w:rsid w:val="52CA50F4"/>
    <w:rsid w:val="5ED1681B"/>
    <w:rsid w:val="617E01D4"/>
    <w:rsid w:val="6FBF0F23"/>
    <w:rsid w:val="7761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styleId="9">
    <w:name w:val="Placeholder Text"/>
    <w:basedOn w:val="5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...</Company>
  <Pages>1</Pages>
  <Words>443</Words>
  <Characters>756</Characters>
  <Lines>10</Lines>
  <Paragraphs>2</Paragraphs>
  <TotalTime>23</TotalTime>
  <ScaleCrop>false</ScaleCrop>
  <LinksUpToDate>false</LinksUpToDate>
  <CharactersWithSpaces>772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2026-07-24T07:14:00Z</dcterms:created>
  <dc:creator>Wang</dc:creator>
  <cp:lastModifiedBy>远车</cp:lastModifiedBy>
  <dcterms:modified xsi:type="dcterms:W3CDTF">2026-08-03T11:55:44Z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eyJoZGlkIjoiMTc5MDZhOWFmODFhNDMwMjRmODBjMmJhOTlmNTYwNjEiLCJ1c2VySWQiOiI3ODMyMTU0NzYifQ==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659836D3CFC2414E96B5456761406F82_12</vt:lpwstr>
  </property>
</Properties>
</file>