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F17684">
      <w:pPr>
        <w:jc w:val="center"/>
        <w:outlineLvl w:val="0"/>
        <w:rPr>
          <w:rFonts w:ascii="宋体" w:hAnsi="宋体"/>
          <w:b/>
          <w:spacing w:val="20"/>
          <w:sz w:val="36"/>
          <w:szCs w:val="36"/>
        </w:rPr>
      </w:pPr>
      <w:r>
        <w:rPr>
          <w:rFonts w:hint="eastAsia" w:ascii="宋体" w:hAnsi="宋体"/>
          <w:b/>
          <w:spacing w:val="20"/>
          <w:sz w:val="36"/>
          <w:szCs w:val="36"/>
        </w:rPr>
        <w:t>腐蚀</w:t>
      </w:r>
      <w:r>
        <w:rPr>
          <w:rFonts w:hint="eastAsia" w:ascii="宋体" w:hAnsi="宋体"/>
          <w:b/>
          <w:spacing w:val="20"/>
          <w:sz w:val="36"/>
          <w:szCs w:val="36"/>
          <w:lang w:val="en-US" w:eastAsia="zh-CN"/>
        </w:rPr>
        <w:t>防护</w:t>
      </w:r>
      <w:r>
        <w:rPr>
          <w:rFonts w:hint="eastAsia" w:ascii="宋体" w:hAnsi="宋体"/>
          <w:b/>
          <w:spacing w:val="20"/>
          <w:sz w:val="36"/>
          <w:szCs w:val="36"/>
        </w:rPr>
        <w:t>系统质量等级评价</w:t>
      </w:r>
    </w:p>
    <w:tbl>
      <w:tblPr>
        <w:tblStyle w:val="4"/>
        <w:tblW w:w="928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4253"/>
        <w:gridCol w:w="1559"/>
        <w:gridCol w:w="2232"/>
      </w:tblGrid>
      <w:tr w14:paraId="2F3FF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  <w:jc w:val="center"/>
        </w:trPr>
        <w:tc>
          <w:tcPr>
            <w:tcW w:w="1242" w:type="dxa"/>
            <w:vAlign w:val="center"/>
          </w:tcPr>
          <w:p w14:paraId="5CC5EA21">
            <w:pPr>
              <w:jc w:val="center"/>
              <w:rPr>
                <w:sz w:val="24"/>
              </w:rPr>
            </w:pPr>
            <w:r>
              <w:rPr>
                <w:sz w:val="24"/>
              </w:rPr>
              <w:t>管道名称</w:t>
            </w:r>
          </w:p>
        </w:tc>
        <w:tc>
          <w:tcPr>
            <w:tcW w:w="4253" w:type="dxa"/>
            <w:vAlign w:val="center"/>
          </w:tcPr>
          <w:p w14:paraId="18E65F78">
            <w:pPr>
              <w:jc w:val="center"/>
              <w:rPr>
                <w:rFonts w:ascii="宋体" w:hAnsi="宋体"/>
                <w:color w:val="000000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41E50C11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评价标准</w:t>
            </w:r>
          </w:p>
        </w:tc>
        <w:tc>
          <w:tcPr>
            <w:tcW w:w="2232" w:type="dxa"/>
            <w:vAlign w:val="center"/>
          </w:tcPr>
          <w:p w14:paraId="08ED1E8E">
            <w:pPr>
              <w:jc w:val="center"/>
              <w:rPr>
                <w:rFonts w:ascii="宋体" w:hAnsi="宋体"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GB/T 19285-2026</w:t>
            </w:r>
          </w:p>
        </w:tc>
      </w:tr>
      <w:tr w14:paraId="497F4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13" w:hRule="atLeast"/>
          <w:jc w:val="center"/>
        </w:trPr>
        <w:tc>
          <w:tcPr>
            <w:tcW w:w="9286" w:type="dxa"/>
            <w:gridSpan w:val="4"/>
            <w:tcMar>
              <w:left w:w="125" w:type="dxa"/>
              <w:right w:w="125" w:type="dxa"/>
            </w:tcMar>
          </w:tcPr>
          <w:p w14:paraId="2F6636E0">
            <w:pPr>
              <w:numPr>
                <w:ilvl w:val="0"/>
                <w:numId w:val="1"/>
              </w:num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评价使用的检测数据</w:t>
            </w:r>
          </w:p>
          <w:p w14:paraId="68F97822">
            <w:pPr>
              <w:spacing w:line="360" w:lineRule="auto"/>
              <w:ind w:firstLine="420" w:firstLineChars="200"/>
              <w:jc w:val="left"/>
              <w:rPr>
                <w:rFonts w:hint="eastAsia"/>
                <w:color w:val="000000" w:themeColor="text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{% for r in pip_stats%}{{r.数据}}</w:t>
            </w:r>
          </w:p>
          <w:p w14:paraId="1C1A6735">
            <w:pPr>
              <w:spacing w:line="360" w:lineRule="auto"/>
              <w:ind w:firstLine="420" w:firstLineChars="200"/>
              <w:jc w:val="left"/>
              <w:rPr>
                <w:rFonts w:hint="default"/>
                <w:color w:val="000000" w:themeColor="text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{%endfor%}</w:t>
            </w:r>
          </w:p>
          <w:p w14:paraId="76E0CD61">
            <w:pPr>
              <w:numPr>
                <w:ilvl w:val="0"/>
                <w:numId w:val="1"/>
              </w:num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建立模糊集</w:t>
            </w:r>
          </w:p>
          <w:p w14:paraId="01E8F0E8">
            <w:pPr>
              <w:spacing w:line="360" w:lineRule="auto"/>
              <w:ind w:firstLine="420" w:firstLineChars="200"/>
              <w:jc w:val="left"/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因素集：</w:t>
            </w:r>
            <w:r>
              <w:rPr>
                <w:rFonts w:hint="eastAsia"/>
                <w:i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U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 xml:space="preserve">={外防腐层状况 </w:t>
            </w: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u</m:t>
                  </m:r>
                  <m:ctrlPr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1</m:t>
                  </m:r>
                  <m:ctrlPr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</m:oMath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 xml:space="preserve">，阴极保护有效性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</m:oMath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 xml:space="preserve">，土壤腐蚀性 </w:t>
            </w: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u</m:t>
                  </m:r>
                  <m:ctrlPr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3</m:t>
                  </m:r>
                  <m:ctrlPr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</m:oMath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 xml:space="preserve">，杂散电流干扰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4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</m:oMath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 xml:space="preserve">，排流效果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5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</m:oMath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}</w:t>
            </w:r>
          </w:p>
          <w:p w14:paraId="66FFDAEE">
            <w:pPr>
              <w:spacing w:line="360" w:lineRule="auto"/>
              <w:ind w:firstLine="420" w:firstLineChars="200"/>
              <w:jc w:val="left"/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评价集：</w:t>
            </w:r>
            <m:oMath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V=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v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j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</m:d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v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v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v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3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v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4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</m:d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1,2,3,4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</m:d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 xml:space="preserve"> </m:t>
              </m:r>
              <m:r>
                <m:rPr>
                  <m:sty m:val="p"/>
                </m:rPr>
                <w:rPr>
                  <w:rFonts w:hint="eastAsia"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（</m:t>
              </m:r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j=1,2,3, 4</m:t>
              </m:r>
              <m:r>
                <m:rPr>
                  <m:sty m:val="p"/>
                </m:rPr>
                <w:rPr>
                  <w:rFonts w:hint="eastAsia"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）</m:t>
              </m:r>
            </m:oMath>
          </w:p>
          <w:p w14:paraId="57B4CE2D">
            <w:pPr>
              <w:numPr>
                <w:ilvl w:val="0"/>
                <w:numId w:val="1"/>
              </w:num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建立单因素评价矩阵并计算结果</w:t>
            </w:r>
          </w:p>
          <w:p w14:paraId="7B279B66">
            <w:pPr>
              <w:spacing w:line="360" w:lineRule="auto"/>
              <w:jc w:val="left"/>
              <w:rPr>
                <w:szCs w:val="21"/>
              </w:rPr>
            </w:pPr>
            <m:oMathPara>
              <m:oMathParaPr>
                <m:jc m:val="center"/>
              </m:oMathParaPr>
              <m:oMath>
                <m:r>
                  <m:rPr/>
                  <w:rPr>
                    <w:rFonts w:hint="eastAsia" w:ascii="Cambria Math" w:hAnsi="Cambria Math"/>
                    <w:sz w:val="18"/>
                    <w:szCs w:val="18"/>
                  </w:rPr>
                  <m:t>R=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/>
                        <w:sz w:val="18"/>
                        <w:szCs w:val="18"/>
                      </w:rPr>
                      <m:t>[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/>
                            <w:sz w:val="18"/>
                            <w:szCs w:val="18"/>
                          </w:rPr>
                          <m:t>R</m:t>
                        </m: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z w:val="18"/>
                        <w:szCs w:val="18"/>
                      </w:rPr>
                      <m:t>]</m:t>
                    </m: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ascii="Cambria Math" w:hAnsi="Cambria Math"/>
                    <w:sz w:val="18"/>
                    <w:szCs w:val="1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/>
                        <w:sz w:val="18"/>
                        <w:szCs w:val="18"/>
                      </w:rPr>
                      <m:t>[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/>
                            <w:sz w:val="18"/>
                            <w:szCs w:val="18"/>
                          </w:rPr>
                          <m:t>μ</m:t>
                        </m: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ivj</m:t>
                        </m: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z w:val="18"/>
                        <w:szCs w:val="18"/>
                      </w:rPr>
                      <m:t>(x)]</m:t>
                    </m: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ascii="Cambria Math" w:hAnsi="Cambria Math"/>
                    <w:sz w:val="18"/>
                    <w:szCs w:val="18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1v1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1v2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1v3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2v1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2v2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2v3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3v1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3v2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3v3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</m:m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1v4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2v4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3v4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</m:m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4v1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4v2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4v3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5v1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4v2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5v3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</m:m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4v4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eastAsia" w:ascii="Cambria Math" w:hAnsi="Cambria Math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5v4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e>
                            </m:mr>
                          </m:m>
                          <m:ctrlPr>
                            <w:rPr>
                              <w:rFonts w:ascii="Cambria Math" w:hAnsi="Cambria Math"/>
                              <w:i/>
                              <w:sz w:val="18"/>
                              <w:szCs w:val="18"/>
                            </w:rPr>
                          </m:ctrlPr>
                        </m:e>
                      </m:mr>
                    </m:m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z w:val="18"/>
                    <w:szCs w:val="18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eastAsiaTheme="minorEastAsia" w:cstheme="minorBidi"/>
                        <w:i/>
                        <w:sz w:val="18"/>
                        <w:szCs w:val="18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8"/>
                              <w:szCs w:val="18"/>
                              <w:lang w:val="en-US" w:eastAsia="zh-CN"/>
                            </w:rPr>
                            <m:t>PMR</m:t>
                          </m:r>
                          <m:ctrl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</m:ctrlPr>
                        </m:e>
                      </m:mr>
                    </m:m>
                    <m:ctrlPr>
                      <w:rPr>
                        <w:rFonts w:ascii="Cambria Math" w:hAnsi="Cambria Math" w:eastAsiaTheme="minorEastAsia" w:cstheme="minorBidi"/>
                        <w:i/>
                        <w:sz w:val="18"/>
                        <w:szCs w:val="18"/>
                      </w:rPr>
                    </m:ctrlPr>
                  </m:e>
                </m:d>
              </m:oMath>
            </m:oMathPara>
          </w:p>
          <w:p w14:paraId="0E22DEB4">
            <w:pPr>
              <w:pStyle w:val="8"/>
              <w:numPr>
                <w:ilvl w:val="0"/>
                <w:numId w:val="1"/>
              </w:numPr>
              <w:spacing w:line="360" w:lineRule="auto"/>
              <w:ind w:firstLineChars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确定评价指标的权重</w:t>
            </w:r>
          </w:p>
          <w:p w14:paraId="38914508">
            <w:pPr>
              <w:ind w:left="454" w:leftChars="216"/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、判断矩阵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:</w:t>
            </w:r>
          </w:p>
          <w:p w14:paraId="11E22592">
            <w:pPr>
              <w:ind w:left="454" w:leftChars="216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r>
                  <m:rPr/>
                  <w:rPr>
                    <w:rFonts w:ascii="Cambria Math" w:hAnsi="Cambria Math"/>
                    <w:color w:val="000000" w:themeColor="text1"/>
                    <w:sz w:val="18"/>
                    <w:szCs w:val="18"/>
                    <w14:textFill>
                      <w14:solidFill>
                        <w14:schemeClr w14:val="tx1"/>
                      </w14:solidFill>
                    </w14:textFill>
                  </w:rPr>
                  <m:t>B=[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m:t>b</m:t>
                    </m:r>
                    <m:ctrlPr>
                      <w:rPr>
                        <w:rFonts w:ascii="Cambria Math" w:hAnsi="Cambria Math"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m:t>ij</m:t>
                    </m:r>
                    <m:ctrlPr>
                      <w:rPr>
                        <w:rFonts w:ascii="Cambria Math" w:hAnsi="Cambria Math"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m:ctrlPr>
                  </m:sub>
                </m:sSub>
                <m:r>
                  <m:rPr/>
                  <w:rPr>
                    <w:rFonts w:ascii="Cambria Math" w:hAnsi="Cambria Math"/>
                    <w:color w:val="000000" w:themeColor="text1"/>
                    <w:sz w:val="18"/>
                    <w:szCs w:val="18"/>
                    <w14:textFill>
                      <w14:solidFill>
                        <w14:schemeClr w14:val="tx1"/>
                      </w14:solidFill>
                    </w14:textFill>
                  </w:rPr>
                  <m:t>]=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eastAsiaTheme="minorEastAsia" w:cstheme="minorBidi"/>
                        <w:i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ascii="Cambria Math" w:hAnsi="Cambria Math"/>
                            <w:color w:val="000000" w:themeColor="text1"/>
                            <w:sz w:val="18"/>
                            <w:szCs w:val="1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11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12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13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14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15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21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22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23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24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25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31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32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33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34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35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41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42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43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44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45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51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52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53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54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b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m:t>55</m:t>
                              </m: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</m:m>
                    <m:ctrlPr>
                      <w:rPr>
                        <w:rFonts w:ascii="Cambria Math" w:hAnsi="Cambria Math" w:eastAsiaTheme="minorEastAsia" w:cstheme="minorBidi"/>
                        <w:i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color w:val="000000" w:themeColor="text1"/>
                    <w:sz w:val="18"/>
                    <w:szCs w:val="18"/>
                    <w14:textFill>
                      <w14:solidFill>
                        <w14:schemeClr w14:val="tx1"/>
                      </w14:solidFill>
                    </w14:textFill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eastAsiaTheme="minorEastAsia" w:cstheme="minorBidi"/>
                        <w:i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ascii="Cambria Math" w:hAnsi="Cambria Math"/>
                            <w:color w:val="000000" w:themeColor="text1"/>
                            <w:sz w:val="18"/>
                            <w:szCs w:val="1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3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5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3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1/2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4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3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1/3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1/4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1/2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1/5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1/3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1/2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1/3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1/3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1/2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3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</m:mr>
                    </m:m>
                    <m:ctrlPr>
                      <w:rPr>
                        <w:rFonts w:ascii="Cambria Math" w:hAnsi="Cambria Math" w:eastAsiaTheme="minorEastAsia" w:cstheme="minorBidi"/>
                        <w:i/>
                        <w:color w:val="000000" w:themeColor="text1"/>
                        <w:sz w:val="18"/>
                        <w:szCs w:val="18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m:ctrlPr>
                  </m:e>
                </m:d>
              </m:oMath>
            </m:oMathPara>
          </w:p>
          <w:p w14:paraId="4F8177AC">
            <w:pPr>
              <w:pStyle w:val="8"/>
              <w:spacing w:line="360" w:lineRule="auto"/>
              <w:ind w:left="510" w:firstLine="0" w:firstLineChars="0"/>
              <w:jc w:val="left"/>
              <w:rPr>
                <w:color w:val="000000" w:themeColor="text1"/>
                <w:szCs w:val="21"/>
                <w:vertAlign w:val="superscript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、计算权值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:W=(W</w:t>
            </w:r>
            <w:r>
              <w:rPr>
                <w:color w:val="000000" w:themeColor="text1"/>
                <w:szCs w:val="21"/>
                <w:vertAlign w:val="subscript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,W</w:t>
            </w:r>
            <w:r>
              <w:rPr>
                <w:color w:val="000000" w:themeColor="text1"/>
                <w:szCs w:val="21"/>
                <w:vertAlign w:val="subscript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,W</w:t>
            </w:r>
            <w:r>
              <w:rPr>
                <w:color w:val="000000" w:themeColor="text1"/>
                <w:szCs w:val="21"/>
                <w:vertAlign w:val="subscript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,W</w:t>
            </w:r>
            <w:r>
              <w:rPr>
                <w:color w:val="000000" w:themeColor="text1"/>
                <w:szCs w:val="21"/>
                <w:vertAlign w:val="subscript"/>
                <w14:textFill>
                  <w14:solidFill>
                    <w14:schemeClr w14:val="tx1"/>
                  </w14:solidFill>
                </w14:textFill>
              </w:rPr>
              <w:t>4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,W</w:t>
            </w:r>
            <w:r>
              <w:rPr>
                <w:color w:val="000000" w:themeColor="text1"/>
                <w:szCs w:val="21"/>
                <w:vertAlign w:val="subscript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)</w:t>
            </w:r>
            <w:r>
              <w:rPr>
                <w:color w:val="000000" w:themeColor="text1"/>
                <w:szCs w:val="21"/>
                <w:vertAlign w:val="superscript"/>
                <w14:textFill>
                  <w14:solidFill>
                    <w14:schemeClr w14:val="tx1"/>
                  </w14:solidFill>
                </w14:textFill>
              </w:rPr>
              <w:t>T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=(</w:t>
            </w:r>
            <m:oMath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0.402,0.269,0.099,0.066,0.163</m:t>
              </m:r>
            </m:oMath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)</w:t>
            </w:r>
            <w:r>
              <w:rPr>
                <w:color w:val="000000" w:themeColor="text1"/>
                <w:szCs w:val="21"/>
                <w:vertAlign w:val="superscript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  <w:p w14:paraId="4D91002A">
            <w:pPr>
              <w:pStyle w:val="8"/>
              <w:spacing w:line="360" w:lineRule="auto"/>
              <w:ind w:left="510" w:firstLine="0" w:firstLineChars="0"/>
              <w:jc w:val="left"/>
              <w:textAlignment w:val="center"/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、最大特征根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:</w:t>
            </w:r>
            <m:oMath>
              <m:sSub>
                <m:sSubPr>
                  <m:ctrlPr>
                    <w:rPr>
                      <w:rFonts w:ascii="Cambria Math" w:hAnsi="Cambria Math" w:cs="Calibri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Calibri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λ</m:t>
                  </m:r>
                  <m:ctrlPr>
                    <w:rPr>
                      <w:rFonts w:ascii="Cambria Math" w:hAnsi="Cambria Math" w:cs="Calibri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  <m:sub>
                  <m:r>
                    <m:rPr/>
                    <w:rPr>
                      <w:rFonts w:ascii="Cambria Math" w:hAnsi="Cambria Math" w:cs="Calibri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max</m:t>
                  </m:r>
                  <m:ctrlPr>
                    <w:rPr>
                      <w:rFonts w:ascii="Cambria Math" w:hAnsi="Cambria Math" w:cs="Calibri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</m:sSub>
              <m:r>
                <m:rPr/>
                <w:rPr>
                  <w:rFonts w:ascii="Cambria Math" w:hAnsi="Cambria Math" w:cs="Calibri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Calibri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naryPr>
                <m:sub>
                  <m:r>
                    <m:rPr/>
                    <w:rPr>
                      <w:rFonts w:ascii="Cambria Math" w:hAnsi="Cambria Math" w:cs="Calibri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i=1</m:t>
                  </m:r>
                  <m:ctrlPr>
                    <w:rPr>
                      <w:rFonts w:ascii="Cambria Math" w:hAnsi="Cambria Math" w:cs="Calibri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b>
                <m:sup>
                  <m:r>
                    <m:rPr/>
                    <w:rPr>
                      <w:rFonts w:ascii="Cambria Math" w:hAnsi="Cambria Math" w:cs="Calibri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5</m:t>
                  </m:r>
                  <m:ctrlPr>
                    <w:rPr>
                      <w:rFonts w:ascii="Cambria Math" w:hAnsi="Cambria Math" w:cs="Calibri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sup>
                <m:e>
                  <m:f>
                    <m:fPr>
                      <m:ctrlPr>
                        <w:rPr>
                          <w:rFonts w:ascii="Cambria Math" w:hAnsi="Cambria Math" w:cs="Calibri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Calibri"/>
                              <w:i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 w:cs="Calibri"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(BW)</m:t>
                          </m:r>
                          <m:ctrlPr>
                            <w:rPr>
                              <w:rFonts w:ascii="Cambria Math" w:hAnsi="Cambria Math" w:cs="Calibri"/>
                              <w:i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 w:cs="Calibri"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i</m:t>
                          </m:r>
                          <m:ctrlPr>
                            <w:rPr>
                              <w:rFonts w:ascii="Cambria Math" w:hAnsi="Cambria Math" w:cs="Calibri"/>
                              <w:i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cs="Calibri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num>
                    <m:den>
                      <m:r>
                        <m:rPr/>
                        <w:rPr>
                          <w:rFonts w:ascii="Cambria Math" w:hAnsi="Cambria Math" w:cs="Calibri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5</m:t>
                      </m:r>
                      <m:sSub>
                        <m:sSubPr>
                          <m:ctrlPr>
                            <w:rPr>
                              <w:rFonts w:ascii="Cambria Math" w:hAnsi="Cambria Math" w:cs="Calibri"/>
                              <w:i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 w:cs="Calibri"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W</m:t>
                          </m:r>
                          <m:ctrlPr>
                            <w:rPr>
                              <w:rFonts w:ascii="Cambria Math" w:hAnsi="Cambria Math" w:cs="Calibri"/>
                              <w:i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 w:cs="Calibri"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  <m:t>i</m:t>
                          </m:r>
                          <m:ctrlPr>
                            <w:rPr>
                              <w:rFonts w:ascii="Cambria Math" w:hAnsi="Cambria Math" w:cs="Calibri"/>
                              <w:i/>
                              <w:color w:val="000000" w:themeColor="text1"/>
                              <w:szCs w:val="21"/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cs="Calibri"/>
                          <w:i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 w:cs="Calibri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=5.140</m:t>
                  </m:r>
                  <m:ctrlPr>
                    <w:rPr>
                      <w:rFonts w:ascii="Cambria Math" w:hAnsi="Cambria Math" w:cs="Calibri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e>
              </m:nary>
            </m:oMath>
          </w:p>
          <w:p w14:paraId="2A2B7AAD">
            <w:pPr>
              <w:pStyle w:val="8"/>
              <w:spacing w:line="360" w:lineRule="auto"/>
              <w:ind w:left="510" w:firstLine="0" w:firstLineChars="0"/>
              <w:jc w:val="left"/>
              <w:textAlignment w:val="center"/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4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、一致性检验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:</w:t>
            </w:r>
            <m:oMath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CI=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Cs w:val="21"/>
                          <w:vertAlign w:val="subscript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Cs w:val="2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λ</m:t>
                      </m:r>
                      <m:ctrlPr>
                        <w:rPr>
                          <w:rFonts w:ascii="Cambria Math" w:hAnsi="Cambria Math"/>
                          <w:color w:val="000000" w:themeColor="text1"/>
                          <w:szCs w:val="21"/>
                          <w:vertAlign w:val="subscript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color w:val="000000" w:themeColor="text1"/>
                          <w:szCs w:val="21"/>
                          <w:vertAlign w:val="subscript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m:t>max</m:t>
                      </m:r>
                      <m:ctrlPr>
                        <w:rPr>
                          <w:rFonts w:ascii="Cambria Math" w:hAnsi="Cambria Math"/>
                          <w:color w:val="000000" w:themeColor="text1"/>
                          <w:szCs w:val="21"/>
                          <w:vertAlign w:val="subscript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−5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num>
                <m:den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4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en>
              </m:f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=0.03</m:t>
              </m:r>
            </m:oMath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 xml:space="preserve">    </w:t>
            </w:r>
            <m:oMath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CR=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fPr>
                <m:num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CI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num>
                <m:den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RI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en>
              </m:f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fPr>
                <m:num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0.035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num>
                <m:den>
                  <m:r>
                    <m:rPr/>
                    <w:rPr>
                      <w:rFonts w:ascii="Cambria Math" w:hAnsi="Cambria Math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m:t>1.12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m:ctrlPr>
                </m:den>
              </m:f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0.031</m:t>
              </m:r>
              <m:r>
                <m:rPr/>
                <w:rPr>
                  <w:rFonts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&lt;0.10</m:t>
              </m:r>
            </m:oMath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一致性检验</w:t>
            </w:r>
            <m:oMath>
              <m:r>
                <m:rPr>
                  <m:sty m:val="p"/>
                </m:rPr>
                <w:rPr>
                  <w:rFonts w:hint="eastAsia" w:ascii="Cambria Math" w:hAnsi="Cambria Math"/>
                  <w:color w:val="000000" w:themeColor="text1"/>
                  <w:szCs w:val="21"/>
                  <w14:textFill>
                    <w14:solidFill>
                      <w14:schemeClr w14:val="tx1"/>
                    </w14:solidFill>
                  </w14:textFill>
                </w:rPr>
                <m:t>合格</m:t>
              </m:r>
            </m:oMath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  <w:p w14:paraId="31A847B7">
            <w:pPr>
              <w:pStyle w:val="8"/>
              <w:numPr>
                <w:ilvl w:val="0"/>
                <w:numId w:val="1"/>
              </w:numPr>
              <w:spacing w:line="360" w:lineRule="auto"/>
              <w:ind w:firstLineChars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腐蚀防护系统模糊综合评价结果</w:t>
            </w:r>
          </w:p>
          <w:p w14:paraId="28D5265E">
            <w:pPr>
              <w:pStyle w:val="8"/>
              <w:spacing w:line="360" w:lineRule="auto"/>
              <w:ind w:left="426" w:firstLine="0" w:firstLineChars="0"/>
              <w:jc w:val="left"/>
              <w:rPr>
                <w:rFonts w:ascii="Cambria Math" w:hAnsi="Cambria Math"/>
                <w:i/>
                <w:szCs w:val="21"/>
              </w:rPr>
            </w:pPr>
            <m:oMathPara>
              <m:oMathParaPr>
                <m:jc m:val="left"/>
              </m:oMathParaPr>
              <m:oMath>
                <m:r>
                  <m:rPr/>
                  <w:rPr>
                    <w:rFonts w:hint="eastAsia" w:ascii="Cambria Math" w:hAnsi="Cambria Math"/>
                    <w:szCs w:val="21"/>
                  </w:rPr>
                  <m:t>A</m:t>
                </m:r>
                <m:r>
                  <m:rPr/>
                  <w:rPr>
                    <w:rFonts w:ascii="Cambria Math" w:hAnsi="Cambria Math"/>
                    <w:szCs w:val="21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/>
                        <w:szCs w:val="21"/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zCs w:val="21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/>
                    <w:szCs w:val="21"/>
                  </w:rPr>
                  <m:t>·</m:t>
                </m:r>
                <m:r>
                  <m:rPr/>
                  <w:rPr>
                    <w:rFonts w:ascii="Cambria Math" w:hAnsi="Cambria Math"/>
                    <w:szCs w:val="21"/>
                  </w:rPr>
                  <m:t>R=[</m:t>
                </m:r>
                <m:r>
                  <m:rPr/>
                  <w:rPr>
                    <w:rFonts w:hint="default" w:ascii="Cambria Math" w:hAnsi="Cambria Math"/>
                    <w:szCs w:val="21"/>
                    <w:lang w:val="en-US" w:eastAsia="zh-CN"/>
                  </w:rPr>
                  <m:t>PVER</m:t>
                </m:r>
                <m:r>
                  <m:rPr/>
                  <w:rPr>
                    <w:rFonts w:ascii="Cambria Math" w:hAnsi="Cambria Math"/>
                    <w:szCs w:val="21"/>
                  </w:rPr>
                  <m:t>,</m:t>
                </m:r>
                <m:r>
                  <m:rPr/>
                  <w:rPr>
                    <w:rFonts w:hint="default" w:ascii="Cambria Math" w:hAnsi="Cambria Math"/>
                    <w:szCs w:val="21"/>
                    <w:lang w:val="en-US" w:eastAsia="zh-CN"/>
                  </w:rPr>
                  <m:t>PVER</m:t>
                </m:r>
                <m:r>
                  <m:rPr/>
                  <w:rPr>
                    <w:rFonts w:ascii="Cambria Math" w:hAnsi="Cambria Math"/>
                    <w:szCs w:val="21"/>
                  </w:rPr>
                  <m:t>,</m:t>
                </m:r>
                <m:r>
                  <m:rPr/>
                  <w:rPr>
                    <w:rFonts w:hint="default" w:ascii="Cambria Math" w:hAnsi="Cambria Math"/>
                    <w:szCs w:val="21"/>
                    <w:lang w:val="en-US" w:eastAsia="zh-CN"/>
                  </w:rPr>
                  <m:t>PVER</m:t>
                </m:r>
                <m:r>
                  <m:rPr/>
                  <w:rPr>
                    <w:rFonts w:ascii="Cambria Math" w:hAnsi="Cambria Math"/>
                    <w:szCs w:val="21"/>
                  </w:rPr>
                  <m:t>,</m:t>
                </m:r>
                <m:r>
                  <m:rPr/>
                  <w:rPr>
                    <w:rFonts w:hint="default" w:ascii="Cambria Math" w:hAnsi="Cambria Math"/>
                    <w:szCs w:val="21"/>
                    <w:lang w:val="en-US" w:eastAsia="zh-CN"/>
                  </w:rPr>
                  <m:t>PVER</m:t>
                </m:r>
                <m:r>
                  <m:rPr/>
                  <w:rPr>
                    <w:rFonts w:ascii="Cambria Math" w:hAnsi="Cambria Math"/>
                    <w:szCs w:val="21"/>
                  </w:rPr>
                  <m:t>]</m:t>
                </m:r>
              </m:oMath>
            </m:oMathPara>
          </w:p>
          <w:p w14:paraId="10D0E7A9">
            <w:pPr>
              <w:pStyle w:val="8"/>
              <w:spacing w:line="360" w:lineRule="auto"/>
              <w:ind w:left="426" w:firstLine="0" w:firstLineChars="0"/>
              <w:jc w:val="left"/>
              <w:rPr>
                <w:rFonts w:hint="default" w:eastAsia="宋体"/>
                <w:szCs w:val="21"/>
                <w:lang w:val="en-US" w:eastAsia="zh-CN"/>
              </w:rPr>
            </w:pPr>
            <m:oMathPara>
              <m:oMathParaPr>
                <m:jc m:val="left"/>
              </m:oMathParaPr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accPr>
                  <m:e>
                    <m:r>
                      <m:rPr/>
                      <w:rPr>
                        <w:rFonts w:hint="eastAsia" w:ascii="Cambria Math" w:hAnsi="Cambria Math"/>
                        <w:szCs w:val="21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e>
                </m:acc>
                <m:r>
                  <m:rPr>
                    <m:sty m:val="p"/>
                  </m:rPr>
                  <w:rPr>
                    <w:rFonts w:hint="eastAsia" w:ascii="Cambria Math" w:hAnsi="Cambria Math"/>
                    <w:szCs w:val="21"/>
                  </w:rPr>
                  <m:t>=</m:t>
                </m:r>
                <m:r>
                  <m:rPr>
                    <m:sty m:val="p"/>
                  </m:rPr>
                  <w:rPr>
                    <w:rFonts w:hint="default" w:ascii="Cambria Math" w:hAnsi="Cambria Math"/>
                    <w:szCs w:val="21"/>
                    <w:lang w:val="en-US" w:eastAsia="zh-CN"/>
                  </w:rPr>
                  <m:t>{</m:t>
                </m:r>
                <m:r>
                  <m:rPr>
                    <m:sty m:val="p"/>
                  </m:rPr>
                  <w:rPr>
                    <w:rFonts w:hint="eastAsia" w:ascii="Cambria Math" w:hAnsi="Cambria Math"/>
                    <w:szCs w:val="21"/>
                    <w:lang w:val="en-US" w:eastAsia="zh-CN"/>
                  </w:rPr>
                  <m:t>{最终得分</m:t>
                </m:r>
                <m:r>
                  <m:rPr>
                    <m:sty m:val="p"/>
                  </m:rPr>
                  <w:rPr>
                    <w:rFonts w:hint="default" w:ascii="Cambria Math" w:hAnsi="Cambria Math"/>
                    <w:szCs w:val="21"/>
                    <w:lang w:val="en-US" w:eastAsia="zh-CN"/>
                  </w:rPr>
                  <m:t>}</m:t>
                </m:r>
                <m:r>
                  <m:rPr>
                    <m:sty m:val="p"/>
                  </m:rPr>
                  <w:rPr>
                    <w:rFonts w:hint="eastAsia" w:ascii="Cambria Math" w:hAnsi="Cambria Math"/>
                    <w:szCs w:val="21"/>
                    <w:lang w:val="en-US" w:eastAsia="zh-CN"/>
                  </w:rPr>
                  <m:t>}</m:t>
                </m:r>
              </m:oMath>
            </m:oMathPara>
          </w:p>
          <w:p w14:paraId="0472A6F2">
            <w:pPr>
              <w:ind w:firstLine="420" w:firstLineChars="200"/>
              <w:rPr>
                <w:szCs w:val="21"/>
              </w:rPr>
            </w:pPr>
          </w:p>
        </w:tc>
      </w:tr>
      <w:tr w14:paraId="332CB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48" w:hRule="atLeast"/>
          <w:jc w:val="center"/>
        </w:trPr>
        <w:tc>
          <w:tcPr>
            <w:tcW w:w="9286" w:type="dxa"/>
            <w:gridSpan w:val="4"/>
          </w:tcPr>
          <w:p w14:paraId="2D1EB960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结论：</w:t>
            </w:r>
          </w:p>
          <w:p w14:paraId="3E7D6734">
            <w:pPr>
              <w:ind w:firstLine="420" w:firstLineChars="200"/>
              <w:rPr>
                <w:rFonts w:hint="default" w:eastAsia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{{结论}}</w:t>
            </w:r>
            <w:bookmarkStart w:id="0" w:name="_GoBack"/>
            <w:bookmarkEnd w:id="0"/>
          </w:p>
        </w:tc>
      </w:tr>
    </w:tbl>
    <w:p w14:paraId="3B4FB575"/>
    <w:sectPr>
      <w:pgSz w:w="11906" w:h="16838"/>
      <w:pgMar w:top="851" w:right="1800" w:bottom="993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1CF0CAF"/>
    <w:multiLevelType w:val="multilevel"/>
    <w:tmpl w:val="61CF0CAF"/>
    <w:lvl w:ilvl="0" w:tentative="0">
      <w:start w:val="1"/>
      <w:numFmt w:val="japaneseCounting"/>
      <w:lvlText w:val="%1、"/>
      <w:lvlJc w:val="left"/>
      <w:pPr>
        <w:ind w:left="510" w:hanging="51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1473"/>
    <w:rsid w:val="00044847"/>
    <w:rsid w:val="00171473"/>
    <w:rsid w:val="004E0D8B"/>
    <w:rsid w:val="00500E5B"/>
    <w:rsid w:val="007E2CB8"/>
    <w:rsid w:val="008F7296"/>
    <w:rsid w:val="00B3063F"/>
    <w:rsid w:val="00B4346C"/>
    <w:rsid w:val="00C06BC9"/>
    <w:rsid w:val="00CA6093"/>
    <w:rsid w:val="00D905FB"/>
    <w:rsid w:val="00EC57C9"/>
    <w:rsid w:val="00EF6E92"/>
    <w:rsid w:val="00F83327"/>
    <w:rsid w:val="047D6C56"/>
    <w:rsid w:val="2D6F3BD3"/>
    <w:rsid w:val="5ED16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7">
    <w:name w:val="页脚 字符"/>
    <w:basedOn w:val="5"/>
    <w:link w:val="2"/>
    <w:qFormat/>
    <w:uiPriority w:val="99"/>
    <w:rPr>
      <w:sz w:val="18"/>
      <w:szCs w:val="18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  <w:style w:type="character" w:styleId="9">
    <w:name w:val="Placeholder Text"/>
    <w:basedOn w:val="5"/>
    <w:semiHidden/>
    <w:qFormat/>
    <w:uiPriority w:val="99"/>
    <w:rPr>
      <w:color w:val="80808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...</Company>
  <Pages>1</Pages>
  <Words>566</Words>
  <Characters>926</Characters>
  <Lines>10</Lines>
  <Paragraphs>2</Paragraphs>
  <TotalTime>11</TotalTime>
  <ScaleCrop>false</ScaleCrop>
  <LinksUpToDate>false</LinksUpToDate>
  <CharactersWithSpaces>941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2026-07-24T07:14:00Z</dcterms:created>
  <dc:creator>Wang</dc:creator>
  <cp:lastModifiedBy>远车</cp:lastModifiedBy>
  <dcterms:modified xsi:type="dcterms:W3CDTF">2026-08-03T08:09:38Z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eyJoZGlkIjoiNzEzZDBhMjU2ZTE2ODMzY2UxNjU4YTJiYTk1NWUwNzQiLCJ1c2VySWQiOiI3ODMyMTU0NzYifQ==</vt:lpwstr>
  </property>
  <property fmtid="{D5CDD505-2E9C-101B-9397-08002B2CF9AE}" pid="3" name="KSOProductBuildVer">
    <vt:lpwstr>2052-12.1.0.28043</vt:lpwstr>
  </property>
  <property fmtid="{D5CDD505-2E9C-101B-9397-08002B2CF9AE}" pid="4" name="ICV">
    <vt:lpwstr>659836D3CFC2414E96B5456761406F82_12</vt:lpwstr>
  </property>
</Properties>
</file>