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Hay dos cosas que suelen confundirse y conviene separar. En absoluto, 17 de las 19 promociones dejaron margen positivo: vendieron por encima del costo. Sólo dos vendieron a pérdida. Pero ninguna superó lo que habría dejado vender ese mismo volumen a precio de lista. La mejor, Combo Verano 2, recuperó 61 centavos por cada peso de margen sacrificado; la mediana del portafolio recupera 37.</w:t>
      </w:r>
    </w:p>
    <w:p>
      <w:pPr>
        <w:spacing w:after="115"/>
      </w:pPr>
      <w:r>
        <w:rPr>
          <w:rFonts w:ascii="Calibri" w:cs="Calibri" w:eastAsia="Calibri" w:hAnsi="Calibri"/>
          <w:sz w:val="21"/>
          <w:szCs w:val="21"/>
        </w:rPr>
        <w:t xml:space="preserve">La conclusión descansa entera en el contrafactual, así que la puse a prueba. El modelo tiene entre 6% y 10% de error sobre las semanas sin promoción y subestima la demanda entre 0.3% y 0.8%, o sea que si algo hace es favorecer a las promociones. Para que la mejor llegara al equilibrio, el contrafactual tendría que estar sobreestimado en 39%. Verifiqué además el margen por dos vías independientes y difieren menos de 1.5%. Con un grupo de bodegas sin promoción usaría eso como control en lugar del modelo.</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Es la que más se acercó: recuperó 61 centavos por cada peso de margen sacrificado, la mejor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Por eso construí PromoGuard, una compuerta que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dos promociones vendieron bajo costo y eso es aritmética, no criterio. Los otros $603,135 el sistema los marca antes de aprobar, y la decisión sigue siendo del equipo comercial. No eran casos al filo: 12 de esas 17 campañas estaban a menos de la mitad del umbral que necesitaban.</w:t>
      </w:r>
    </w:p>
    <w:p>
      <w:pPr>
        <w:spacing w:after="115"/>
      </w:pPr>
      <w:r>
        <w:rPr>
          <w:rFonts w:ascii="Calibri" w:cs="Calibri" w:eastAsia="Calibri" w:hAnsi="Calibri"/>
          <w:sz w:val="21"/>
          <w:szCs w:val="21"/>
        </w:rPr>
        <w:t xml:space="preserve">Para VEMIO cambia contra qué presupuesto compite. Un análisis se vende por proyecto; el sistema se vende como suscripción y sale del mismo presupuesto que financia los descuentos, que en estos 6 SKUs fueron $1,121,460 en 20 meses con un retorno de 38 centavos por dólar. Hubo una decisión cada 4.5 semanas: con 200 SKUs al mismo ritmo son unas 380 al año, y un análisis trimestral no alcanza a tocarlas. El hallazgo tampoco parece exclusivo de este cliente: confundir markup con margen es un error contable, así que puede repetirse en el resto de la cartera. Eso sí, el sistema evita pérdida, no genera ganancia, y la pantalla lo dice con esas palabras.</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2026-08-11T01:00:56.711Z</dcterms:created>
  <dcterms:modified xsi:type="dcterms:W3CDTF">2026-08-11T01:00:56.711Z</dcterms:modified>
</cp:coreProperties>
</file>

<file path=docProps/custom.xml><?xml version="1.0" encoding="utf-8"?>
<Properties xmlns="http://schemas.openxmlformats.org/officeDocument/2006/custom-properties" xmlns:vt="http://schemas.openxmlformats.org/officeDocument/2006/docPropsVTypes"/>
</file>