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En términos absolutos 17 de las 19 promociones dejaron margen positivo, es decir vendieron por encima del costo. Dos vendieron a pérdida. Ninguna de las 19 superó lo que habría dejado vender ese mismo volumen a precio de lista: la mejor, Combo Verano 2, recuperó 61 centavos por cada peso de margen sacrificado, y la mediana del portafolio 37.</w:t>
      </w:r>
    </w:p>
    <w:p>
      <w:pPr>
        <w:spacing w:after="115"/>
      </w:pPr>
      <w:r>
        <w:rPr>
          <w:rFonts w:ascii="Calibri" w:cs="Calibri" w:eastAsia="Calibri" w:hAnsi="Calibri"/>
          <w:sz w:val="21"/>
          <w:szCs w:val="21"/>
        </w:rPr>
        <w:t xml:space="preserve">Todo el resultado depende del contrafactual, así que medí su error. Sobre las semanas sin promoción da entre 6% y 10% de WAPE y subestima la demanda entre 0.3% y 0.8%, un sesgo que juega a favor de las promociones. Para que la mejor llegara al equilibrio tendría que estar sobreestimado en 39%. El margen lo calculé además por dos vías independientes y difieren menos de 1.5%. Con un grupo de bodegas sin promoción usaría eso como control en lugar del modelo.</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al 11% en lugar de 16.1%, y sólo en algunas bodegas. Con el uplift que consiguió, 11% es el descuento máximo que podía pagar; a 16.1% quedó 5 puntos por encima. Es la campaña más cercana al equilibrio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PromoGuard es lo que construí para eso y no estaba en el pedido: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las dos promociones que vendieron bajo costo. No requiere modelo. Los otros $603,135 el sistema los marca antes de aprobar, y la decisión de bajar la profundidad, acotar o cancelar queda en el equipo comercial. De esas 17 campañas, 12 estaban a menos de la mitad del umbral que necesitaban.</w:t>
      </w:r>
    </w:p>
    <w:p>
      <w:pPr>
        <w:spacing w:after="115"/>
      </w:pPr>
      <w:r>
        <w:rPr>
          <w:rFonts w:ascii="Calibri" w:cs="Calibri" w:eastAsia="Calibri" w:hAnsi="Calibri"/>
          <w:sz w:val="21"/>
          <w:szCs w:val="21"/>
        </w:rPr>
        <w:t xml:space="preserve">Para VEMIO cambia el tipo de venta. Un análisis se cobra una vez y termina al entregar el PDF. El sistema se queda en el flujo de aprobación del cliente y abre mantenimiento recurrente: recalibrar modelos cuando cambian los costos, sumar SKUs, revisar los topes cada trimestre, medir cada campaña nueva contra su contrafactual.</w:t>
      </w:r>
    </w:p>
    <w:p>
      <w:pPr>
        <w:spacing w:after="115"/>
      </w:pPr>
      <w:r>
        <w:rPr>
          <w:rFonts w:ascii="Calibri" w:cs="Calibri" w:eastAsia="Calibri" w:hAnsi="Calibri"/>
          <w:sz w:val="21"/>
          <w:szCs w:val="21"/>
        </w:rPr>
        <w:t xml:space="preserve">También hace visible el trabajo. Un PDF se lee una vez y quien lo paga no siempre dimensiona qué recibió; con el sistema ve cada semana cuántas promociones se evaluaron, cuáles se bloquearon y cuánto margen se protegió. Eso cambia la conversación de precio: una consultoría se compara contra otras consultorías y se discute por hora, mientras que una herramienta que gobierna $1,121,460 de presupuesto de descuentos se compara contra lo que protege, y ese encuadre sostiene un precio más alto. Para vender también ayuda que un prospecto cargue su propio extracto y vea sus cifras en minutos.</w:t>
      </w:r>
    </w:p>
    <w:p>
      <w:pPr>
        <w:spacing w:after="115"/>
      </w:pPr>
      <w:r>
        <w:rPr>
          <w:rFonts w:ascii="Calibri" w:cs="Calibri" w:eastAsia="Calibri" w:hAnsi="Calibri"/>
          <w:sz w:val="21"/>
          <w:szCs w:val="21"/>
        </w:rPr>
        <w:t xml:space="preserve">El hallazgo tampoco parece exclusivo de este cliente: confundir un markup sobre costo con un margen sobre ingreso es un error contable, así que puede repetirse en el resto de la cartera.</w:t>
      </w:r>
    </w:p>
    <w:p>
      <w:pPr>
        <w:spacing w:after="115"/>
      </w:pPr>
      <w:r>
        <w:rPr>
          <w:rFonts w:ascii="Calibri" w:cs="Calibri" w:eastAsia="Calibri" w:hAnsi="Calibri"/>
          <w:sz w:val="21"/>
          <w:szCs w:val="21"/>
        </w:rPr>
        <w:t xml:space="preserve">Sobre qué prometer conviene distinguir dos cosas. Lo demostrado es margen que se deja de perder: con estos 6 SKUs ninguna profundidad de descuento abierto se paga sola, porque haría falta una elasticidad de entre 4.3 y 5.5 y las observadas van de 0.5 a 3.2. Lo que sí puede dejar dinero son las otras dos rutas que el sistema calcula: que el proveedor financie parte del descuento, y dirigir el incentivo a una parte de las unidades en lugar de subsidiarlas todas, ya que en este histórico el 100% de la venta de cada ventana llevó descuento, incluida la que se habría hecho igual. Ninguna se puede medir con este extracto porque nunca se probaron, y ambas requieren un piloto.</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2026-08-11T02:06:01.322Z</dcterms:created>
  <dcterms:modified xsi:type="dcterms:W3CDTF">2026-08-11T02:06:01.323Z</dcterms:modified>
</cp:coreProperties>
</file>

<file path=docProps/custom.xml><?xml version="1.0" encoding="utf-8"?>
<Properties xmlns="http://schemas.openxmlformats.org/officeDocument/2006/custom-properties" xmlns:vt="http://schemas.openxmlformats.org/officeDocument/2006/docPropsVTypes"/>
</file>