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En términos absolutos 17 de las 19 promociones dejaron margen positivo, es decir vendieron por encima del costo. Dos vendieron a pérdida. Ninguna de las 19 superó lo que habría dejado vender ese mismo volumen a precio de lista: la mejor, Combo Verano 2, recuperó 61 centavos por cada peso de margen sacrificado, y la mediana del portafolio 37.</w:t>
      </w:r>
    </w:p>
    <w:p>
      <w:pPr>
        <w:spacing w:after="115"/>
      </w:pPr>
      <w:r>
        <w:rPr>
          <w:rFonts w:ascii="Calibri" w:cs="Calibri" w:eastAsia="Calibri" w:hAnsi="Calibri"/>
          <w:sz w:val="21"/>
          <w:szCs w:val="21"/>
        </w:rPr>
        <w:t xml:space="preserve">Todo el resultado depende del contrafactual, así que medí su error. Sobre las semanas sin promoción da entre 6% y 10% de WAPE y subestima la demanda entre 0.3% y 0.8%, un sesgo que juega a favor de las promociones. Para que la mejor llegara al equilibrio tendría que estar sobreestimado en 39%. El margen lo calculé además por dos vías independientes y difieren menos de 1.5%. Con un grupo de bodegas sin promoción usaría eso como control en lugar del modelo.</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Es la que más se acercó: recuperó 61 centavos por cada peso de margen sacrificado, la mejor del portafolio.</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promoción superó a su contrafactual, aunque 17 de 19 sí dejaron margen positivo.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p>
      <w:pPr>
        <w:pStyle w:val="Heading2"/>
        <w:spacing w:after="65" w:before="170"/>
      </w:pPr>
      <w:r>
        <w:t xml:space="preserve">Más allá de lo pedido: el sistema en línea</w:t>
      </w:r>
    </w:p>
    <w:p>
      <w:pPr>
        <w:spacing w:after="115"/>
      </w:pPr>
      <w:r>
        <w:rPr>
          <w:rFonts w:ascii="Calibri" w:cs="Calibri" w:eastAsia="Calibri" w:hAnsi="Calibri"/>
          <w:sz w:val="21"/>
          <w:szCs w:val="21"/>
        </w:rPr>
        <w:t xml:space="preserve">El análisis explica 19 promociones que ya ocurrieron y no impide la número 20. PromoGuard es lo que construí para eso y no estaba en el pedido: valida el descuento contra el punto de equilibrio del producto antes de lanzar la promoción, calcula las ventas adicionales necesarias y bloquea las que venden bajo costo. Está publicada con los datos de este extracto: https://darkgrey-ram-842360.hostingersite.com</w:t>
      </w:r>
    </w:p>
    <w:p>
      <w:pPr>
        <w:spacing w:after="115"/>
      </w:pPr>
      <w:r>
        <w:rPr>
          <w:rFonts w:ascii="Calibri" w:cs="Calibri" w:eastAsia="Calibri" w:hAnsi="Calibri"/>
          <w:sz w:val="21"/>
          <w:szCs w:val="21"/>
        </w:rPr>
        <w:t xml:space="preserve">De los $699,241 de margen destruido, $96,106 los detiene una regla dura: las dos promociones que vendieron bajo costo. No requiere modelo. Los otros $603,135 el sistema los marca antes de aprobar, y la decisión de bajar la profundidad, acotar o cancelar queda en el equipo comercial. De esas 17 campañas, 12 estaban a menos de la mitad del umbral que necesitaban.</w:t>
      </w:r>
    </w:p>
    <w:p>
      <w:pPr>
        <w:spacing w:after="115"/>
      </w:pPr>
      <w:r>
        <w:rPr>
          <w:rFonts w:ascii="Calibri" w:cs="Calibri" w:eastAsia="Calibri" w:hAnsi="Calibri"/>
          <w:sz w:val="21"/>
          <w:szCs w:val="21"/>
        </w:rPr>
        <w:t xml:space="preserve">Para VEMIO cambia contra qué presupuesto compite. Un análisis se vende por proyecto; el sistema se vende como suscripción y sale del mismo presupuesto que financia los descuentos, que en estos 6 SKUs fueron $1,121,460 en 20 meses con un retorno de 38 centavos por dólar. Hubo una decisión cada 4.5 semanas: con 200 SKUs al mismo ritmo son unas 380 al año, y un análisis trimestral no alcanza a tocarlas. El hallazgo tampoco parece exclusivo de este cliente: confundir markup con margen es un error contable, así que puede repetirse en el resto de la cartera. Eso sí, el sistema evita pérdida, no genera ganancia, y la pantalla lo dice con esas palabras.</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2026-08-11T01:36:41.159Z</dcterms:created>
  <dcterms:modified xsi:type="dcterms:W3CDTF">2026-08-11T01:36:41.160Z</dcterms:modified>
</cp:coreProperties>
</file>

<file path=docProps/custom.xml><?xml version="1.0" encoding="utf-8"?>
<Properties xmlns="http://schemas.openxmlformats.org/officeDocument/2006/custom-properties" xmlns:vt="http://schemas.openxmlformats.org/officeDocument/2006/docPropsVTypes"/>
</file>