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w:t>
      </w:r>
    </w:p>
    <w:p>
      <w:pPr>
        <w:pStyle w:val="Heading2"/>
        <w:pageBreakBefore/>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Ninguna de las 19 promociones dejó margen incremental positivo. La mejor fue Combo Verano 2, con cobertura de 0.69: consiguió 69% del uplift necesario para pagarse. Dos promociones de Desodorante vendieron por debajo del costo, aunque mostraron los uplifts más altos. Verifiqué el margen con dos cálculos independientes y la diferencia fue menor a 1.5%.</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Fue la promoción más cercana al equilibrio, pero todavía no fue rentable.</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Limitaciones y siguiente paso</w:t>
      </w:r>
    </w:p>
    <w:p>
      <w:pPr>
        <w:spacing w:after="115"/>
      </w:pPr>
      <w:r>
        <w:rPr>
          <w:rFonts w:ascii="Calibri" w:cs="Calibri" w:eastAsia="Calibri" w:hAnsi="Calibri"/>
          <w:sz w:val="21"/>
          <w:szCs w:val="21"/>
        </w:rPr>
        <w:t xml:space="preserve">El contrafactual promocional no es causal y la elasticidad está limitada por la poca variación de precio fuera de combos. Con más tiempo priorizaría una prueba por bodegas, con un grupo de control, antes que agregar complejidad al modelo. También incorporaría intervalos de predicción al forecast. Las versiones de Python y librerías usadas para generar estas cifras están fijadas en requirements.txt.</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2026-08-10T19:31:12.926Z</dcterms:created>
  <dcterms:modified xsi:type="dcterms:W3CDTF">2026-08-10T19:31:12.930Z</dcterms:modified>
</cp:coreProperties>
</file>

<file path=docProps/custom.xml><?xml version="1.0" encoding="utf-8"?>
<Properties xmlns="http://schemas.openxmlformats.org/officeDocument/2006/custom-properties" xmlns:vt="http://schemas.openxmlformats.org/officeDocument/2006/docPropsVTypes"/>
</file>