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pageBreakBefore/>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Ninguna de las 19 promociones dejó margen incremental positivo. La mejor fue Combo Verano 2, con cobertura de 0.69: consiguió 69% del uplift necesario para pagarse. Dos promociones de Desodorante vendieron por debajo del costo, aunque mostraron los uplifts más altos. Verifiqué el margen con dos cálculos independientes y la diferencia fue menor a 1.5%. Si tuviera un grupo de bodegas sin promoción, lo usaría como control en lugar de depender sólo del modelo estacional.</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con menor descuento y sólo en algunas bodegas. Fue la promoción más cercana al equilibrio, pero todavía no fue rentable.</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de las 19 promociones fue rentable en margen.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p>
      <w:pPr>
        <w:pStyle w:val="Heading2"/>
        <w:spacing w:after="65" w:before="170"/>
      </w:pPr>
      <w:r>
        <w:t xml:space="preserve">Más allá de lo pedido: el sistema en línea</w:t>
      </w:r>
    </w:p>
    <w:p>
      <w:pPr>
        <w:spacing w:after="115"/>
      </w:pPr>
      <w:r>
        <w:rPr>
          <w:rFonts w:ascii="Calibri" w:cs="Calibri" w:eastAsia="Calibri" w:hAnsi="Calibri"/>
          <w:sz w:val="21"/>
          <w:szCs w:val="21"/>
        </w:rPr>
        <w:t xml:space="preserve">El análisis explica 19 promociones que ya ocurrieron y no impide la número 20. Por eso construí PromoGuard, una compuerta que valida el descuento contra el punto de equilibrio del producto antes de lanzar la promoción, calcula las ventas adicionales necesarias y bloquea las que venden bajo costo. Está publicada con los datos de este extracto: https://darkgrey-ram-842360.hostingersite.com</w:t>
      </w:r>
    </w:p>
    <w:p>
      <w:pPr>
        <w:spacing w:after="115"/>
      </w:pPr>
      <w:r>
        <w:rPr>
          <w:rFonts w:ascii="Calibri" w:cs="Calibri" w:eastAsia="Calibri" w:hAnsi="Calibri"/>
          <w:sz w:val="21"/>
          <w:szCs w:val="21"/>
        </w:rPr>
        <w:t xml:space="preserve">De los $699,241 de margen destruido, $96,106 los detiene una regla dura: dos promociones vendieron bajo costo y eso es aritmética, no criterio. Los otros $603,135 el sistema los marca antes de aprobar, y la decisión sigue siendo del equipo comercial. No eran casos al filo: 12 de esas 17 campañas estaban a menos de la mitad del umbral que necesitaban.</w:t>
      </w:r>
    </w:p>
    <w:p>
      <w:pPr>
        <w:spacing w:after="115"/>
      </w:pPr>
      <w:r>
        <w:rPr>
          <w:rFonts w:ascii="Calibri" w:cs="Calibri" w:eastAsia="Calibri" w:hAnsi="Calibri"/>
          <w:sz w:val="21"/>
          <w:szCs w:val="21"/>
        </w:rPr>
        <w:t xml:space="preserve">Para VEMIO cambia contra qué presupuesto compite. Un análisis se vende por proyecto y pelea contra cualquier consultora con un data scientist. El sistema se vende como suscripción y sale del mismo presupuesto que financia los descuentos: estos 6 SKUs entregaron $1,121,460 en 20 meses y por cada dólar sólo regresaron 38 centavos. Hubo una decisión cada 4.5 semanas; un catálogo de 200 SKUs al mismo ritmo son unas 380 al año, y un análisis trimestral no alcanza a tocarlas. Además el uso se reporta solo, así que la evidencia de renovación no hay que redactarla.</w:t>
      </w:r>
    </w:p>
    <w:p>
      <w:pPr>
        <w:spacing w:after="115"/>
      </w:pPr>
      <w:r>
        <w:rPr>
          <w:rFonts w:ascii="Calibri" w:cs="Calibri" w:eastAsia="Calibri" w:hAnsi="Calibri"/>
          <w:sz w:val="21"/>
          <w:szCs w:val="21"/>
        </w:rPr>
        <w:t xml:space="preserve">Dos precisiones. El sistema evita pérdida, no genera ganancia, y la pantalla lo dice con esas palabras. Y el hallazgo probablemente no es exclusivo de este cliente: confundir un markup sobre costo con un margen sobre ingreso es un error contable, así que puede repetirse en el resto de la cartera.</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2026-08-11T00:52:07.403Z</dcterms:created>
  <dcterms:modified xsi:type="dcterms:W3CDTF">2026-08-11T00:52:07.403Z</dcterms:modified>
</cp:coreProperties>
</file>

<file path=docProps/custom.xml><?xml version="1.0" encoding="utf-8"?>
<Properties xmlns="http://schemas.openxmlformats.org/officeDocument/2006/custom-properties" xmlns:vt="http://schemas.openxmlformats.org/officeDocument/2006/docPropsVTypes"/>
</file>