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En términos absolutos 17 de las 19 promociones dejaron margen positivo: vendieron por encima del costo. Dos vendieron a pérdida. Ninguna superó lo que se habría ganado sin promocionar, o sea vendiendo menos unidades pero todas a precio de lista. La mejor, Combo Verano 2, recuperó 61 centavos por cada peso de margen sacrificado y la mediana del portafolio 37.</w:t>
      </w:r>
    </w:p>
    <w:p>
      <w:pPr>
        <w:spacing w:after="115"/>
      </w:pPr>
      <w:r>
        <w:rPr>
          <w:rFonts w:ascii="Calibri" w:cs="Calibri" w:eastAsia="Calibri" w:hAnsi="Calibri"/>
          <w:sz w:val="21"/>
          <w:szCs w:val="21"/>
        </w:rPr>
        <w:t xml:space="preserve">Conviene situar el número: Nielsen ha medido que entre 59% y 75% de las promociones de consumo masivo no alcanzan el punto de equilibrio. Este portafolio cae en el extremo con 19 de 19, sea porque descuenta más agresivo que el promedio o porque el extracto, que el brief declara simulado, acentúa el fenómeno.</w:t>
      </w:r>
    </w:p>
    <w:p>
      <w:pPr>
        <w:spacing w:after="115"/>
      </w:pPr>
      <w:r>
        <w:rPr>
          <w:rFonts w:ascii="Calibri" w:cs="Calibri" w:eastAsia="Calibri" w:hAnsi="Calibri"/>
          <w:sz w:val="21"/>
          <w:szCs w:val="21"/>
        </w:rPr>
        <w:t xml:space="preserve">Todo depende del contrafactual, así que medí su error: entre 6% y 10% de WAPE sobre las semanas sin promoción, con un sesgo de 0.3% a 0.8% que subestima la demanda y por tanto favorece a las promociones. Para que la mejor llegara al equilibrio tendría que estar sobreestimado en 39%. Lo verifiqué también sin modelo: con el uplift medido contra las semanas vecinas y el descuento real del extracto, el techo que cada campaña podía pagar sale de despejar d = u·m/((1+u)(1+m)), y ninguna quedó por debajo del suyo. Combo Verano 2 usó 16.1% cuando su uplift sólo pagaba 11.0%.</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al 11% en lugar de 16.1%, y sólo en algunas bodegas. Con el uplift que consiguió, 11% es el descuento máximo que podía pagar; a 16.1% quedó 5 puntos por encima. Es la campaña más cercana al equilibrio del portafolio.</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promoción superó a su contrafactual, aunque 17 de 19 sí dejaron margen positivo.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análisis explica 19 promociones que ya ocurrieron y no impide la número 20. PromoGuard es lo que construí para eso y no estaba en el pedido: valida el descuento contra el punto de equilibrio del producto antes de lanzar la promoción, calcula las ventas adicionales necesarias y bloquea las que venden bajo costo. Está publicada con los datos de este extracto: https://darkgrey-ram-842360.hostingersite.com</w:t>
      </w:r>
    </w:p>
    <w:p>
      <w:pPr>
        <w:spacing w:after="115"/>
      </w:pPr>
      <w:r>
        <w:rPr>
          <w:rFonts w:ascii="Calibri" w:cs="Calibri" w:eastAsia="Calibri" w:hAnsi="Calibri"/>
          <w:sz w:val="21"/>
          <w:szCs w:val="21"/>
        </w:rPr>
        <w:t xml:space="preserve">De los $699,241 de margen destruido, $96,106 los detiene una regla dura: las dos promociones que vendieron bajo costo. No requiere modelo. Los otros $603,135 el sistema los marca antes de aprobar, y la decisión de bajar la profundidad, acotar o cancelar queda en el equipo comercial. De esas 17 campañas, 12 estaban a menos de la mitad del umbral que necesitaban.</w:t>
      </w:r>
    </w:p>
    <w:p>
      <w:pPr>
        <w:spacing w:after="115"/>
      </w:pPr>
      <w:r>
        <w:rPr>
          <w:rFonts w:ascii="Calibri" w:cs="Calibri" w:eastAsia="Calibri" w:hAnsi="Calibri"/>
          <w:sz w:val="21"/>
          <w:szCs w:val="21"/>
        </w:rPr>
        <w:t xml:space="preserve">Para VEMIO cambia el tipo de venta. Un análisis se cobra una vez y termina al entregar el PDF. El sistema se queda en el flujo de aprobación del cliente y abre mantenimiento recurrente: recalibrar modelos cuando cambian los costos, sumar SKUs, revisar los topes cada trimestre, medir cada campaña nueva contra su contrafactual.</w:t>
      </w:r>
    </w:p>
    <w:p>
      <w:pPr>
        <w:spacing w:after="115"/>
      </w:pPr>
      <w:r>
        <w:rPr>
          <w:rFonts w:ascii="Calibri" w:cs="Calibri" w:eastAsia="Calibri" w:hAnsi="Calibri"/>
          <w:sz w:val="21"/>
          <w:szCs w:val="21"/>
        </w:rPr>
        <w:t xml:space="preserve">También hace visible el trabajo. Un PDF se lee una vez y quien lo paga no siempre dimensiona qué recibió; con el sistema ve cada semana cuántas promociones se evaluaron, cuáles se bloquearon y cuánto margen se protegió. Eso cambia la conversación de precio: una consultoría se compara contra otras consultorías y se discute por hora, mientras que una herramienta que gobierna $1,121,460 de presupuesto de descuentos se compara contra lo que protege, y ese encuadre sostiene un precio más alto. Para vender también ayuda que un prospecto cargue su propio extracto y vea sus cifras en minutos.</w:t>
      </w:r>
    </w:p>
    <w:p>
      <w:pPr>
        <w:spacing w:after="115"/>
      </w:pPr>
      <w:r>
        <w:rPr>
          <w:rFonts w:ascii="Calibri" w:cs="Calibri" w:eastAsia="Calibri" w:hAnsi="Calibri"/>
          <w:sz w:val="21"/>
          <w:szCs w:val="21"/>
        </w:rPr>
        <w:t xml:space="preserve">El hallazgo tampoco parece exclusivo de este cliente: confundir un markup sobre costo con un margen sobre ingreso es un error contable, así que puede repetirse en el resto de la cartera.</w:t>
      </w:r>
    </w:p>
    <w:p>
      <w:pPr>
        <w:spacing w:after="115"/>
      </w:pPr>
      <w:r>
        <w:rPr>
          <w:rFonts w:ascii="Calibri" w:cs="Calibri" w:eastAsia="Calibri" w:hAnsi="Calibri"/>
          <w:sz w:val="21"/>
          <w:szCs w:val="21"/>
        </w:rPr>
        <w:t xml:space="preserve">Conviene distinguir dos cosas al prometer. Lo demostrado es margen que se deja de perder: con estos 6 SKUs ningún descuento abierto se paga solo, porque haría falta una elasticidad de 4.3 a 5.5 y las observadas van de 0.5 a 3.2. Lo que sí puede dejar dinero son las otras dos rutas que el sistema calcula, aporte del proveedor y dirigir el incentivo a una parte de las unidades en vez de subsidiarlas todas, dado que aquí el 100% de la venta de cada ventana llevó descuento. Ninguna se puede medir con este extracto y ambas requieren un piloto.</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2026-08-11T03:07:59.000Z</dcterms:created>
  <dcterms:modified xsi:type="dcterms:W3CDTF">2026-08-11T03:07:59.002Z</dcterms:modified>
</cp:coreProperties>
</file>

<file path=docProps/custom.xml><?xml version="1.0" encoding="utf-8"?>
<Properties xmlns="http://schemas.openxmlformats.org/officeDocument/2006/custom-properties" xmlns:vt="http://schemas.openxmlformats.org/officeDocument/2006/docPropsVTypes"/>
</file>