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774F8" w14:textId="77777777" w:rsidR="00C62B00" w:rsidRPr="00B92532" w:rsidRDefault="00C62B00" w:rsidP="00C62B00">
      <w:pPr>
        <w:spacing w:after="0" w:line="240" w:lineRule="auto"/>
        <w:jc w:val="center"/>
        <w:textAlignment w:val="baseline"/>
        <w:rPr>
          <w:rFonts w:ascii="Times New Roman" w:eastAsia="Times New Roman" w:hAnsi="Times New Roman" w:cs="Times New Roman"/>
          <w:b/>
          <w:bCs/>
          <w:kern w:val="0"/>
          <w14:ligatures w14:val="none"/>
        </w:rPr>
      </w:pPr>
      <w:r w:rsidRPr="00B92532">
        <w:rPr>
          <w:rFonts w:ascii="Times New Roman" w:eastAsia="Times New Roman" w:hAnsi="Times New Roman" w:cs="Times New Roman"/>
          <w:b/>
          <w:bCs/>
          <w:kern w:val="0"/>
          <w14:ligatures w14:val="none"/>
        </w:rPr>
        <w:t>KONKURSAS Į STEBĖSENOS IR ANALIZĖS SKYRIAUS ANALITIKO (-ĖS) PAREIGAS</w:t>
      </w:r>
    </w:p>
    <w:p w14:paraId="3ADF3CC4" w14:textId="77777777" w:rsidR="00C62B00" w:rsidRPr="00B92532" w:rsidRDefault="00C62B00" w:rsidP="00C62B00">
      <w:pPr>
        <w:spacing w:after="240" w:line="240" w:lineRule="auto"/>
        <w:jc w:val="center"/>
        <w:textAlignment w:val="baseline"/>
        <w:rPr>
          <w:rFonts w:ascii="Times New Roman" w:eastAsia="Times New Roman" w:hAnsi="Times New Roman" w:cs="Times New Roman"/>
          <w:kern w:val="0"/>
          <w14:ligatures w14:val="none"/>
        </w:rPr>
      </w:pPr>
      <w:r w:rsidRPr="00B92532">
        <w:rPr>
          <w:rFonts w:ascii="Times New Roman" w:eastAsia="Times New Roman" w:hAnsi="Times New Roman" w:cs="Times New Roman"/>
          <w:b/>
          <w:bCs/>
          <w:kern w:val="0"/>
          <w14:ligatures w14:val="none"/>
        </w:rPr>
        <w:t>I ETAPAS – RAŠYTINĖ NAMŲ DARBŲ UŽDUOTIS</w:t>
      </w:r>
      <w:r w:rsidRPr="00B92532">
        <w:rPr>
          <w:rFonts w:ascii="Times New Roman" w:eastAsia="Times New Roman" w:hAnsi="Times New Roman" w:cs="Times New Roman"/>
          <w:kern w:val="0"/>
          <w14:ligatures w14:val="none"/>
        </w:rPr>
        <w:t> </w:t>
      </w:r>
    </w:p>
    <w:p w14:paraId="17BAD140" w14:textId="419AA2C3" w:rsidR="003E5ED7" w:rsidRDefault="00C62B00" w:rsidP="00C62B00">
      <w:pPr>
        <w:widowControl w:val="0"/>
        <w:tabs>
          <w:tab w:val="left" w:pos="3640"/>
          <w:tab w:val="left" w:pos="4373"/>
        </w:tabs>
        <w:autoSpaceDE w:val="0"/>
        <w:autoSpaceDN w:val="0"/>
        <w:adjustRightInd w:val="0"/>
        <w:spacing w:after="120" w:line="240" w:lineRule="auto"/>
        <w:jc w:val="both"/>
        <w:rPr>
          <w:rFonts w:ascii="Times New Roman" w:eastAsia="Times New Roman" w:hAnsi="Times New Roman" w:cs="Times New Roman"/>
          <w:kern w:val="0"/>
          <w14:ligatures w14:val="none"/>
        </w:rPr>
      </w:pPr>
      <w:r w:rsidRPr="00B92532">
        <w:rPr>
          <w:rFonts w:ascii="Times New Roman" w:eastAsia="Times New Roman" w:hAnsi="Times New Roman" w:cs="Times New Roman"/>
          <w:b/>
          <w:kern w:val="0"/>
          <w14:ligatures w14:val="none"/>
        </w:rPr>
        <w:t xml:space="preserve">1 UŽDUOTIS. </w:t>
      </w:r>
      <w:r w:rsidRPr="00B92532">
        <w:rPr>
          <w:rFonts w:ascii="Times New Roman" w:eastAsia="Times New Roman" w:hAnsi="Times New Roman" w:cs="Times New Roman"/>
          <w:kern w:val="0"/>
          <w14:ligatures w14:val="none"/>
        </w:rPr>
        <w:t>Lietuvos kultūros tarybai reikia sužinoti programos „Menas žmogaus gerovei“ finansavimo tendencijas. (</w:t>
      </w:r>
      <w:r w:rsidRPr="00B92532">
        <w:rPr>
          <w:rFonts w:ascii="Times New Roman" w:eastAsia="Times New Roman" w:hAnsi="Times New Roman" w:cs="Times New Roman"/>
          <w:i/>
          <w:iCs/>
          <w:kern w:val="0"/>
          <w:sz w:val="18"/>
          <w:szCs w:val="18"/>
          <w14:ligatures w14:val="none"/>
        </w:rPr>
        <w:t>Didžiausias galimas surinkti balų skaičius –4)</w:t>
      </w:r>
      <w:r w:rsidRPr="00B92532">
        <w:rPr>
          <w:rFonts w:ascii="Times New Roman" w:eastAsia="Times New Roman" w:hAnsi="Times New Roman" w:cs="Times New Roman"/>
          <w:kern w:val="0"/>
          <w14:ligatures w14:val="none"/>
        </w:rPr>
        <w:t>.</w:t>
      </w:r>
    </w:p>
    <w:p w14:paraId="351560D8" w14:textId="30F2379E" w:rsidR="00707077" w:rsidRPr="00B92532" w:rsidRDefault="00707077" w:rsidP="00C62B00">
      <w:pPr>
        <w:widowControl w:val="0"/>
        <w:tabs>
          <w:tab w:val="left" w:pos="3640"/>
          <w:tab w:val="left" w:pos="4373"/>
        </w:tabs>
        <w:autoSpaceDE w:val="0"/>
        <w:autoSpaceDN w:val="0"/>
        <w:adjustRightInd w:val="0"/>
        <w:spacing w:after="120" w:line="240" w:lineRule="auto"/>
        <w:jc w:val="both"/>
        <w:rPr>
          <w:rFonts w:ascii="Times New Roman" w:eastAsia="Times New Roman" w:hAnsi="Times New Roman" w:cs="Times New Roman"/>
          <w:kern w:val="0"/>
          <w14:ligatures w14:val="none"/>
        </w:rPr>
      </w:pPr>
      <w:r w:rsidRPr="00B92532">
        <w:rPr>
          <w:rFonts w:ascii="Times New Roman" w:eastAsia="Times New Roman" w:hAnsi="Times New Roman" w:cs="Times New Roman"/>
          <w:b/>
          <w:kern w:val="0"/>
          <w14:ligatures w14:val="none"/>
        </w:rPr>
        <w:t>1 UŽDUOTI</w:t>
      </w:r>
      <w:r>
        <w:rPr>
          <w:rFonts w:ascii="Times New Roman" w:eastAsia="Times New Roman" w:hAnsi="Times New Roman" w:cs="Times New Roman"/>
          <w:b/>
          <w:kern w:val="0"/>
          <w14:ligatures w14:val="none"/>
        </w:rPr>
        <w:t>ES. Pirma dalis.</w:t>
      </w:r>
      <w:r w:rsidR="00977173">
        <w:rPr>
          <w:rFonts w:ascii="Times New Roman" w:eastAsia="Times New Roman" w:hAnsi="Times New Roman" w:cs="Times New Roman"/>
          <w:b/>
          <w:kern w:val="0"/>
          <w14:ligatures w14:val="none"/>
        </w:rPr>
        <w:t xml:space="preserve"> (PowerBI interaktyvią lentelę bei Excel failą iš kurio buvo atlikta analizė prikabinau laiške.)</w:t>
      </w:r>
    </w:p>
    <w:p w14:paraId="5791ACAF" w14:textId="265C921A" w:rsidR="0037018E" w:rsidRPr="00B92532" w:rsidRDefault="000473BC" w:rsidP="00B92532">
      <w:pPr>
        <w:ind w:firstLine="720"/>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4F2C7945" wp14:editId="3CF65BCC">
                <wp:simplePos x="0" y="0"/>
                <wp:positionH relativeFrom="column">
                  <wp:posOffset>3320415</wp:posOffset>
                </wp:positionH>
                <wp:positionV relativeFrom="paragraph">
                  <wp:posOffset>2821305</wp:posOffset>
                </wp:positionV>
                <wp:extent cx="3028950" cy="171450"/>
                <wp:effectExtent l="0" t="0" r="19050" b="19050"/>
                <wp:wrapTight wrapText="bothSides">
                  <wp:wrapPolygon edited="0">
                    <wp:start x="0" y="0"/>
                    <wp:lineTo x="0" y="21600"/>
                    <wp:lineTo x="21600" y="21600"/>
                    <wp:lineTo x="21600" y="0"/>
                    <wp:lineTo x="0" y="0"/>
                  </wp:wrapPolygon>
                </wp:wrapTight>
                <wp:docPr id="1077941231" name="Text Box 1"/>
                <wp:cNvGraphicFramePr/>
                <a:graphic xmlns:a="http://schemas.openxmlformats.org/drawingml/2006/main">
                  <a:graphicData uri="http://schemas.microsoft.com/office/word/2010/wordprocessingShape">
                    <wps:wsp>
                      <wps:cNvSpPr txBox="1"/>
                      <wps:spPr>
                        <a:xfrm>
                          <a:off x="0" y="0"/>
                          <a:ext cx="3028950" cy="171450"/>
                        </a:xfrm>
                        <a:prstGeom prst="rect">
                          <a:avLst/>
                        </a:prstGeom>
                        <a:ln/>
                      </wps:spPr>
                      <wps:style>
                        <a:lnRef idx="2">
                          <a:schemeClr val="dk1"/>
                        </a:lnRef>
                        <a:fillRef idx="1">
                          <a:schemeClr val="lt1"/>
                        </a:fillRef>
                        <a:effectRef idx="0">
                          <a:schemeClr val="dk1"/>
                        </a:effectRef>
                        <a:fontRef idx="minor">
                          <a:schemeClr val="dk1"/>
                        </a:fontRef>
                      </wps:style>
                      <wps:txbx>
                        <w:txbxContent>
                          <w:p w14:paraId="539D89D1" w14:textId="3B306052" w:rsidR="000473BC" w:rsidRPr="000473BC" w:rsidRDefault="000473BC" w:rsidP="000473BC">
                            <w:pPr>
                              <w:pStyle w:val="Caption"/>
                              <w:rPr>
                                <w:rFonts w:ascii="Times New Roman" w:hAnsi="Times New Roman" w:cs="Times New Roman"/>
                                <w:color w:val="000000" w:themeColor="text1"/>
                              </w:rPr>
                            </w:pPr>
                            <w:r w:rsidRPr="000473BC">
                              <w:rPr>
                                <w:rFonts w:ascii="Times New Roman" w:hAnsi="Times New Roman" w:cs="Times New Roman"/>
                                <w:color w:val="000000" w:themeColor="text1"/>
                              </w:rPr>
                              <w:t xml:space="preserve">pav. </w:t>
                            </w:r>
                            <w:r w:rsidRPr="000473BC">
                              <w:rPr>
                                <w:rFonts w:ascii="Times New Roman" w:hAnsi="Times New Roman" w:cs="Times New Roman"/>
                                <w:color w:val="000000" w:themeColor="text1"/>
                              </w:rPr>
                              <w:fldChar w:fldCharType="begin"/>
                            </w:r>
                            <w:r w:rsidRPr="000473BC">
                              <w:rPr>
                                <w:rFonts w:ascii="Times New Roman" w:hAnsi="Times New Roman" w:cs="Times New Roman"/>
                                <w:color w:val="000000" w:themeColor="text1"/>
                              </w:rPr>
                              <w:instrText xml:space="preserve"> SEQ pav. \* ARABIC </w:instrText>
                            </w:r>
                            <w:r w:rsidRPr="000473BC">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w:t>
                            </w:r>
                            <w:r w:rsidRPr="000473BC">
                              <w:rPr>
                                <w:rFonts w:ascii="Times New Roman" w:hAnsi="Times New Roman" w:cs="Times New Roman"/>
                                <w:color w:val="000000" w:themeColor="text1"/>
                              </w:rPr>
                              <w:fldChar w:fldCharType="end"/>
                            </w:r>
                            <w:r w:rsidRPr="000473BC">
                              <w:rPr>
                                <w:rFonts w:ascii="Times New Roman" w:hAnsi="Times New Roman" w:cs="Times New Roman"/>
                                <w:color w:val="000000" w:themeColor="text1"/>
                              </w:rPr>
                              <w:t xml:space="preserve"> Finansavimo statusas pagal Apskritis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C7945" id="_x0000_t202" coordsize="21600,21600" o:spt="202" path="m,l,21600r21600,l21600,xe">
                <v:stroke joinstyle="miter"/>
                <v:path gradientshapeok="t" o:connecttype="rect"/>
              </v:shapetype>
              <v:shape id="Text Box 1" o:spid="_x0000_s1026" type="#_x0000_t202" style="position:absolute;left:0;text-align:left;margin-left:261.45pt;margin-top:222.15pt;width:238.5pt;height:1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" fillcolor="white [3201]" strokecolor="black [3200]" strokeweight="1pt">
                <v:textbox inset="0,0,0,0">
                  <w:txbxContent>
                    <w:p w14:paraId="539D89D1" w14:textId="3B306052" w:rsidR="000473BC" w:rsidRPr="000473BC" w:rsidRDefault="000473BC" w:rsidP="000473BC">
                      <w:pPr>
                        <w:pStyle w:val="Caption"/>
                        <w:rPr>
                          <w:rFonts w:ascii="Times New Roman" w:hAnsi="Times New Roman" w:cs="Times New Roman"/>
                          <w:color w:val="000000" w:themeColor="text1"/>
                        </w:rPr>
                      </w:pPr>
                      <w:r w:rsidRPr="000473BC">
                        <w:rPr>
                          <w:rFonts w:ascii="Times New Roman" w:hAnsi="Times New Roman" w:cs="Times New Roman"/>
                          <w:color w:val="000000" w:themeColor="text1"/>
                        </w:rPr>
                        <w:t xml:space="preserve">pav. </w:t>
                      </w:r>
                      <w:r w:rsidRPr="000473BC">
                        <w:rPr>
                          <w:rFonts w:ascii="Times New Roman" w:hAnsi="Times New Roman" w:cs="Times New Roman"/>
                          <w:color w:val="000000" w:themeColor="text1"/>
                        </w:rPr>
                        <w:fldChar w:fldCharType="begin"/>
                      </w:r>
                      <w:r w:rsidRPr="000473BC">
                        <w:rPr>
                          <w:rFonts w:ascii="Times New Roman" w:hAnsi="Times New Roman" w:cs="Times New Roman"/>
                          <w:color w:val="000000" w:themeColor="text1"/>
                        </w:rPr>
                        <w:instrText xml:space="preserve"> SEQ pav. \* ARABIC </w:instrText>
                      </w:r>
                      <w:r w:rsidRPr="000473BC">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w:t>
                      </w:r>
                      <w:r w:rsidRPr="000473BC">
                        <w:rPr>
                          <w:rFonts w:ascii="Times New Roman" w:hAnsi="Times New Roman" w:cs="Times New Roman"/>
                          <w:color w:val="000000" w:themeColor="text1"/>
                        </w:rPr>
                        <w:fldChar w:fldCharType="end"/>
                      </w:r>
                      <w:r w:rsidRPr="000473BC">
                        <w:rPr>
                          <w:rFonts w:ascii="Times New Roman" w:hAnsi="Times New Roman" w:cs="Times New Roman"/>
                          <w:color w:val="000000" w:themeColor="text1"/>
                        </w:rPr>
                        <w:t xml:space="preserve"> Finansavimo statusas pagal Apskritis</w:t>
                      </w:r>
                    </w:p>
                  </w:txbxContent>
                </v:textbox>
                <w10:wrap type="tight"/>
              </v:shape>
            </w:pict>
          </mc:Fallback>
        </mc:AlternateContent>
      </w:r>
      <w:r w:rsidRPr="000473BC">
        <w:rPr>
          <w:rFonts w:ascii="Times New Roman" w:hAnsi="Times New Roman" w:cs="Times New Roman"/>
        </w:rPr>
        <w:drawing>
          <wp:anchor distT="0" distB="0" distL="114300" distR="114300" simplePos="0" relativeHeight="251658240" behindDoc="1" locked="0" layoutInCell="1" allowOverlap="1" wp14:anchorId="5B5455DE" wp14:editId="1F6A484A">
            <wp:simplePos x="0" y="0"/>
            <wp:positionH relativeFrom="margin">
              <wp:align>right</wp:align>
            </wp:positionH>
            <wp:positionV relativeFrom="paragraph">
              <wp:posOffset>154305</wp:posOffset>
            </wp:positionV>
            <wp:extent cx="3008630" cy="2609850"/>
            <wp:effectExtent l="0" t="0" r="1270" b="0"/>
            <wp:wrapTight wrapText="bothSides">
              <wp:wrapPolygon edited="0">
                <wp:start x="0" y="0"/>
                <wp:lineTo x="0" y="21442"/>
                <wp:lineTo x="21472" y="21442"/>
                <wp:lineTo x="21472" y="0"/>
                <wp:lineTo x="0" y="0"/>
              </wp:wrapPolygon>
            </wp:wrapTight>
            <wp:docPr id="1217948715" name="Picture 1" descr="A graph of a number of different types of app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48715" name="Picture 1" descr="A graph of a number of different types of apps">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3008630" cy="2609850"/>
                    </a:xfrm>
                    <a:prstGeom prst="rect">
                      <a:avLst/>
                    </a:prstGeom>
                  </pic:spPr>
                </pic:pic>
              </a:graphicData>
            </a:graphic>
            <wp14:sizeRelH relativeFrom="margin">
              <wp14:pctWidth>0</wp14:pctWidth>
            </wp14:sizeRelH>
            <wp14:sizeRelV relativeFrom="margin">
              <wp14:pctHeight>0</wp14:pctHeight>
            </wp14:sizeRelV>
          </wp:anchor>
        </w:drawing>
      </w:r>
      <w:r w:rsidR="00433939" w:rsidRPr="00B92532">
        <w:rPr>
          <w:rFonts w:ascii="Times New Roman" w:hAnsi="Times New Roman" w:cs="Times New Roman"/>
        </w:rPr>
        <w:t xml:space="preserve">Apžvelgus Lietuvos Kultūros Tarybos programą „Menas žmogaus gerovei“. Matoma keletas pagrindinių tendencijų, į kurias gilinisuosi savo apžvalgoje. Viena pagrindinių tendencijų yra, tai jog didžioji dalis pateiktų ir įgyvendintų projektų būvo Vilniaus apskrityje. Iš iš viso pateiktų </w:t>
      </w:r>
      <w:r w:rsidR="007358C9">
        <w:rPr>
          <w:rFonts w:ascii="Times New Roman" w:hAnsi="Times New Roman" w:cs="Times New Roman"/>
        </w:rPr>
        <w:t>724</w:t>
      </w:r>
      <w:bookmarkStart w:id="0" w:name="_Hlk182774107"/>
      <w:r w:rsidR="007358C9">
        <w:rPr>
          <w:rStyle w:val="FootnoteReference"/>
          <w:rFonts w:ascii="Times New Roman" w:hAnsi="Times New Roman" w:cs="Times New Roman"/>
        </w:rPr>
        <w:footnoteReference w:id="1"/>
      </w:r>
      <w:r w:rsidR="007358C9" w:rsidRPr="00B92532">
        <w:rPr>
          <w:rFonts w:ascii="Times New Roman" w:hAnsi="Times New Roman" w:cs="Times New Roman"/>
        </w:rPr>
        <w:t xml:space="preserve"> </w:t>
      </w:r>
      <w:bookmarkEnd w:id="0"/>
      <w:r w:rsidR="00433939" w:rsidRPr="00B92532">
        <w:rPr>
          <w:rFonts w:ascii="Times New Roman" w:hAnsi="Times New Roman" w:cs="Times New Roman"/>
        </w:rPr>
        <w:t xml:space="preserve"> projektų, daugiau nei pusė</w:t>
      </w:r>
      <w:r>
        <w:rPr>
          <w:rFonts w:ascii="Times New Roman" w:hAnsi="Times New Roman" w:cs="Times New Roman"/>
        </w:rPr>
        <w:t xml:space="preserve"> – </w:t>
      </w:r>
      <w:r w:rsidR="007358C9">
        <w:rPr>
          <w:rFonts w:ascii="Times New Roman" w:hAnsi="Times New Roman" w:cs="Times New Roman"/>
        </w:rPr>
        <w:t>416</w:t>
      </w:r>
      <w:r w:rsidR="00096945">
        <w:rPr>
          <w:rFonts w:ascii="Times New Roman" w:hAnsi="Times New Roman" w:cs="Times New Roman"/>
        </w:rPr>
        <w:t xml:space="preserve"> </w:t>
      </w:r>
      <w:r>
        <w:rPr>
          <w:rFonts w:ascii="Times New Roman" w:hAnsi="Times New Roman" w:cs="Times New Roman"/>
        </w:rPr>
        <w:t>(</w:t>
      </w:r>
      <w:r w:rsidR="00096945">
        <w:rPr>
          <w:rFonts w:ascii="Times New Roman" w:hAnsi="Times New Roman" w:cs="Times New Roman"/>
          <w:lang w:val="en-US"/>
        </w:rPr>
        <w:t>pav. 1</w:t>
      </w:r>
      <w:r w:rsidR="00433939" w:rsidRPr="00B92532">
        <w:rPr>
          <w:rFonts w:ascii="Times New Roman" w:hAnsi="Times New Roman" w:cs="Times New Roman"/>
        </w:rPr>
        <w:t>) projekt</w:t>
      </w:r>
      <w:r w:rsidR="007358C9">
        <w:rPr>
          <w:rFonts w:ascii="Times New Roman" w:hAnsi="Times New Roman" w:cs="Times New Roman"/>
        </w:rPr>
        <w:t>ų</w:t>
      </w:r>
      <w:r w:rsidR="00433939" w:rsidRPr="00B92532">
        <w:rPr>
          <w:rFonts w:ascii="Times New Roman" w:hAnsi="Times New Roman" w:cs="Times New Roman"/>
        </w:rPr>
        <w:t xml:space="preserve"> buvo pateikti Vilniaus apkrityje. Tai pat iš bendrai skirto 1.</w:t>
      </w:r>
      <w:r w:rsidR="007358C9">
        <w:rPr>
          <w:rFonts w:ascii="Times New Roman" w:hAnsi="Times New Roman" w:cs="Times New Roman"/>
        </w:rPr>
        <w:t>29</w:t>
      </w:r>
      <w:r w:rsidR="00433939" w:rsidRPr="00B92532">
        <w:rPr>
          <w:rFonts w:ascii="Times New Roman" w:hAnsi="Times New Roman" w:cs="Times New Roman"/>
        </w:rPr>
        <w:t xml:space="preserve"> mln. Eur.</w:t>
      </w:r>
      <w:r w:rsidR="00277FCE" w:rsidRPr="00B92532">
        <w:rPr>
          <w:rFonts w:ascii="Times New Roman" w:hAnsi="Times New Roman" w:cs="Times New Roman"/>
        </w:rPr>
        <w:t>, f</w:t>
      </w:r>
      <w:r w:rsidR="00433939" w:rsidRPr="00B92532">
        <w:rPr>
          <w:rFonts w:ascii="Times New Roman" w:hAnsi="Times New Roman" w:cs="Times New Roman"/>
        </w:rPr>
        <w:t>inansavimo, 1.15 mln</w:t>
      </w:r>
      <w:r w:rsidR="00277FCE" w:rsidRPr="00B92532">
        <w:rPr>
          <w:rFonts w:ascii="Times New Roman" w:hAnsi="Times New Roman" w:cs="Times New Roman"/>
        </w:rPr>
        <w:t>. Eur.,</w:t>
      </w:r>
      <w:r w:rsidR="00433939" w:rsidRPr="00B92532">
        <w:rPr>
          <w:rFonts w:ascii="Times New Roman" w:hAnsi="Times New Roman" w:cs="Times New Roman"/>
        </w:rPr>
        <w:t xml:space="preserve"> buvo įsisavinta Vilniaus apskrityje.</w:t>
      </w:r>
      <w:r w:rsidR="00277FCE" w:rsidRPr="00B92532">
        <w:rPr>
          <w:rFonts w:ascii="Times New Roman" w:hAnsi="Times New Roman" w:cs="Times New Roman"/>
        </w:rPr>
        <w:t xml:space="preserve"> Kadangi projekto tikslas yra „Skatinti kultūros ir meno prieinamumą visuomenės grupėms, patiriančioms socialinę ir kultūrinę atskirtį, siekiant teigiamo meno poveikio žmogaus asmeninei gerovei ir sveikatai.“ Finansavimo koncentracija vienoje apskrityje kelia nerimą</w:t>
      </w:r>
      <w:r w:rsidR="00707077">
        <w:rPr>
          <w:rFonts w:ascii="Times New Roman" w:hAnsi="Times New Roman" w:cs="Times New Roman"/>
        </w:rPr>
        <w:t>.</w:t>
      </w:r>
      <w:r w:rsidRPr="000473BC">
        <w:rPr>
          <w:noProof/>
        </w:rPr>
        <w:t xml:space="preserve"> </w:t>
      </w:r>
    </w:p>
    <w:p w14:paraId="6F98E3D2" w14:textId="6D37E720" w:rsidR="00277FCE" w:rsidRDefault="00277FCE" w:rsidP="00433939">
      <w:pPr>
        <w:ind w:firstLine="720"/>
        <w:rPr>
          <w:rFonts w:ascii="Times New Roman" w:hAnsi="Times New Roman" w:cs="Times New Roman"/>
        </w:rPr>
      </w:pPr>
      <w:r w:rsidRPr="00B92532">
        <w:rPr>
          <w:rFonts w:ascii="Times New Roman" w:hAnsi="Times New Roman" w:cs="Times New Roman"/>
        </w:rPr>
        <w:t xml:space="preserve">Antroji tendencija yra ta, jog </w:t>
      </w:r>
      <w:r w:rsidR="003E5ED7" w:rsidRPr="00B92532">
        <w:rPr>
          <w:rFonts w:ascii="Times New Roman" w:hAnsi="Times New Roman" w:cs="Times New Roman"/>
        </w:rPr>
        <w:t xml:space="preserve">iš </w:t>
      </w:r>
      <w:r w:rsidR="00B92532" w:rsidRPr="00B92532">
        <w:rPr>
          <w:rFonts w:ascii="Times New Roman" w:hAnsi="Times New Roman" w:cs="Times New Roman"/>
        </w:rPr>
        <w:t xml:space="preserve">724 projektų </w:t>
      </w:r>
      <w:r w:rsidR="003E5ED7" w:rsidRPr="00B92532">
        <w:rPr>
          <w:rFonts w:ascii="Times New Roman" w:hAnsi="Times New Roman" w:cs="Times New Roman"/>
        </w:rPr>
        <w:t xml:space="preserve">patvirtinta </w:t>
      </w:r>
      <w:r w:rsidR="00B92532" w:rsidRPr="00B92532">
        <w:rPr>
          <w:rFonts w:ascii="Times New Roman" w:hAnsi="Times New Roman" w:cs="Times New Roman"/>
        </w:rPr>
        <w:t xml:space="preserve">buvo </w:t>
      </w:r>
      <w:r w:rsidR="003E5ED7" w:rsidRPr="00B92532">
        <w:rPr>
          <w:rFonts w:ascii="Times New Roman" w:hAnsi="Times New Roman" w:cs="Times New Roman"/>
        </w:rPr>
        <w:t xml:space="preserve">tik </w:t>
      </w:r>
      <w:r w:rsidR="00B92532" w:rsidRPr="00B92532">
        <w:rPr>
          <w:rFonts w:ascii="Times New Roman" w:hAnsi="Times New Roman" w:cs="Times New Roman"/>
        </w:rPr>
        <w:t xml:space="preserve">185 </w:t>
      </w:r>
      <w:r w:rsidR="00096945">
        <w:rPr>
          <w:rFonts w:ascii="Times New Roman" w:hAnsi="Times New Roman" w:cs="Times New Roman"/>
        </w:rPr>
        <w:t xml:space="preserve">arba </w:t>
      </w:r>
      <w:r w:rsidR="003E5ED7" w:rsidRPr="00B92532">
        <w:rPr>
          <w:rFonts w:ascii="Times New Roman" w:hAnsi="Times New Roman" w:cs="Times New Roman"/>
        </w:rPr>
        <w:t xml:space="preserve">25 </w:t>
      </w:r>
      <w:r w:rsidR="00B92532" w:rsidRPr="00B92532">
        <w:rPr>
          <w:rFonts w:ascii="Times New Roman" w:hAnsi="Times New Roman" w:cs="Times New Roman"/>
        </w:rPr>
        <w:t>%</w:t>
      </w:r>
      <w:r w:rsidR="00096945">
        <w:rPr>
          <w:rFonts w:ascii="Times New Roman" w:hAnsi="Times New Roman" w:cs="Times New Roman"/>
        </w:rPr>
        <w:t xml:space="preserve"> </w:t>
      </w:r>
      <w:r w:rsidR="003E5ED7" w:rsidRPr="00B92532">
        <w:rPr>
          <w:rFonts w:ascii="Times New Roman" w:hAnsi="Times New Roman" w:cs="Times New Roman"/>
        </w:rPr>
        <w:t>projekt</w:t>
      </w:r>
      <w:r w:rsidR="00096945">
        <w:rPr>
          <w:rFonts w:ascii="Times New Roman" w:hAnsi="Times New Roman" w:cs="Times New Roman"/>
        </w:rPr>
        <w:t xml:space="preserve">ų </w:t>
      </w:r>
      <w:r w:rsidR="00096945">
        <w:rPr>
          <w:rFonts w:ascii="Times New Roman" w:hAnsi="Times New Roman" w:cs="Times New Roman"/>
        </w:rPr>
        <w:t>(</w:t>
      </w:r>
      <w:r w:rsidR="00096945">
        <w:rPr>
          <w:rFonts w:ascii="Times New Roman" w:hAnsi="Times New Roman" w:cs="Times New Roman"/>
          <w:lang w:val="en-US"/>
        </w:rPr>
        <w:t>pav. 1</w:t>
      </w:r>
      <w:r w:rsidR="00096945" w:rsidRPr="00B92532">
        <w:rPr>
          <w:rFonts w:ascii="Times New Roman" w:hAnsi="Times New Roman" w:cs="Times New Roman"/>
        </w:rPr>
        <w:t>)</w:t>
      </w:r>
      <w:r w:rsidR="00B92532" w:rsidRPr="00B92532">
        <w:rPr>
          <w:rFonts w:ascii="Times New Roman" w:hAnsi="Times New Roman" w:cs="Times New Roman"/>
        </w:rPr>
        <w:t xml:space="preserve">. Iš jų, daugiausia patvirtintų projektų buvo iš Nevyriausybinio sektoriaus – 140 </w:t>
      </w:r>
      <w:r w:rsidR="00096945">
        <w:rPr>
          <w:rFonts w:ascii="Times New Roman" w:hAnsi="Times New Roman" w:cs="Times New Roman"/>
        </w:rPr>
        <w:t xml:space="preserve">arba </w:t>
      </w:r>
      <w:r w:rsidR="00B92532" w:rsidRPr="00B92532">
        <w:rPr>
          <w:rFonts w:ascii="Times New Roman" w:hAnsi="Times New Roman" w:cs="Times New Roman"/>
        </w:rPr>
        <w:t>19 %</w:t>
      </w:r>
      <w:r w:rsidR="00096945">
        <w:rPr>
          <w:rFonts w:ascii="Times New Roman" w:hAnsi="Times New Roman" w:cs="Times New Roman"/>
        </w:rPr>
        <w:t xml:space="preserve"> </w:t>
      </w:r>
      <w:r w:rsidR="00096945">
        <w:rPr>
          <w:rFonts w:ascii="Times New Roman" w:hAnsi="Times New Roman" w:cs="Times New Roman"/>
        </w:rPr>
        <w:t>(</w:t>
      </w:r>
      <w:r w:rsidR="00096945">
        <w:rPr>
          <w:rFonts w:ascii="Times New Roman" w:hAnsi="Times New Roman" w:cs="Times New Roman"/>
          <w:lang w:val="en-US"/>
        </w:rPr>
        <w:t>pav. 1</w:t>
      </w:r>
      <w:r w:rsidR="00096945" w:rsidRPr="00B92532">
        <w:rPr>
          <w:rFonts w:ascii="Times New Roman" w:hAnsi="Times New Roman" w:cs="Times New Roman"/>
        </w:rPr>
        <w:t>)</w:t>
      </w:r>
      <w:r w:rsidR="00B92532" w:rsidRPr="00B92532">
        <w:rPr>
          <w:rFonts w:ascii="Times New Roman" w:hAnsi="Times New Roman" w:cs="Times New Roman"/>
        </w:rPr>
        <w:t xml:space="preserve">, 45 </w:t>
      </w:r>
      <w:r w:rsidR="00096945">
        <w:rPr>
          <w:rFonts w:ascii="Times New Roman" w:hAnsi="Times New Roman" w:cs="Times New Roman"/>
        </w:rPr>
        <w:t xml:space="preserve">arba </w:t>
      </w:r>
      <w:r w:rsidR="00B92532" w:rsidRPr="00B92532">
        <w:rPr>
          <w:rFonts w:ascii="Times New Roman" w:hAnsi="Times New Roman" w:cs="Times New Roman"/>
        </w:rPr>
        <w:t>6 %</w:t>
      </w:r>
      <w:r w:rsidR="00096945">
        <w:rPr>
          <w:rFonts w:ascii="Times New Roman" w:hAnsi="Times New Roman" w:cs="Times New Roman"/>
        </w:rPr>
        <w:t xml:space="preserve"> </w:t>
      </w:r>
      <w:r w:rsidR="00096945">
        <w:rPr>
          <w:rFonts w:ascii="Times New Roman" w:hAnsi="Times New Roman" w:cs="Times New Roman"/>
        </w:rPr>
        <w:t>(</w:t>
      </w:r>
      <w:r w:rsidR="00096945">
        <w:rPr>
          <w:rFonts w:ascii="Times New Roman" w:hAnsi="Times New Roman" w:cs="Times New Roman"/>
          <w:lang w:val="en-US"/>
        </w:rPr>
        <w:t>pav. 1</w:t>
      </w:r>
      <w:r w:rsidR="00096945" w:rsidRPr="00B92532">
        <w:rPr>
          <w:rFonts w:ascii="Times New Roman" w:hAnsi="Times New Roman" w:cs="Times New Roman"/>
        </w:rPr>
        <w:t>)</w:t>
      </w:r>
      <w:r w:rsidR="00B92532" w:rsidRPr="00B92532">
        <w:rPr>
          <w:rFonts w:ascii="Times New Roman" w:hAnsi="Times New Roman" w:cs="Times New Roman"/>
        </w:rPr>
        <w:t xml:space="preserve"> buvo iš Biudžetinio sektoriaus, o Privataus pelno siekiančių organizacijų projektų patvirtintą nebuvo. Tai priverčia kiek sunerimti dėl paties projekto keliamų reikalavimų ar projekto iškomunikavimo kitoms įtaigoms kokybės, kadangi susidomejimas projektu buvo ganėtinai aukštas, tačiau projekto keliamus kriterijus atitiko tik ketvirtadalis visų projektų.</w:t>
      </w:r>
      <w:r w:rsidR="00B92532">
        <w:rPr>
          <w:rFonts w:ascii="Times New Roman" w:hAnsi="Times New Roman" w:cs="Times New Roman"/>
        </w:rPr>
        <w:t xml:space="preserve"> Dėl to reikėtų pasigilinti į projekto keliamus reikalavimus bei skatinti geresnią komunikaciją su trečiosiomis šalimis.</w:t>
      </w:r>
    </w:p>
    <w:p w14:paraId="1542E161" w14:textId="397B93C0" w:rsidR="00B92532" w:rsidRDefault="007D003E" w:rsidP="00433939">
      <w:pPr>
        <w:ind w:firstLine="720"/>
        <w:rPr>
          <w:rFonts w:ascii="Times New Roman" w:hAnsi="Times New Roman" w:cs="Times New Roman"/>
          <w:lang w:val="en-US"/>
        </w:rPr>
      </w:pPr>
      <w:r w:rsidRPr="000473BC">
        <w:rPr>
          <w:rFonts w:ascii="Times New Roman" w:hAnsi="Times New Roman" w:cs="Times New Roman"/>
          <w:lang w:val="en-US"/>
        </w:rPr>
        <w:lastRenderedPageBreak/>
        <w:drawing>
          <wp:anchor distT="0" distB="0" distL="114300" distR="114300" simplePos="0" relativeHeight="251659264" behindDoc="0" locked="0" layoutInCell="1" allowOverlap="1" wp14:anchorId="08F86357" wp14:editId="4BA40A4E">
            <wp:simplePos x="0" y="0"/>
            <wp:positionH relativeFrom="margin">
              <wp:align>center</wp:align>
            </wp:positionH>
            <wp:positionV relativeFrom="paragraph">
              <wp:posOffset>1330960</wp:posOffset>
            </wp:positionV>
            <wp:extent cx="4124325" cy="2011045"/>
            <wp:effectExtent l="0" t="0" r="9525" b="8255"/>
            <wp:wrapTopAndBottom/>
            <wp:docPr id="1618213914"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13914" name="Picture 1" descr="A graph with blue and 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24325" cy="2011045"/>
                    </a:xfrm>
                    <a:prstGeom prst="rect">
                      <a:avLst/>
                    </a:prstGeom>
                  </pic:spPr>
                </pic:pic>
              </a:graphicData>
            </a:graphic>
            <wp14:sizeRelH relativeFrom="margin">
              <wp14:pctWidth>0</wp14:pctWidth>
            </wp14:sizeRelH>
            <wp14:sizeRelV relativeFrom="margin">
              <wp14:pctHeight>0</wp14:pctHeight>
            </wp14:sizeRelV>
          </wp:anchor>
        </w:drawing>
      </w:r>
      <w:r w:rsidR="00B92532">
        <w:rPr>
          <w:rFonts w:ascii="Times New Roman" w:hAnsi="Times New Roman" w:cs="Times New Roman"/>
        </w:rPr>
        <w:t>Galiausiai aptariant pačias Kultūros ir meno sritis bei jų finansavimą šiame projekte pastebima keletas įdomių</w:t>
      </w:r>
      <w:r w:rsidR="00097D9A">
        <w:rPr>
          <w:rFonts w:ascii="Times New Roman" w:hAnsi="Times New Roman" w:cs="Times New Roman"/>
        </w:rPr>
        <w:t xml:space="preserve"> tendencijų. Tarpsritiniai (</w:t>
      </w:r>
      <w:r w:rsidR="00097D9A">
        <w:rPr>
          <w:rFonts w:ascii="Times New Roman" w:hAnsi="Times New Roman" w:cs="Times New Roman"/>
          <w:lang w:val="en-US"/>
        </w:rPr>
        <w:t>59)</w:t>
      </w:r>
      <w:r w:rsidR="00097D9A">
        <w:rPr>
          <w:rFonts w:ascii="Times New Roman" w:hAnsi="Times New Roman" w:cs="Times New Roman"/>
        </w:rPr>
        <w:t>, Teatro (28), Muzikos (18) ir Dailės (25) sričių projektai buvo finansuojami dažniausiai</w:t>
      </w:r>
      <w:r w:rsidR="00096945">
        <w:rPr>
          <w:rFonts w:ascii="Times New Roman" w:hAnsi="Times New Roman" w:cs="Times New Roman"/>
        </w:rPr>
        <w:t xml:space="preserve"> </w:t>
      </w:r>
      <w:r w:rsidR="00096945">
        <w:rPr>
          <w:rFonts w:ascii="Times New Roman" w:hAnsi="Times New Roman" w:cs="Times New Roman"/>
        </w:rPr>
        <w:t>(</w:t>
      </w:r>
      <w:r w:rsidR="00096945">
        <w:rPr>
          <w:rFonts w:ascii="Times New Roman" w:hAnsi="Times New Roman" w:cs="Times New Roman"/>
          <w:lang w:val="en-US"/>
        </w:rPr>
        <w:t xml:space="preserve">pav. </w:t>
      </w:r>
      <w:r w:rsidR="00096945">
        <w:rPr>
          <w:rFonts w:ascii="Times New Roman" w:hAnsi="Times New Roman" w:cs="Times New Roman"/>
          <w:lang w:val="en-US"/>
        </w:rPr>
        <w:t>2</w:t>
      </w:r>
      <w:r w:rsidR="00096945" w:rsidRPr="00B92532">
        <w:rPr>
          <w:rFonts w:ascii="Times New Roman" w:hAnsi="Times New Roman" w:cs="Times New Roman"/>
        </w:rPr>
        <w:t>)</w:t>
      </w:r>
      <w:r w:rsidR="00097D9A">
        <w:rPr>
          <w:rFonts w:ascii="Times New Roman" w:hAnsi="Times New Roman" w:cs="Times New Roman"/>
        </w:rPr>
        <w:t xml:space="preserve">. Tai pat šių sričių projektų buvo pateikta daugiausia (Tarpsritiniai – </w:t>
      </w:r>
      <w:r w:rsidR="00097D9A">
        <w:rPr>
          <w:rFonts w:ascii="Times New Roman" w:hAnsi="Times New Roman" w:cs="Times New Roman"/>
          <w:lang w:val="en-US"/>
        </w:rPr>
        <w:t>212</w:t>
      </w:r>
      <w:r w:rsidR="00097D9A">
        <w:rPr>
          <w:rFonts w:ascii="Times New Roman" w:hAnsi="Times New Roman" w:cs="Times New Roman"/>
        </w:rPr>
        <w:t xml:space="preserve">, Teatro – 78, Muzikos – 73, Dailės – </w:t>
      </w:r>
      <w:r w:rsidR="00097D9A">
        <w:rPr>
          <w:rFonts w:ascii="Times New Roman" w:hAnsi="Times New Roman" w:cs="Times New Roman"/>
          <w:lang w:val="en-US"/>
        </w:rPr>
        <w:t>79),</w:t>
      </w:r>
      <w:r w:rsidR="00097D9A">
        <w:rPr>
          <w:rFonts w:ascii="Times New Roman" w:hAnsi="Times New Roman" w:cs="Times New Roman"/>
        </w:rPr>
        <w:t xml:space="preserve"> tad ši tendencija atrodo neišsiskirianti</w:t>
      </w:r>
      <w:r w:rsidR="00096945">
        <w:rPr>
          <w:rFonts w:ascii="Times New Roman" w:hAnsi="Times New Roman" w:cs="Times New Roman"/>
        </w:rPr>
        <w:t xml:space="preserve"> </w:t>
      </w:r>
      <w:r w:rsidR="00096945">
        <w:rPr>
          <w:rFonts w:ascii="Times New Roman" w:hAnsi="Times New Roman" w:cs="Times New Roman"/>
        </w:rPr>
        <w:t>(</w:t>
      </w:r>
      <w:r w:rsidR="00096945">
        <w:rPr>
          <w:rFonts w:ascii="Times New Roman" w:hAnsi="Times New Roman" w:cs="Times New Roman"/>
          <w:lang w:val="en-US"/>
        </w:rPr>
        <w:t>pav. 1</w:t>
      </w:r>
      <w:r w:rsidR="00096945" w:rsidRPr="00B92532">
        <w:rPr>
          <w:rFonts w:ascii="Times New Roman" w:hAnsi="Times New Roman" w:cs="Times New Roman"/>
        </w:rPr>
        <w:t>)</w:t>
      </w:r>
      <w:r w:rsidR="00097D9A">
        <w:rPr>
          <w:rFonts w:ascii="Times New Roman" w:hAnsi="Times New Roman" w:cs="Times New Roman"/>
        </w:rPr>
        <w:t xml:space="preserve">. Vienintelė sritis, kuri išsiskiria iš šių, tai Tarpdisciplininio meno sritis, kurioje buvo pateikta net </w:t>
      </w:r>
      <w:r w:rsidR="00097D9A">
        <w:rPr>
          <w:rFonts w:ascii="Times New Roman" w:hAnsi="Times New Roman" w:cs="Times New Roman"/>
          <w:lang w:val="en-US"/>
        </w:rPr>
        <w:t xml:space="preserve">60 </w:t>
      </w:r>
      <w:proofErr w:type="spellStart"/>
      <w:r w:rsidR="00097D9A">
        <w:rPr>
          <w:rFonts w:ascii="Times New Roman" w:hAnsi="Times New Roman" w:cs="Times New Roman"/>
          <w:lang w:val="en-US"/>
        </w:rPr>
        <w:t>projekt</w:t>
      </w:r>
      <w:proofErr w:type="spellEnd"/>
      <w:r w:rsidR="00097D9A">
        <w:rPr>
          <w:rFonts w:ascii="Times New Roman" w:hAnsi="Times New Roman" w:cs="Times New Roman"/>
        </w:rPr>
        <w:t xml:space="preserve">ų, tačiau iš jų patvirtinti tik </w:t>
      </w:r>
      <w:r w:rsidR="00097D9A">
        <w:rPr>
          <w:rFonts w:ascii="Times New Roman" w:hAnsi="Times New Roman" w:cs="Times New Roman"/>
          <w:lang w:val="en-US"/>
        </w:rPr>
        <w:t>5 (8,3 % vis</w:t>
      </w:r>
      <w:r w:rsidR="00097D9A">
        <w:rPr>
          <w:rFonts w:ascii="Times New Roman" w:hAnsi="Times New Roman" w:cs="Times New Roman"/>
        </w:rPr>
        <w:t>ų, srities projektų)</w:t>
      </w:r>
      <w:r w:rsidR="00097D9A">
        <w:rPr>
          <w:rFonts w:ascii="Times New Roman" w:hAnsi="Times New Roman" w:cs="Times New Roman"/>
          <w:lang w:val="en-US"/>
        </w:rPr>
        <w:t>.</w:t>
      </w:r>
    </w:p>
    <w:p w14:paraId="4CF5F60C" w14:textId="3EED87B2" w:rsidR="00097D9A" w:rsidRDefault="000473BC" w:rsidP="00433939">
      <w:pPr>
        <w:ind w:firstLine="720"/>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1D7D056C" wp14:editId="652FC9D7">
                <wp:simplePos x="0" y="0"/>
                <wp:positionH relativeFrom="column">
                  <wp:posOffset>1101090</wp:posOffset>
                </wp:positionH>
                <wp:positionV relativeFrom="paragraph">
                  <wp:posOffset>2072640</wp:posOffset>
                </wp:positionV>
                <wp:extent cx="4124325" cy="152400"/>
                <wp:effectExtent l="0" t="0" r="9525" b="0"/>
                <wp:wrapTopAndBottom/>
                <wp:docPr id="958666701" name="Text Box 1"/>
                <wp:cNvGraphicFramePr/>
                <a:graphic xmlns:a="http://schemas.openxmlformats.org/drawingml/2006/main">
                  <a:graphicData uri="http://schemas.microsoft.com/office/word/2010/wordprocessingShape">
                    <wps:wsp>
                      <wps:cNvSpPr txBox="1"/>
                      <wps:spPr>
                        <a:xfrm>
                          <a:off x="0" y="0"/>
                          <a:ext cx="4124325" cy="152400"/>
                        </a:xfrm>
                        <a:prstGeom prst="rect">
                          <a:avLst/>
                        </a:prstGeom>
                        <a:solidFill>
                          <a:prstClr val="white"/>
                        </a:solidFill>
                        <a:ln>
                          <a:noFill/>
                        </a:ln>
                      </wps:spPr>
                      <wps:txbx>
                        <w:txbxContent>
                          <w:p w14:paraId="1DE01757" w14:textId="212636DD" w:rsidR="000473BC" w:rsidRPr="000473BC" w:rsidRDefault="000473BC" w:rsidP="000473BC">
                            <w:pPr>
                              <w:pStyle w:val="Caption"/>
                              <w:rPr>
                                <w:rFonts w:ascii="Times New Roman" w:hAnsi="Times New Roman" w:cs="Times New Roman"/>
                                <w:color w:val="000000" w:themeColor="text1"/>
                              </w:rPr>
                            </w:pPr>
                            <w:r w:rsidRPr="000473BC">
                              <w:rPr>
                                <w:rFonts w:ascii="Times New Roman" w:hAnsi="Times New Roman" w:cs="Times New Roman"/>
                                <w:color w:val="000000" w:themeColor="text1"/>
                              </w:rPr>
                              <w:t xml:space="preserve">pav. </w:t>
                            </w:r>
                            <w:r w:rsidRPr="000473BC">
                              <w:rPr>
                                <w:rFonts w:ascii="Times New Roman" w:hAnsi="Times New Roman" w:cs="Times New Roman"/>
                                <w:color w:val="000000" w:themeColor="text1"/>
                              </w:rPr>
                              <w:fldChar w:fldCharType="begin"/>
                            </w:r>
                            <w:r w:rsidRPr="000473BC">
                              <w:rPr>
                                <w:rFonts w:ascii="Times New Roman" w:hAnsi="Times New Roman" w:cs="Times New Roman"/>
                                <w:color w:val="000000" w:themeColor="text1"/>
                              </w:rPr>
                              <w:instrText xml:space="preserve"> SEQ pav. \* ARABIC </w:instrText>
                            </w:r>
                            <w:r w:rsidRPr="000473BC">
                              <w:rPr>
                                <w:rFonts w:ascii="Times New Roman" w:hAnsi="Times New Roman" w:cs="Times New Roman"/>
                                <w:color w:val="000000" w:themeColor="text1"/>
                              </w:rPr>
                              <w:fldChar w:fldCharType="separate"/>
                            </w:r>
                            <w:r w:rsidRPr="000473BC">
                              <w:rPr>
                                <w:rFonts w:ascii="Times New Roman" w:hAnsi="Times New Roman" w:cs="Times New Roman"/>
                                <w:noProof/>
                                <w:color w:val="000000" w:themeColor="text1"/>
                              </w:rPr>
                              <w:t>2</w:t>
                            </w:r>
                            <w:r w:rsidRPr="000473BC">
                              <w:rPr>
                                <w:rFonts w:ascii="Times New Roman" w:hAnsi="Times New Roman" w:cs="Times New Roman"/>
                                <w:color w:val="000000" w:themeColor="text1"/>
                              </w:rPr>
                              <w:fldChar w:fldCharType="end"/>
                            </w:r>
                            <w:r w:rsidRPr="000473BC">
                              <w:rPr>
                                <w:rFonts w:ascii="Times New Roman" w:hAnsi="Times New Roman" w:cs="Times New Roman"/>
                                <w:color w:val="000000" w:themeColor="text1"/>
                              </w:rPr>
                              <w:t xml:space="preserve"> Prašoma suma ir skirto finansavimo palyginimas pagal sritis, Eurais</w:t>
                            </w:r>
                            <w:r>
                              <w:rPr>
                                <w:rFonts w:ascii="Times New Roman" w:hAnsi="Times New Roman" w:cs="Times New Roman"/>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7D056C" id="_x0000_s1027" type="#_x0000_t202" style="position:absolute;left:0;text-align:left;margin-left:86.7pt;margin-top:163.2pt;width:324.75pt;height: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" stroked="f">
                <v:textbox inset="0,0,0,0">
                  <w:txbxContent>
                    <w:p w14:paraId="1DE01757" w14:textId="212636DD" w:rsidR="000473BC" w:rsidRPr="000473BC" w:rsidRDefault="000473BC" w:rsidP="000473BC">
                      <w:pPr>
                        <w:pStyle w:val="Caption"/>
                        <w:rPr>
                          <w:rFonts w:ascii="Times New Roman" w:hAnsi="Times New Roman" w:cs="Times New Roman"/>
                          <w:color w:val="000000" w:themeColor="text1"/>
                        </w:rPr>
                      </w:pPr>
                      <w:r w:rsidRPr="000473BC">
                        <w:rPr>
                          <w:rFonts w:ascii="Times New Roman" w:hAnsi="Times New Roman" w:cs="Times New Roman"/>
                          <w:color w:val="000000" w:themeColor="text1"/>
                        </w:rPr>
                        <w:t xml:space="preserve">pav. </w:t>
                      </w:r>
                      <w:r w:rsidRPr="000473BC">
                        <w:rPr>
                          <w:rFonts w:ascii="Times New Roman" w:hAnsi="Times New Roman" w:cs="Times New Roman"/>
                          <w:color w:val="000000" w:themeColor="text1"/>
                        </w:rPr>
                        <w:fldChar w:fldCharType="begin"/>
                      </w:r>
                      <w:r w:rsidRPr="000473BC">
                        <w:rPr>
                          <w:rFonts w:ascii="Times New Roman" w:hAnsi="Times New Roman" w:cs="Times New Roman"/>
                          <w:color w:val="000000" w:themeColor="text1"/>
                        </w:rPr>
                        <w:instrText xml:space="preserve"> SEQ pav. \* ARABIC </w:instrText>
                      </w:r>
                      <w:r w:rsidRPr="000473BC">
                        <w:rPr>
                          <w:rFonts w:ascii="Times New Roman" w:hAnsi="Times New Roman" w:cs="Times New Roman"/>
                          <w:color w:val="000000" w:themeColor="text1"/>
                        </w:rPr>
                        <w:fldChar w:fldCharType="separate"/>
                      </w:r>
                      <w:r w:rsidRPr="000473BC">
                        <w:rPr>
                          <w:rFonts w:ascii="Times New Roman" w:hAnsi="Times New Roman" w:cs="Times New Roman"/>
                          <w:noProof/>
                          <w:color w:val="000000" w:themeColor="text1"/>
                        </w:rPr>
                        <w:t>2</w:t>
                      </w:r>
                      <w:r w:rsidRPr="000473BC">
                        <w:rPr>
                          <w:rFonts w:ascii="Times New Roman" w:hAnsi="Times New Roman" w:cs="Times New Roman"/>
                          <w:color w:val="000000" w:themeColor="text1"/>
                        </w:rPr>
                        <w:fldChar w:fldCharType="end"/>
                      </w:r>
                      <w:r w:rsidRPr="000473BC">
                        <w:rPr>
                          <w:rFonts w:ascii="Times New Roman" w:hAnsi="Times New Roman" w:cs="Times New Roman"/>
                          <w:color w:val="000000" w:themeColor="text1"/>
                        </w:rPr>
                        <w:t xml:space="preserve"> Prašoma suma ir skirto finansavimo palyginimas pagal sritis, Eurais</w:t>
                      </w:r>
                      <w:r>
                        <w:rPr>
                          <w:rFonts w:ascii="Times New Roman" w:hAnsi="Times New Roman" w:cs="Times New Roman"/>
                          <w:color w:val="000000" w:themeColor="text1"/>
                        </w:rPr>
                        <w:t>.</w:t>
                      </w:r>
                    </w:p>
                  </w:txbxContent>
                </v:textbox>
                <w10:wrap type="topAndBottom"/>
              </v:shape>
            </w:pict>
          </mc:Fallback>
        </mc:AlternateContent>
      </w:r>
      <w:proofErr w:type="spellStart"/>
      <w:r w:rsidR="00097D9A">
        <w:rPr>
          <w:rFonts w:ascii="Times New Roman" w:hAnsi="Times New Roman" w:cs="Times New Roman"/>
          <w:lang w:val="en-US"/>
        </w:rPr>
        <w:t>Bendrai</w:t>
      </w:r>
      <w:proofErr w:type="spellEnd"/>
      <w:r w:rsidR="00097D9A">
        <w:rPr>
          <w:rFonts w:ascii="Times New Roman" w:hAnsi="Times New Roman" w:cs="Times New Roman"/>
          <w:lang w:val="en-US"/>
        </w:rPr>
        <w:t xml:space="preserve"> </w:t>
      </w:r>
      <w:proofErr w:type="spellStart"/>
      <w:r w:rsidR="00097D9A">
        <w:rPr>
          <w:rFonts w:ascii="Times New Roman" w:hAnsi="Times New Roman" w:cs="Times New Roman"/>
          <w:lang w:val="en-US"/>
        </w:rPr>
        <w:t>projekt</w:t>
      </w:r>
      <w:proofErr w:type="spellEnd"/>
      <w:r w:rsidR="00097D9A">
        <w:rPr>
          <w:rFonts w:ascii="Times New Roman" w:hAnsi="Times New Roman" w:cs="Times New Roman"/>
        </w:rPr>
        <w:t xml:space="preserve">ą galima laikyti pasisękusiu, nes buvo finansuoti </w:t>
      </w:r>
      <w:r w:rsidR="00097D9A">
        <w:rPr>
          <w:rFonts w:ascii="Times New Roman" w:hAnsi="Times New Roman" w:cs="Times New Roman"/>
          <w:lang w:val="en-US"/>
        </w:rPr>
        <w:t xml:space="preserve">185 </w:t>
      </w:r>
      <w:proofErr w:type="spellStart"/>
      <w:r w:rsidR="00097D9A">
        <w:rPr>
          <w:rFonts w:ascii="Times New Roman" w:hAnsi="Times New Roman" w:cs="Times New Roman"/>
          <w:lang w:val="en-US"/>
        </w:rPr>
        <w:t>projektai</w:t>
      </w:r>
      <w:proofErr w:type="spellEnd"/>
      <w:r w:rsidR="00097D9A">
        <w:rPr>
          <w:rFonts w:ascii="Times New Roman" w:hAnsi="Times New Roman" w:cs="Times New Roman"/>
          <w:lang w:val="en-US"/>
        </w:rPr>
        <w:t xml:space="preserve">, </w:t>
      </w:r>
      <w:proofErr w:type="spellStart"/>
      <w:r w:rsidR="00097D9A">
        <w:rPr>
          <w:rFonts w:ascii="Times New Roman" w:hAnsi="Times New Roman" w:cs="Times New Roman"/>
          <w:lang w:val="en-US"/>
        </w:rPr>
        <w:t>kuriems</w:t>
      </w:r>
      <w:proofErr w:type="spellEnd"/>
      <w:r w:rsidR="00097D9A">
        <w:rPr>
          <w:rFonts w:ascii="Times New Roman" w:hAnsi="Times New Roman" w:cs="Times New Roman"/>
          <w:lang w:val="en-US"/>
        </w:rPr>
        <w:t xml:space="preserve"> </w:t>
      </w:r>
      <w:proofErr w:type="spellStart"/>
      <w:r w:rsidR="00097D9A">
        <w:rPr>
          <w:rFonts w:ascii="Times New Roman" w:hAnsi="Times New Roman" w:cs="Times New Roman"/>
          <w:lang w:val="en-US"/>
        </w:rPr>
        <w:t>buvo</w:t>
      </w:r>
      <w:proofErr w:type="spellEnd"/>
      <w:r w:rsidR="00097D9A">
        <w:rPr>
          <w:rFonts w:ascii="Times New Roman" w:hAnsi="Times New Roman" w:cs="Times New Roman"/>
          <w:lang w:val="en-US"/>
        </w:rPr>
        <w:t xml:space="preserve"> </w:t>
      </w:r>
      <w:proofErr w:type="spellStart"/>
      <w:r w:rsidR="00097D9A">
        <w:rPr>
          <w:rFonts w:ascii="Times New Roman" w:hAnsi="Times New Roman" w:cs="Times New Roman"/>
          <w:lang w:val="en-US"/>
        </w:rPr>
        <w:t>suteikta</w:t>
      </w:r>
      <w:proofErr w:type="spellEnd"/>
      <w:r w:rsidR="00097D9A">
        <w:rPr>
          <w:rFonts w:ascii="Times New Roman" w:hAnsi="Times New Roman" w:cs="Times New Roman"/>
          <w:lang w:val="en-US"/>
        </w:rPr>
        <w:t xml:space="preserve"> 1.29 </w:t>
      </w:r>
      <w:proofErr w:type="spellStart"/>
      <w:r w:rsidR="00097D9A">
        <w:rPr>
          <w:rFonts w:ascii="Times New Roman" w:hAnsi="Times New Roman" w:cs="Times New Roman"/>
          <w:lang w:val="en-US"/>
        </w:rPr>
        <w:t>mln</w:t>
      </w:r>
      <w:proofErr w:type="spellEnd"/>
      <w:r w:rsidR="00097D9A">
        <w:rPr>
          <w:rFonts w:ascii="Times New Roman" w:hAnsi="Times New Roman" w:cs="Times New Roman"/>
          <w:lang w:val="en-US"/>
        </w:rPr>
        <w:t>. Eur., paramos</w:t>
      </w:r>
      <w:r w:rsidR="00097D9A">
        <w:rPr>
          <w:rFonts w:ascii="Times New Roman" w:hAnsi="Times New Roman" w:cs="Times New Roman"/>
        </w:rPr>
        <w:t>. Tačiau, rengiant tokio tipo projektus ateityje reikėtų daugiau dėmesio skirti</w:t>
      </w:r>
      <w:r w:rsidR="00547E92">
        <w:rPr>
          <w:rFonts w:ascii="Times New Roman" w:hAnsi="Times New Roman" w:cs="Times New Roman"/>
        </w:rPr>
        <w:t xml:space="preserve"> region</w:t>
      </w:r>
      <w:r w:rsidR="000D1D8C">
        <w:rPr>
          <w:rFonts w:ascii="Times New Roman" w:hAnsi="Times New Roman" w:cs="Times New Roman"/>
        </w:rPr>
        <w:t>ams</w:t>
      </w:r>
      <w:r w:rsidR="00547E92">
        <w:rPr>
          <w:rFonts w:ascii="Times New Roman" w:hAnsi="Times New Roman" w:cs="Times New Roman"/>
        </w:rPr>
        <w:t>, ypatingai kalbant apie jautriausias visuomenės grupes, jų proporcija regionuose, palyginus su didžiaisiais miestais yra didesnė. Tai pat būtų naudinga persižiūrėti pačius projekto keliamus reikalavimus bei projekto komunikaciją regionuose</w:t>
      </w:r>
      <w:r w:rsidR="000D1D8C">
        <w:rPr>
          <w:rFonts w:ascii="Times New Roman" w:hAnsi="Times New Roman" w:cs="Times New Roman"/>
        </w:rPr>
        <w:t xml:space="preserve"> siekiant sumažinti didžiulius skirtumus tarp apskričių.</w:t>
      </w:r>
    </w:p>
    <w:p w14:paraId="3C906851" w14:textId="05DAB678" w:rsidR="00707077" w:rsidRDefault="00707077" w:rsidP="00707077">
      <w:pPr>
        <w:widowControl w:val="0"/>
        <w:tabs>
          <w:tab w:val="left" w:pos="3640"/>
          <w:tab w:val="left" w:pos="4373"/>
        </w:tabs>
        <w:autoSpaceDE w:val="0"/>
        <w:autoSpaceDN w:val="0"/>
        <w:adjustRightInd w:val="0"/>
        <w:spacing w:after="120" w:line="240" w:lineRule="auto"/>
        <w:jc w:val="both"/>
        <w:rPr>
          <w:rFonts w:ascii="Times New Roman" w:eastAsia="Times New Roman" w:hAnsi="Times New Roman" w:cs="Times New Roman"/>
          <w:b/>
          <w:kern w:val="0"/>
          <w14:ligatures w14:val="none"/>
        </w:rPr>
      </w:pPr>
      <w:r w:rsidRPr="00B92532">
        <w:rPr>
          <w:rFonts w:ascii="Times New Roman" w:eastAsia="Times New Roman" w:hAnsi="Times New Roman" w:cs="Times New Roman"/>
          <w:b/>
          <w:kern w:val="0"/>
          <w14:ligatures w14:val="none"/>
        </w:rPr>
        <w:t>1 UŽDUOTI</w:t>
      </w:r>
      <w:r>
        <w:rPr>
          <w:rFonts w:ascii="Times New Roman" w:eastAsia="Times New Roman" w:hAnsi="Times New Roman" w:cs="Times New Roman"/>
          <w:b/>
          <w:kern w:val="0"/>
          <w14:ligatures w14:val="none"/>
        </w:rPr>
        <w:t>ES. Antra dalis.</w:t>
      </w:r>
      <w:r w:rsidR="00215158" w:rsidRPr="00215158">
        <w:rPr>
          <w:rFonts w:ascii="Times New Roman" w:eastAsia="Times New Roman" w:hAnsi="Times New Roman" w:cs="Times New Roman"/>
          <w:color w:val="000000"/>
        </w:rPr>
        <w:t xml:space="preserve"> </w:t>
      </w:r>
      <w:r w:rsidR="00215158" w:rsidRPr="00252D75">
        <w:rPr>
          <w:rFonts w:ascii="Times New Roman" w:eastAsia="Times New Roman" w:hAnsi="Times New Roman" w:cs="Times New Roman"/>
          <w:color w:val="000000"/>
        </w:rPr>
        <w:t>Remdamiesi pateiktais duomenimis</w:t>
      </w:r>
      <w:r w:rsidR="00215158">
        <w:rPr>
          <w:rFonts w:ascii="Times New Roman" w:eastAsia="Times New Roman" w:hAnsi="Times New Roman" w:cs="Times New Roman"/>
          <w:color w:val="000000"/>
        </w:rPr>
        <w:t xml:space="preserve">, </w:t>
      </w:r>
      <w:r w:rsidR="00215158" w:rsidRPr="00252D75">
        <w:rPr>
          <w:rFonts w:ascii="Times New Roman" w:eastAsia="Times New Roman" w:hAnsi="Times New Roman" w:cs="Times New Roman"/>
          <w:color w:val="000000"/>
        </w:rPr>
        <w:t>atlikta analize</w:t>
      </w:r>
      <w:r w:rsidR="00215158">
        <w:rPr>
          <w:rFonts w:ascii="Times New Roman" w:eastAsia="Times New Roman" w:hAnsi="Times New Roman" w:cs="Times New Roman"/>
          <w:color w:val="000000"/>
        </w:rPr>
        <w:t xml:space="preserve"> ir pagal poreikį</w:t>
      </w:r>
      <w:r w:rsidR="00215158" w:rsidRPr="002D51CA">
        <w:rPr>
          <w:rFonts w:ascii="Times New Roman" w:eastAsia="Times New Roman" w:hAnsi="Times New Roman" w:cs="Times New Roman"/>
          <w:color w:val="000000"/>
        </w:rPr>
        <w:t xml:space="preserve"> </w:t>
      </w:r>
      <w:r w:rsidR="00215158" w:rsidRPr="00A5349E">
        <w:rPr>
          <w:rFonts w:ascii="Times New Roman" w:eastAsia="Times New Roman" w:hAnsi="Times New Roman" w:cs="Times New Roman"/>
          <w:color w:val="000000"/>
        </w:rPr>
        <w:t>kita</w:t>
      </w:r>
      <w:r w:rsidR="00215158" w:rsidRPr="00A5349E">
        <w:t xml:space="preserve"> </w:t>
      </w:r>
      <w:r w:rsidR="00215158" w:rsidRPr="00A5349E">
        <w:rPr>
          <w:rFonts w:ascii="Times New Roman" w:eastAsia="Times New Roman" w:hAnsi="Times New Roman" w:cs="Times New Roman"/>
          <w:color w:val="000000"/>
        </w:rPr>
        <w:t>viešai</w:t>
      </w:r>
      <w:r w:rsidR="00215158" w:rsidRPr="002D51CA">
        <w:rPr>
          <w:rFonts w:ascii="Times New Roman" w:eastAsia="Times New Roman" w:hAnsi="Times New Roman" w:cs="Times New Roman"/>
          <w:color w:val="000000"/>
        </w:rPr>
        <w:t xml:space="preserve"> prieinama informacija</w:t>
      </w:r>
      <w:r w:rsidR="00215158" w:rsidRPr="00252D75">
        <w:rPr>
          <w:rFonts w:ascii="Times New Roman" w:eastAsia="Times New Roman" w:hAnsi="Times New Roman" w:cs="Times New Roman"/>
          <w:color w:val="000000"/>
        </w:rPr>
        <w:t xml:space="preserve"> nurodykite 3–5 aspektus ar potemes, kurias siūlytumėte įtraukti į tyrimą. Savo siūlymą argumentuokite.</w:t>
      </w:r>
    </w:p>
    <w:p w14:paraId="33F4F272" w14:textId="720F8388" w:rsidR="00707077" w:rsidRDefault="00215158" w:rsidP="00707077">
      <w:pPr>
        <w:widowControl w:val="0"/>
        <w:tabs>
          <w:tab w:val="left" w:pos="3640"/>
          <w:tab w:val="left" w:pos="4373"/>
        </w:tabs>
        <w:autoSpaceDE w:val="0"/>
        <w:autoSpaceDN w:val="0"/>
        <w:adjustRightInd w:val="0"/>
        <w:spacing w:after="120" w:line="240" w:lineRule="auto"/>
        <w:ind w:firstLine="72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Kaip minėjau primojoje dalyje, iš turimų duomenų yra aiškios tam tikros neigiamos tendencijos, kurias reikėtų įtraukti į tyrimą:</w:t>
      </w:r>
    </w:p>
    <w:p w14:paraId="34952F3B" w14:textId="196FCFC6" w:rsidR="00215158" w:rsidRDefault="00215158" w:rsidP="00215158">
      <w:pPr>
        <w:pStyle w:val="ListParagraph"/>
        <w:widowControl w:val="0"/>
        <w:numPr>
          <w:ilvl w:val="0"/>
          <w:numId w:val="2"/>
        </w:numPr>
        <w:tabs>
          <w:tab w:val="left" w:pos="3640"/>
          <w:tab w:val="left" w:pos="4373"/>
        </w:tabs>
        <w:autoSpaceDE w:val="0"/>
        <w:autoSpaceDN w:val="0"/>
        <w:adjustRightInd w:val="0"/>
        <w:spacing w:after="12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Projekto poveikis socialinę ir kultūrinę atskirtį patiriantiems žmonėms regionuose.</w:t>
      </w:r>
    </w:p>
    <w:p w14:paraId="488DBC4C" w14:textId="7168641D" w:rsidR="00215158" w:rsidRDefault="00215158" w:rsidP="00215158">
      <w:pPr>
        <w:pStyle w:val="ListParagraph"/>
        <w:widowControl w:val="0"/>
        <w:numPr>
          <w:ilvl w:val="0"/>
          <w:numId w:val="2"/>
        </w:numPr>
        <w:tabs>
          <w:tab w:val="left" w:pos="3640"/>
          <w:tab w:val="left" w:pos="4373"/>
        </w:tabs>
        <w:autoSpaceDE w:val="0"/>
        <w:autoSpaceDN w:val="0"/>
        <w:adjustRightInd w:val="0"/>
        <w:spacing w:after="12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Projekto galimybės įtraukti privataus pelno siekiančias organizacijas.</w:t>
      </w:r>
    </w:p>
    <w:p w14:paraId="37B8F561" w14:textId="4DA73D21" w:rsidR="00215158" w:rsidRDefault="00215158" w:rsidP="00215158">
      <w:pPr>
        <w:pStyle w:val="ListParagraph"/>
        <w:widowControl w:val="0"/>
        <w:numPr>
          <w:ilvl w:val="0"/>
          <w:numId w:val="2"/>
        </w:numPr>
        <w:tabs>
          <w:tab w:val="left" w:pos="3640"/>
          <w:tab w:val="left" w:pos="4373"/>
        </w:tabs>
        <w:autoSpaceDE w:val="0"/>
        <w:autoSpaceDN w:val="0"/>
        <w:adjustRightInd w:val="0"/>
        <w:spacing w:after="12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Projekto keliamų kriterijų kokybinė analizė.</w:t>
      </w:r>
    </w:p>
    <w:p w14:paraId="159D74F2" w14:textId="6A604742" w:rsidR="00215158" w:rsidRDefault="00215158" w:rsidP="00215158">
      <w:pPr>
        <w:pStyle w:val="ListParagraph"/>
        <w:widowControl w:val="0"/>
        <w:numPr>
          <w:ilvl w:val="0"/>
          <w:numId w:val="2"/>
        </w:numPr>
        <w:tabs>
          <w:tab w:val="left" w:pos="3640"/>
          <w:tab w:val="left" w:pos="4373"/>
        </w:tabs>
        <w:autoSpaceDE w:val="0"/>
        <w:autoSpaceDN w:val="0"/>
        <w:adjustRightInd w:val="0"/>
        <w:spacing w:after="12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Visų Kultūros ir meno sričių galimybės dalyvauti projekte.</w:t>
      </w:r>
    </w:p>
    <w:p w14:paraId="661AC49D" w14:textId="3506AA2A" w:rsidR="00215158" w:rsidRDefault="0022561A" w:rsidP="00215158">
      <w:pPr>
        <w:pStyle w:val="ListParagraph"/>
        <w:widowControl w:val="0"/>
        <w:numPr>
          <w:ilvl w:val="0"/>
          <w:numId w:val="2"/>
        </w:numPr>
        <w:tabs>
          <w:tab w:val="left" w:pos="3640"/>
          <w:tab w:val="left" w:pos="4373"/>
        </w:tabs>
        <w:autoSpaceDE w:val="0"/>
        <w:autoSpaceDN w:val="0"/>
        <w:adjustRightInd w:val="0"/>
        <w:spacing w:after="12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Projekto komunikacijos regionuose kokybinė ir kiekybinė analizė.</w:t>
      </w:r>
    </w:p>
    <w:p w14:paraId="1C06314C" w14:textId="0E7B28F9" w:rsidR="001E0242" w:rsidRDefault="0022561A" w:rsidP="0022561A">
      <w:pPr>
        <w:widowControl w:val="0"/>
        <w:tabs>
          <w:tab w:val="left" w:pos="3640"/>
          <w:tab w:val="left" w:pos="4373"/>
        </w:tabs>
        <w:autoSpaceDE w:val="0"/>
        <w:autoSpaceDN w:val="0"/>
        <w:adjustRightInd w:val="0"/>
        <w:spacing w:after="120" w:line="240"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14:ligatures w14:val="none"/>
        </w:rPr>
        <w:t xml:space="preserve">Šios problemos labiausiai atsispindi analizuojant projekto duomenis, tad šiuos aspektus yra būtina įvertinti ir nuodugniai peržiūrėti. Kadangi didelė dalis Lietuvos gyventojų, kurie patiria socialinę ar kultūrinę atskirtį, gyvena regionuose. Turime išsiaiškinti, kaip galime geriau pritraukti regionų įmones ar įstaigas į tokio tipo projektus. Socialinę atskirtį kaimuose patiria </w:t>
      </w:r>
      <w:r>
        <w:rPr>
          <w:rFonts w:ascii="Times New Roman" w:eastAsia="Times New Roman" w:hAnsi="Times New Roman" w:cs="Times New Roman"/>
          <w:kern w:val="0"/>
          <w:lang w:val="en-US"/>
          <w14:ligatures w14:val="none"/>
        </w:rPr>
        <w:t xml:space="preserve">29,1 % </w:t>
      </w:r>
      <w:proofErr w:type="spellStart"/>
      <w:r>
        <w:rPr>
          <w:rFonts w:ascii="Times New Roman" w:eastAsia="Times New Roman" w:hAnsi="Times New Roman" w:cs="Times New Roman"/>
          <w:kern w:val="0"/>
          <w:lang w:val="en-US"/>
          <w14:ligatures w14:val="none"/>
        </w:rPr>
        <w:t>gyventoj</w:t>
      </w:r>
      <w:proofErr w:type="spellEnd"/>
      <w:r>
        <w:rPr>
          <w:rFonts w:ascii="Times New Roman" w:eastAsia="Times New Roman" w:hAnsi="Times New Roman" w:cs="Times New Roman"/>
          <w:kern w:val="0"/>
          <w14:ligatures w14:val="none"/>
        </w:rPr>
        <w:t xml:space="preserve">ų, mažuosiuose miestuose </w:t>
      </w:r>
      <w:r>
        <w:rPr>
          <w:rFonts w:ascii="Times New Roman" w:eastAsia="Times New Roman" w:hAnsi="Times New Roman" w:cs="Times New Roman"/>
          <w:kern w:val="0"/>
          <w:lang w:val="en-US"/>
          <w14:ligatures w14:val="none"/>
        </w:rPr>
        <w:t xml:space="preserve">28 % </w:t>
      </w:r>
      <w:proofErr w:type="spellStart"/>
      <w:r>
        <w:rPr>
          <w:rFonts w:ascii="Times New Roman" w:eastAsia="Times New Roman" w:hAnsi="Times New Roman" w:cs="Times New Roman"/>
          <w:kern w:val="0"/>
          <w:lang w:val="en-US"/>
          <w14:ligatures w14:val="none"/>
        </w:rPr>
        <w:t>gyventoj</w:t>
      </w:r>
      <w:proofErr w:type="spellEnd"/>
      <w:r>
        <w:rPr>
          <w:rFonts w:ascii="Times New Roman" w:eastAsia="Times New Roman" w:hAnsi="Times New Roman" w:cs="Times New Roman"/>
          <w:kern w:val="0"/>
          <w14:ligatures w14:val="none"/>
        </w:rPr>
        <w:t xml:space="preserve">ų, tuo tarpu didžiuosiuose miestose su šia problema susiduria tik </w:t>
      </w:r>
      <w:r>
        <w:rPr>
          <w:rFonts w:ascii="Times New Roman" w:eastAsia="Times New Roman" w:hAnsi="Times New Roman" w:cs="Times New Roman"/>
          <w:kern w:val="0"/>
          <w:lang w:val="en-US"/>
          <w14:ligatures w14:val="none"/>
        </w:rPr>
        <w:t xml:space="preserve">18,9 % </w:t>
      </w:r>
      <w:proofErr w:type="spellStart"/>
      <w:r>
        <w:rPr>
          <w:rFonts w:ascii="Times New Roman" w:eastAsia="Times New Roman" w:hAnsi="Times New Roman" w:cs="Times New Roman"/>
          <w:kern w:val="0"/>
          <w:lang w:val="en-US"/>
          <w14:ligatures w14:val="none"/>
        </w:rPr>
        <w:lastRenderedPageBreak/>
        <w:t>gyventoj</w:t>
      </w:r>
      <w:proofErr w:type="spellEnd"/>
      <w:r>
        <w:rPr>
          <w:rFonts w:ascii="Times New Roman" w:eastAsia="Times New Roman" w:hAnsi="Times New Roman" w:cs="Times New Roman"/>
          <w:kern w:val="0"/>
          <w14:ligatures w14:val="none"/>
        </w:rPr>
        <w:t>ų (</w:t>
      </w:r>
      <w:r>
        <w:rPr>
          <w:rFonts w:ascii="Times New Roman" w:eastAsia="Times New Roman" w:hAnsi="Times New Roman" w:cs="Times New Roman"/>
          <w:kern w:val="0"/>
          <w:lang w:val="en-US"/>
          <w14:ligatures w14:val="none"/>
        </w:rPr>
        <w:t xml:space="preserve">2021 m. </w:t>
      </w:r>
      <w:hyperlink r:id="rId10" w:history="1">
        <w:proofErr w:type="spellStart"/>
        <w:r w:rsidRPr="0022561A">
          <w:rPr>
            <w:rStyle w:val="Hyperlink"/>
            <w:rFonts w:ascii="Times New Roman" w:eastAsia="Times New Roman" w:hAnsi="Times New Roman" w:cs="Times New Roman"/>
            <w:kern w:val="0"/>
            <w:lang w:val="en-US"/>
            <w14:ligatures w14:val="none"/>
          </w:rPr>
          <w:t>duome</w:t>
        </w:r>
        <w:r w:rsidRPr="0022561A">
          <w:rPr>
            <w:rStyle w:val="Hyperlink"/>
            <w:rFonts w:ascii="Times New Roman" w:eastAsia="Times New Roman" w:hAnsi="Times New Roman" w:cs="Times New Roman"/>
            <w:kern w:val="0"/>
            <w:lang w:val="en-US"/>
            <w14:ligatures w14:val="none"/>
          </w:rPr>
          <w:t>n</w:t>
        </w:r>
        <w:r w:rsidRPr="0022561A">
          <w:rPr>
            <w:rStyle w:val="Hyperlink"/>
            <w:rFonts w:ascii="Times New Roman" w:eastAsia="Times New Roman" w:hAnsi="Times New Roman" w:cs="Times New Roman"/>
            <w:kern w:val="0"/>
            <w:lang w:val="en-US"/>
            <w14:ligatures w14:val="none"/>
          </w:rPr>
          <w:t>i</w:t>
        </w:r>
        <w:r w:rsidRPr="0022561A">
          <w:rPr>
            <w:rStyle w:val="Hyperlink"/>
            <w:rFonts w:ascii="Times New Roman" w:eastAsia="Times New Roman" w:hAnsi="Times New Roman" w:cs="Times New Roman"/>
            <w:kern w:val="0"/>
            <w:lang w:val="en-US"/>
            <w14:ligatures w14:val="none"/>
          </w:rPr>
          <w:t>mis</w:t>
        </w:r>
        <w:proofErr w:type="spellEnd"/>
      </w:hyperlink>
      <w:r w:rsidR="007358C9">
        <w:rPr>
          <w:rStyle w:val="FootnoteReference"/>
          <w:rFonts w:ascii="Times New Roman" w:eastAsia="Times New Roman" w:hAnsi="Times New Roman" w:cs="Times New Roman"/>
          <w:color w:val="467886" w:themeColor="hyperlink"/>
          <w:kern w:val="0"/>
          <w:u w:val="single"/>
          <w:lang w:val="en-US"/>
          <w14:ligatures w14:val="none"/>
        </w:rPr>
        <w:footnoteReference w:id="2"/>
      </w:r>
      <w:r w:rsidR="007358C9">
        <w:rPr>
          <w:rFonts w:ascii="Times New Roman" w:eastAsia="Times New Roman" w:hAnsi="Times New Roman" w:cs="Times New Roman"/>
          <w:kern w:val="0"/>
          <w:lang w:val="en-US"/>
          <w14:ligatures w14:val="none"/>
        </w:rPr>
        <w:t>)</w:t>
      </w:r>
      <w:r>
        <w:rPr>
          <w:rFonts w:ascii="Times New Roman" w:eastAsia="Times New Roman" w:hAnsi="Times New Roman" w:cs="Times New Roman"/>
          <w:kern w:val="0"/>
          <w:lang w:val="en-US"/>
          <w14:ligatures w14:val="none"/>
        </w:rPr>
        <w:t xml:space="preserve">. </w:t>
      </w:r>
    </w:p>
    <w:p w14:paraId="2CFB3B59" w14:textId="705131E7" w:rsidR="001E0242" w:rsidRDefault="0022561A" w:rsidP="0022561A">
      <w:pPr>
        <w:widowControl w:val="0"/>
        <w:tabs>
          <w:tab w:val="left" w:pos="3640"/>
          <w:tab w:val="left" w:pos="4373"/>
        </w:tabs>
        <w:autoSpaceDE w:val="0"/>
        <w:autoSpaceDN w:val="0"/>
        <w:adjustRightInd w:val="0"/>
        <w:spacing w:after="12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lang w:val="en-US"/>
          <w14:ligatures w14:val="none"/>
        </w:rPr>
        <w:t xml:space="preserve">Tai pat </w:t>
      </w:r>
      <w:proofErr w:type="spellStart"/>
      <w:r>
        <w:rPr>
          <w:rFonts w:ascii="Times New Roman" w:eastAsia="Times New Roman" w:hAnsi="Times New Roman" w:cs="Times New Roman"/>
          <w:kern w:val="0"/>
          <w:lang w:val="en-US"/>
          <w14:ligatures w14:val="none"/>
        </w:rPr>
        <w:t>lab</w:t>
      </w:r>
      <w:r w:rsidR="001E0242">
        <w:rPr>
          <w:rFonts w:ascii="Times New Roman" w:eastAsia="Times New Roman" w:hAnsi="Times New Roman" w:cs="Times New Roman"/>
          <w:kern w:val="0"/>
          <w:lang w:val="en-US"/>
          <w14:ligatures w14:val="none"/>
        </w:rPr>
        <w:t>ai</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naudinga</w:t>
      </w:r>
      <w:proofErr w:type="spellEnd"/>
      <w:r>
        <w:rPr>
          <w:rFonts w:ascii="Times New Roman" w:eastAsia="Times New Roman" w:hAnsi="Times New Roman" w:cs="Times New Roman"/>
          <w:kern w:val="0"/>
          <w:lang w:val="en-US"/>
          <w14:ligatures w14:val="none"/>
        </w:rPr>
        <w:t xml:space="preserve"> b</w:t>
      </w:r>
      <w:r>
        <w:rPr>
          <w:rFonts w:ascii="Times New Roman" w:eastAsia="Times New Roman" w:hAnsi="Times New Roman" w:cs="Times New Roman"/>
          <w:kern w:val="0"/>
          <w14:ligatures w14:val="none"/>
        </w:rPr>
        <w:t xml:space="preserve">ūtų išsiaiškint priežastis dėl ko privatus verslas nėra suinteresuotas dalyvauti tokio tipo projektuose, o tos įmonės kurios dalyvauja, </w:t>
      </w:r>
      <w:r w:rsidR="001E0242">
        <w:rPr>
          <w:rFonts w:ascii="Times New Roman" w:eastAsia="Times New Roman" w:hAnsi="Times New Roman" w:cs="Times New Roman"/>
          <w:kern w:val="0"/>
          <w14:ligatures w14:val="none"/>
        </w:rPr>
        <w:t xml:space="preserve">yra nefinansuojamos. Nes privataus verslo įsitraukimas gali padėti didinti projekto sklaidą Lietuvoje. </w:t>
      </w:r>
    </w:p>
    <w:p w14:paraId="1634CD7C" w14:textId="2CADB907" w:rsidR="0022561A" w:rsidRDefault="001E0242" w:rsidP="0022561A">
      <w:pPr>
        <w:widowControl w:val="0"/>
        <w:tabs>
          <w:tab w:val="left" w:pos="3640"/>
          <w:tab w:val="left" w:pos="4373"/>
        </w:tabs>
        <w:autoSpaceDE w:val="0"/>
        <w:autoSpaceDN w:val="0"/>
        <w:adjustRightInd w:val="0"/>
        <w:spacing w:after="12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Didelis procentas nepatvirtintų projektų kelia klausimą ar problema yra pačiuose projektuose ar projektams keliamuose reikalavimuose? Galbūt kartelės keliamos projektams yra per aukštos arba projekto reikalavimai nėra tinkamai iškomunikuoti.</w:t>
      </w:r>
    </w:p>
    <w:p w14:paraId="5803016B" w14:textId="35D0076D" w:rsidR="001E0242" w:rsidRDefault="00671D25" w:rsidP="0022561A">
      <w:pPr>
        <w:widowControl w:val="0"/>
        <w:tabs>
          <w:tab w:val="left" w:pos="3640"/>
          <w:tab w:val="left" w:pos="4373"/>
        </w:tabs>
        <w:autoSpaceDE w:val="0"/>
        <w:autoSpaceDN w:val="0"/>
        <w:adjustRightInd w:val="0"/>
        <w:spacing w:after="12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Didžioji dalis projektų buvo teikiama </w:t>
      </w:r>
      <w:r>
        <w:rPr>
          <w:rFonts w:ascii="Times New Roman" w:eastAsia="Times New Roman" w:hAnsi="Times New Roman" w:cs="Times New Roman"/>
          <w:kern w:val="0"/>
          <w:lang w:val="en-US"/>
          <w14:ligatures w14:val="none"/>
        </w:rPr>
        <w:t>5-iose</w:t>
      </w:r>
      <w:r>
        <w:rPr>
          <w:rFonts w:ascii="Times New Roman" w:eastAsia="Times New Roman" w:hAnsi="Times New Roman" w:cs="Times New Roman"/>
          <w:kern w:val="0"/>
          <w14:ligatures w14:val="none"/>
        </w:rPr>
        <w:t xml:space="preserve"> srityse (Tarpsritiniai, Teatro, Muzikos, Dailės ir Tarpdisciplininiai). Kas skatina tokius didžiulius skirtumus? Atlikus apklausą tarp kitų sričių projektų atstovų būtų galima gauti naudingos informacijos ateities projektams ir didesniam kitų Kulturos ir meno sričių įtraukimui.</w:t>
      </w:r>
    </w:p>
    <w:p w14:paraId="720FF954" w14:textId="48A989B1" w:rsidR="00F5110A" w:rsidRDefault="00F5110A" w:rsidP="00F5110A">
      <w:pPr>
        <w:pStyle w:val="Tarybosstilius"/>
        <w:spacing w:after="120"/>
        <w:jc w:val="both"/>
        <w:rPr>
          <w:rFonts w:ascii="Times New Roman" w:eastAsia="Times New Roman" w:hAnsi="Times New Roman" w:cs="Times New Roman"/>
          <w:lang w:val="lt-LT"/>
        </w:rPr>
      </w:pPr>
      <w:r>
        <w:rPr>
          <w:rStyle w:val="Tarybosstiliusbold"/>
          <w:rFonts w:ascii="Times New Roman" w:hAnsi="Times New Roman" w:cs="Times New Roman"/>
          <w:lang w:val="lt-LT"/>
        </w:rPr>
        <w:t xml:space="preserve">2 UŽDUOTIS. </w:t>
      </w:r>
      <w:r w:rsidRPr="00712B49">
        <w:rPr>
          <w:rStyle w:val="Tarybosstiliusbold"/>
          <w:rFonts w:ascii="Times New Roman" w:hAnsi="Times New Roman" w:cs="Times New Roman"/>
          <w:bCs/>
          <w:lang w:val="lt-LT"/>
        </w:rPr>
        <w:t xml:space="preserve">Stebėsenos ir analizės skyriaus tyrimui reikia duomenų apie asmenų pajamas literatūros srityje Lietuvoje. Vienas iš šaltinių yra </w:t>
      </w:r>
      <w:r w:rsidRPr="00712B49">
        <w:rPr>
          <w:rFonts w:ascii="Times New Roman" w:hAnsi="Times New Roman" w:cs="Times New Roman"/>
          <w:bCs/>
          <w:lang w:val="lt-LT"/>
        </w:rPr>
        <w:t>Sodros vidutinių apdraustųjų asmenų pajamų duomenys</w:t>
      </w:r>
      <w:r w:rsidRPr="00712B49">
        <w:rPr>
          <w:rStyle w:val="FootnoteReference"/>
          <w:rFonts w:ascii="Times New Roman" w:hAnsi="Times New Roman" w:cs="Times New Roman"/>
          <w:bCs/>
          <w:lang w:val="lt-LT"/>
        </w:rPr>
        <w:footnoteReference w:id="3"/>
      </w:r>
      <w:r w:rsidRPr="00712B49">
        <w:rPr>
          <w:rFonts w:ascii="Times New Roman" w:hAnsi="Times New Roman" w:cs="Times New Roman"/>
          <w:bCs/>
          <w:lang w:val="lt-LT"/>
        </w:rPr>
        <w:t xml:space="preserve"> pagal Autorių ir kitų rašytojų profesiją</w:t>
      </w:r>
      <w:r>
        <w:rPr>
          <w:rFonts w:ascii="Times New Roman" w:hAnsi="Times New Roman" w:cs="Times New Roman"/>
          <w:bCs/>
          <w:lang w:val="lt-LT"/>
        </w:rPr>
        <w:t>,</w:t>
      </w:r>
      <w:r w:rsidRPr="00712B49">
        <w:rPr>
          <w:rFonts w:ascii="Times New Roman" w:hAnsi="Times New Roman" w:cs="Times New Roman"/>
          <w:bCs/>
          <w:lang w:val="lt-LT"/>
        </w:rPr>
        <w:t xml:space="preserve"> pagal Lietuvos profesijų klasifikatorių (LPK).</w:t>
      </w:r>
      <w:r>
        <w:rPr>
          <w:rFonts w:ascii="Times New Roman" w:hAnsi="Times New Roman" w:cs="Times New Roman"/>
          <w:bCs/>
          <w:lang w:val="lt-LT"/>
        </w:rPr>
        <w:t xml:space="preserve"> </w:t>
      </w:r>
      <w:r w:rsidRPr="00FB1B86">
        <w:rPr>
          <w:rFonts w:ascii="Times New Roman" w:eastAsia="Times New Roman" w:hAnsi="Times New Roman" w:cs="Times New Roman"/>
          <w:lang w:val="lt-LT"/>
        </w:rPr>
        <w:t>(</w:t>
      </w:r>
      <w:proofErr w:type="spellStart"/>
      <w:r w:rsidRPr="00FB1B86">
        <w:rPr>
          <w:rStyle w:val="cf01"/>
          <w:rFonts w:ascii="Times New Roman" w:hAnsi="Times New Roman" w:cs="Times New Roman"/>
        </w:rPr>
        <w:t>Didžiausias</w:t>
      </w:r>
      <w:proofErr w:type="spellEnd"/>
      <w:r w:rsidRPr="00FB1B86">
        <w:rPr>
          <w:rStyle w:val="cf01"/>
          <w:rFonts w:ascii="Times New Roman" w:hAnsi="Times New Roman" w:cs="Times New Roman"/>
        </w:rPr>
        <w:t xml:space="preserve"> </w:t>
      </w:r>
      <w:proofErr w:type="spellStart"/>
      <w:r w:rsidRPr="00FB1B86">
        <w:rPr>
          <w:rStyle w:val="cf01"/>
          <w:rFonts w:ascii="Times New Roman" w:hAnsi="Times New Roman" w:cs="Times New Roman"/>
        </w:rPr>
        <w:t>galimas</w:t>
      </w:r>
      <w:proofErr w:type="spellEnd"/>
      <w:r w:rsidRPr="00FB1B86">
        <w:rPr>
          <w:rStyle w:val="cf01"/>
          <w:rFonts w:ascii="Times New Roman" w:hAnsi="Times New Roman" w:cs="Times New Roman"/>
        </w:rPr>
        <w:t xml:space="preserve"> </w:t>
      </w:r>
      <w:proofErr w:type="spellStart"/>
      <w:r w:rsidRPr="00FB1B86">
        <w:rPr>
          <w:rStyle w:val="cf01"/>
          <w:rFonts w:ascii="Times New Roman" w:hAnsi="Times New Roman" w:cs="Times New Roman"/>
        </w:rPr>
        <w:t>surinkti</w:t>
      </w:r>
      <w:proofErr w:type="spellEnd"/>
      <w:r w:rsidRPr="00FB1B86">
        <w:rPr>
          <w:rStyle w:val="cf01"/>
          <w:rFonts w:ascii="Times New Roman" w:hAnsi="Times New Roman" w:cs="Times New Roman"/>
        </w:rPr>
        <w:t xml:space="preserve"> </w:t>
      </w:r>
      <w:proofErr w:type="spellStart"/>
      <w:r w:rsidRPr="00FB1B86">
        <w:rPr>
          <w:rStyle w:val="cf01"/>
          <w:rFonts w:ascii="Times New Roman" w:hAnsi="Times New Roman" w:cs="Times New Roman"/>
        </w:rPr>
        <w:t>balų</w:t>
      </w:r>
      <w:proofErr w:type="spellEnd"/>
      <w:r w:rsidRPr="00FB1B86">
        <w:rPr>
          <w:rStyle w:val="cf01"/>
          <w:rFonts w:ascii="Times New Roman" w:hAnsi="Times New Roman" w:cs="Times New Roman"/>
        </w:rPr>
        <w:t xml:space="preserve"> </w:t>
      </w:r>
      <w:proofErr w:type="spellStart"/>
      <w:r w:rsidRPr="00FB1B86">
        <w:rPr>
          <w:rStyle w:val="cf01"/>
          <w:rFonts w:ascii="Times New Roman" w:hAnsi="Times New Roman" w:cs="Times New Roman"/>
        </w:rPr>
        <w:t>skaičius</w:t>
      </w:r>
      <w:proofErr w:type="spellEnd"/>
      <w:r w:rsidRPr="00FB1B86">
        <w:rPr>
          <w:rStyle w:val="cf01"/>
          <w:rFonts w:ascii="Times New Roman" w:hAnsi="Times New Roman" w:cs="Times New Roman"/>
        </w:rPr>
        <w:t xml:space="preserve"> –</w:t>
      </w:r>
      <w:r>
        <w:rPr>
          <w:rStyle w:val="cf01"/>
          <w:rFonts w:ascii="Times New Roman" w:hAnsi="Times New Roman" w:cs="Times New Roman"/>
        </w:rPr>
        <w:t>3</w:t>
      </w:r>
      <w:r w:rsidRPr="00FB1B86">
        <w:rPr>
          <w:rStyle w:val="cf01"/>
          <w:rFonts w:ascii="Times New Roman" w:hAnsi="Times New Roman" w:cs="Times New Roman"/>
        </w:rPr>
        <w:t>)</w:t>
      </w:r>
      <w:r w:rsidRPr="00FB1B86">
        <w:rPr>
          <w:rFonts w:ascii="Times New Roman" w:eastAsia="Times New Roman" w:hAnsi="Times New Roman" w:cs="Times New Roman"/>
          <w:lang w:val="lt-LT"/>
        </w:rPr>
        <w:t>.</w:t>
      </w:r>
    </w:p>
    <w:p w14:paraId="6B70A2CC" w14:textId="77777777" w:rsidR="00A43F9F" w:rsidRDefault="00FE2645" w:rsidP="00F5110A">
      <w:pPr>
        <w:pStyle w:val="Tarybosstilius"/>
        <w:spacing w:after="120"/>
        <w:jc w:val="both"/>
        <w:rPr>
          <w:rFonts w:ascii="Times New Roman" w:eastAsia="Times New Roman" w:hAnsi="Times New Roman" w:cs="Times New Roman"/>
          <w:lang w:val="lt-LT"/>
        </w:rPr>
      </w:pPr>
      <w:r>
        <w:rPr>
          <w:rFonts w:ascii="Times New Roman" w:eastAsia="Times New Roman" w:hAnsi="Times New Roman" w:cs="Times New Roman"/>
          <w:lang w:val="lt-LT"/>
        </w:rPr>
        <w:t xml:space="preserve">Problemų su šiais duomenimis galima įžvelgti gana daug. </w:t>
      </w:r>
    </w:p>
    <w:p w14:paraId="3CC9C754" w14:textId="654A38C4" w:rsidR="00FE2645" w:rsidRDefault="00FE2645" w:rsidP="00D42BA6">
      <w:pPr>
        <w:pStyle w:val="Tarybosstilius"/>
        <w:spacing w:after="120"/>
        <w:ind w:firstLine="720"/>
        <w:jc w:val="both"/>
        <w:rPr>
          <w:rFonts w:ascii="Times New Roman" w:eastAsia="Times New Roman" w:hAnsi="Times New Roman" w:cs="Times New Roman"/>
          <w:lang w:val="lt-LT"/>
        </w:rPr>
      </w:pPr>
      <w:r>
        <w:rPr>
          <w:rFonts w:ascii="Times New Roman" w:eastAsia="Times New Roman" w:hAnsi="Times New Roman" w:cs="Times New Roman"/>
          <w:lang w:val="lt-LT"/>
        </w:rPr>
        <w:t>Pirma, duomenų kiekis yra minimalus, galime rasti tik bendrą autorių ir kitų rašytojų rėžį</w:t>
      </w:r>
      <w:r w:rsidR="00A43F9F">
        <w:rPr>
          <w:rFonts w:ascii="Times New Roman" w:eastAsia="Times New Roman" w:hAnsi="Times New Roman" w:cs="Times New Roman"/>
          <w:lang w:val="lt-LT"/>
        </w:rPr>
        <w:t>, kai tuo tarpu</w:t>
      </w:r>
      <w:r w:rsidR="00A43F9F">
        <w:rPr>
          <w:rFonts w:ascii="Times New Roman" w:eastAsia="Times New Roman" w:hAnsi="Times New Roman" w:cs="Times New Roman"/>
          <w:lang w:val="en-US"/>
        </w:rPr>
        <w:t xml:space="preserve"> </w:t>
      </w:r>
      <w:r w:rsidR="00A43F9F">
        <w:rPr>
          <w:rFonts w:ascii="Times New Roman" w:eastAsia="Times New Roman" w:hAnsi="Times New Roman" w:cs="Times New Roman"/>
          <w:lang w:val="lt-LT"/>
        </w:rPr>
        <w:t xml:space="preserve">šiaim pogrupiui priklauso 15 profesijų, kas iškart verčia bet kokią analizę ne tokia patikima. Kadangi rašytojo ar biografo uždarbis gali ženkliai skirtis nuo mosklinių tekstų redaktoriaus ar kritiko uždarbio, tačiau mes galime matyti tik bendrą šių profesijų vidutinio uždarbio rėžį.  </w:t>
      </w:r>
    </w:p>
    <w:p w14:paraId="51B095AC" w14:textId="63D94CDA" w:rsidR="00A43F9F" w:rsidRDefault="00A43F9F" w:rsidP="00D42BA6">
      <w:pPr>
        <w:pStyle w:val="Tarybosstilius"/>
        <w:spacing w:after="120"/>
        <w:ind w:firstLine="720"/>
        <w:jc w:val="both"/>
        <w:rPr>
          <w:rFonts w:ascii="Times New Roman" w:eastAsia="Times New Roman" w:hAnsi="Times New Roman" w:cs="Times New Roman"/>
          <w:lang w:val="lt-LT"/>
        </w:rPr>
      </w:pPr>
      <w:r>
        <w:rPr>
          <w:rFonts w:ascii="Times New Roman" w:eastAsia="Times New Roman" w:hAnsi="Times New Roman" w:cs="Times New Roman"/>
          <w:lang w:val="lt-LT"/>
        </w:rPr>
        <w:t>Antras, svarbus aspektas yra tas, jog net šiais duomenimis yra pateikiamas tik vidurkis, kuris tai pat gali iškraipyti tikruosius skaičius, neturime galimybės apskaičiuoti nei modos ar medianos, duomenys nėra išskirstyti kvartiliais, kas gali kiek pagražinti situaciją, pvz</w:t>
      </w:r>
      <w:r w:rsidRPr="00D42BA6">
        <w:rPr>
          <w:rFonts w:ascii="Times New Roman" w:eastAsia="Times New Roman" w:hAnsi="Times New Roman" w:cs="Times New Roman"/>
          <w:lang w:val="lt-LT"/>
        </w:rPr>
        <w:t xml:space="preserve">. </w:t>
      </w:r>
      <w:r w:rsidR="00D42BA6">
        <w:rPr>
          <w:rFonts w:ascii="Times New Roman" w:eastAsia="Times New Roman" w:hAnsi="Times New Roman" w:cs="Times New Roman"/>
          <w:lang w:val="lt-LT"/>
        </w:rPr>
        <w:t>20</w:t>
      </w:r>
      <w:r w:rsidRPr="00D42BA6">
        <w:rPr>
          <w:rFonts w:ascii="Times New Roman" w:eastAsia="Times New Roman" w:hAnsi="Times New Roman" w:cs="Times New Roman"/>
          <w:lang w:val="lt-LT"/>
        </w:rPr>
        <w:t xml:space="preserve"> rašytojų uždirbančių virš 10000 Eurų gali iškreipti duomenis</w:t>
      </w:r>
      <w:r w:rsidR="00D42BA6">
        <w:rPr>
          <w:rFonts w:ascii="Times New Roman" w:eastAsia="Times New Roman" w:hAnsi="Times New Roman" w:cs="Times New Roman"/>
          <w:lang w:val="lt-LT"/>
        </w:rPr>
        <w:t xml:space="preserve"> ir dėl šios priežasties nėra įmanoma susidaryti objektyvios nuomonės apie autorių ir kitų rašytojų uždarbį.</w:t>
      </w:r>
    </w:p>
    <w:p w14:paraId="1975B532" w14:textId="37D077B4" w:rsidR="000D1D8C" w:rsidRDefault="000D1D8C" w:rsidP="00D42BA6">
      <w:pPr>
        <w:pStyle w:val="Tarybosstilius"/>
        <w:spacing w:after="120"/>
        <w:ind w:firstLine="720"/>
        <w:jc w:val="both"/>
        <w:rPr>
          <w:rFonts w:ascii="Times New Roman" w:eastAsia="Times New Roman" w:hAnsi="Times New Roman" w:cs="Times New Roman"/>
          <w:lang w:val="lt-LT"/>
        </w:rPr>
      </w:pPr>
      <w:r>
        <w:rPr>
          <w:rFonts w:ascii="Times New Roman" w:eastAsia="Times New Roman" w:hAnsi="Times New Roman" w:cs="Times New Roman"/>
          <w:lang w:val="lt-LT"/>
        </w:rPr>
        <w:t>Norint gauti kuo tikslesnius duomenis, reikėtų kontaktuoti su Sodra ar Valstybės duomenų agentūra ir bandyti gauti nuasmenintus atvirus duomenis norimomis temomis</w:t>
      </w:r>
      <w:r w:rsidR="00CB77FB">
        <w:rPr>
          <w:rFonts w:ascii="Times New Roman" w:eastAsia="Times New Roman" w:hAnsi="Times New Roman" w:cs="Times New Roman"/>
          <w:lang w:val="lt-LT"/>
        </w:rPr>
        <w:t>, gavus prieigą prie tokio tipo duomenų analitinės galimybės tokio ar panašaus tipo tyrimams būtų ženkliai didesnės, o jų kokybe abėjoti nebūtų įmanoma.</w:t>
      </w:r>
    </w:p>
    <w:p w14:paraId="1F2B9D42" w14:textId="77777777" w:rsidR="00D42BA6" w:rsidRDefault="00D42BA6" w:rsidP="00D42BA6">
      <w:pPr>
        <w:pStyle w:val="Tarybosstilius"/>
        <w:tabs>
          <w:tab w:val="clear" w:pos="3640"/>
          <w:tab w:val="clear" w:pos="4373"/>
        </w:tabs>
        <w:spacing w:after="0"/>
        <w:jc w:val="both"/>
        <w:rPr>
          <w:rFonts w:ascii="Times New Roman" w:hAnsi="Times New Roman" w:cs="Times New Roman"/>
          <w:lang w:val="lt-LT"/>
        </w:rPr>
      </w:pPr>
      <w:r>
        <w:rPr>
          <w:rStyle w:val="Tarybosstiliusbold"/>
          <w:rFonts w:ascii="Times New Roman" w:hAnsi="Times New Roman" w:cs="Times New Roman"/>
          <w:lang w:val="lt-LT"/>
        </w:rPr>
        <w:t xml:space="preserve">3 </w:t>
      </w:r>
      <w:r w:rsidRPr="00F84C19">
        <w:rPr>
          <w:rStyle w:val="Tarybosstiliusbold"/>
          <w:rFonts w:ascii="Times New Roman" w:hAnsi="Times New Roman" w:cs="Times New Roman"/>
          <w:lang w:val="lt-LT"/>
        </w:rPr>
        <w:t>UŽDUOTIS</w:t>
      </w:r>
      <w:r>
        <w:rPr>
          <w:rStyle w:val="Tarybosstiliusbold"/>
          <w:rFonts w:ascii="Times New Roman" w:hAnsi="Times New Roman" w:cs="Times New Roman"/>
          <w:lang w:val="lt-LT"/>
        </w:rPr>
        <w:t xml:space="preserve">. </w:t>
      </w:r>
      <w:r w:rsidRPr="00DD365A">
        <w:rPr>
          <w:rFonts w:ascii="Times New Roman" w:hAnsi="Times New Roman" w:cs="Times New Roman"/>
          <w:lang w:val="lt-LT"/>
        </w:rPr>
        <w:t>Lietuvos Kultūros taryba kuria naujus kultūros ir meno rodiklius</w:t>
      </w:r>
      <w:r>
        <w:rPr>
          <w:rFonts w:ascii="Times New Roman" w:hAnsi="Times New Roman" w:cs="Times New Roman"/>
          <w:lang w:val="lt-LT"/>
        </w:rPr>
        <w:t xml:space="preserve">, kurių tikslas – </w:t>
      </w:r>
      <w:r w:rsidRPr="00DD365A">
        <w:rPr>
          <w:rFonts w:ascii="Times New Roman" w:hAnsi="Times New Roman" w:cs="Times New Roman"/>
          <w:lang w:val="lt-LT"/>
        </w:rPr>
        <w:t xml:space="preserve"> stebėti ir suprasti visuomenėje vykstančius procesus.</w:t>
      </w:r>
      <w:r>
        <w:rPr>
          <w:rFonts w:ascii="Times New Roman" w:hAnsi="Times New Roman" w:cs="Times New Roman"/>
          <w:lang w:val="lt-LT"/>
        </w:rPr>
        <w:t xml:space="preserve"> Naudojant tyrimo „G</w:t>
      </w:r>
      <w:r w:rsidRPr="00E025D1">
        <w:rPr>
          <w:rFonts w:ascii="Times New Roman" w:hAnsi="Times New Roman" w:cs="Times New Roman"/>
          <w:lang w:val="lt-LT"/>
        </w:rPr>
        <w:t>yventojų dalyvavim</w:t>
      </w:r>
      <w:r>
        <w:rPr>
          <w:rFonts w:ascii="Times New Roman" w:hAnsi="Times New Roman" w:cs="Times New Roman"/>
          <w:lang w:val="lt-LT"/>
        </w:rPr>
        <w:t>as</w:t>
      </w:r>
      <w:r w:rsidRPr="00E025D1">
        <w:rPr>
          <w:rFonts w:ascii="Times New Roman" w:hAnsi="Times New Roman" w:cs="Times New Roman"/>
          <w:lang w:val="lt-LT"/>
        </w:rPr>
        <w:t xml:space="preserve"> kultūroje </w:t>
      </w:r>
      <w:r>
        <w:rPr>
          <w:rFonts w:ascii="Times New Roman" w:hAnsi="Times New Roman" w:cs="Times New Roman"/>
          <w:lang w:val="lt-LT"/>
        </w:rPr>
        <w:t>ir pasitenkinimas kultūros paslaugomis“ apklausos duomenis, siekiama</w:t>
      </w:r>
      <w:r w:rsidRPr="00E025D1">
        <w:rPr>
          <w:rFonts w:ascii="Times New Roman" w:hAnsi="Times New Roman" w:cs="Times New Roman"/>
          <w:lang w:val="lt-LT"/>
        </w:rPr>
        <w:t xml:space="preserve"> sukurti atitinkamą rodiklį naujajai kultūros statistikos duomenų bazei. Šio rodiklio tikslas </w:t>
      </w:r>
      <w:r>
        <w:rPr>
          <w:rFonts w:ascii="Times New Roman" w:hAnsi="Times New Roman" w:cs="Times New Roman"/>
          <w:lang w:val="lt-LT"/>
        </w:rPr>
        <w:t>–</w:t>
      </w:r>
      <w:r w:rsidRPr="00E025D1">
        <w:rPr>
          <w:rFonts w:ascii="Times New Roman" w:hAnsi="Times New Roman" w:cs="Times New Roman"/>
          <w:lang w:val="lt-LT"/>
        </w:rPr>
        <w:t xml:space="preserve"> stebėti, kokia gyventojų dalis </w:t>
      </w:r>
      <w:r>
        <w:rPr>
          <w:rFonts w:ascii="Times New Roman" w:hAnsi="Times New Roman" w:cs="Times New Roman"/>
          <w:lang w:val="lt-LT"/>
        </w:rPr>
        <w:t xml:space="preserve">piešė, tapė paveikslus, kūrė grafikos darbus. </w:t>
      </w:r>
      <w:r w:rsidRPr="00FB1B86">
        <w:rPr>
          <w:rFonts w:ascii="Times New Roman" w:eastAsia="Times New Roman" w:hAnsi="Times New Roman" w:cs="Times New Roman"/>
          <w:lang w:val="lt-LT"/>
        </w:rPr>
        <w:t>(</w:t>
      </w:r>
      <w:proofErr w:type="spellStart"/>
      <w:r w:rsidRPr="00FB1B86">
        <w:rPr>
          <w:rStyle w:val="cf01"/>
          <w:rFonts w:ascii="Times New Roman" w:hAnsi="Times New Roman" w:cs="Times New Roman"/>
        </w:rPr>
        <w:t>Didžiausias</w:t>
      </w:r>
      <w:proofErr w:type="spellEnd"/>
      <w:r w:rsidRPr="00FB1B86">
        <w:rPr>
          <w:rStyle w:val="cf01"/>
          <w:rFonts w:ascii="Times New Roman" w:hAnsi="Times New Roman" w:cs="Times New Roman"/>
        </w:rPr>
        <w:t xml:space="preserve"> </w:t>
      </w:r>
      <w:proofErr w:type="spellStart"/>
      <w:r w:rsidRPr="00FB1B86">
        <w:rPr>
          <w:rStyle w:val="cf01"/>
          <w:rFonts w:ascii="Times New Roman" w:hAnsi="Times New Roman" w:cs="Times New Roman"/>
        </w:rPr>
        <w:t>galimas</w:t>
      </w:r>
      <w:proofErr w:type="spellEnd"/>
      <w:r w:rsidRPr="00FB1B86">
        <w:rPr>
          <w:rStyle w:val="cf01"/>
          <w:rFonts w:ascii="Times New Roman" w:hAnsi="Times New Roman" w:cs="Times New Roman"/>
        </w:rPr>
        <w:t xml:space="preserve"> </w:t>
      </w:r>
      <w:proofErr w:type="spellStart"/>
      <w:r w:rsidRPr="00FB1B86">
        <w:rPr>
          <w:rStyle w:val="cf01"/>
          <w:rFonts w:ascii="Times New Roman" w:hAnsi="Times New Roman" w:cs="Times New Roman"/>
        </w:rPr>
        <w:t>surinkti</w:t>
      </w:r>
      <w:proofErr w:type="spellEnd"/>
      <w:r w:rsidRPr="00FB1B86">
        <w:rPr>
          <w:rStyle w:val="cf01"/>
          <w:rFonts w:ascii="Times New Roman" w:hAnsi="Times New Roman" w:cs="Times New Roman"/>
        </w:rPr>
        <w:t xml:space="preserve"> </w:t>
      </w:r>
      <w:proofErr w:type="spellStart"/>
      <w:r w:rsidRPr="00FB1B86">
        <w:rPr>
          <w:rStyle w:val="cf01"/>
          <w:rFonts w:ascii="Times New Roman" w:hAnsi="Times New Roman" w:cs="Times New Roman"/>
        </w:rPr>
        <w:t>balų</w:t>
      </w:r>
      <w:proofErr w:type="spellEnd"/>
      <w:r w:rsidRPr="00FB1B86">
        <w:rPr>
          <w:rStyle w:val="cf01"/>
          <w:rFonts w:ascii="Times New Roman" w:hAnsi="Times New Roman" w:cs="Times New Roman"/>
        </w:rPr>
        <w:t xml:space="preserve"> </w:t>
      </w:r>
      <w:proofErr w:type="spellStart"/>
      <w:r w:rsidRPr="00FB1B86">
        <w:rPr>
          <w:rStyle w:val="cf01"/>
          <w:rFonts w:ascii="Times New Roman" w:hAnsi="Times New Roman" w:cs="Times New Roman"/>
        </w:rPr>
        <w:t>skaičius</w:t>
      </w:r>
      <w:proofErr w:type="spellEnd"/>
      <w:r w:rsidRPr="00FB1B86">
        <w:rPr>
          <w:rStyle w:val="cf01"/>
          <w:rFonts w:ascii="Times New Roman" w:hAnsi="Times New Roman" w:cs="Times New Roman"/>
        </w:rPr>
        <w:t xml:space="preserve"> – </w:t>
      </w:r>
      <w:r>
        <w:rPr>
          <w:rStyle w:val="cf01"/>
          <w:rFonts w:ascii="Times New Roman" w:hAnsi="Times New Roman" w:cs="Times New Roman"/>
        </w:rPr>
        <w:t>3</w:t>
      </w:r>
      <w:r w:rsidRPr="00FB1B86">
        <w:rPr>
          <w:rStyle w:val="cf01"/>
          <w:rFonts w:ascii="Times New Roman" w:hAnsi="Times New Roman" w:cs="Times New Roman"/>
        </w:rPr>
        <w:t>)</w:t>
      </w:r>
      <w:r>
        <w:rPr>
          <w:rFonts w:ascii="Times New Roman" w:hAnsi="Times New Roman" w:cs="Times New Roman"/>
          <w:lang w:val="lt-LT"/>
        </w:rPr>
        <w:t>.</w:t>
      </w:r>
    </w:p>
    <w:p w14:paraId="00A6E2E5" w14:textId="77777777" w:rsidR="00977173" w:rsidRDefault="00977173" w:rsidP="00D42BA6">
      <w:pPr>
        <w:pStyle w:val="Tarybosstilius"/>
        <w:tabs>
          <w:tab w:val="clear" w:pos="3640"/>
          <w:tab w:val="clear" w:pos="4373"/>
        </w:tabs>
        <w:spacing w:after="0"/>
        <w:jc w:val="both"/>
        <w:rPr>
          <w:rFonts w:ascii="Times New Roman" w:hAnsi="Times New Roman" w:cs="Times New Roman"/>
          <w:lang w:val="lt-LT"/>
        </w:rPr>
      </w:pPr>
    </w:p>
    <w:p w14:paraId="48F4177B" w14:textId="049CB8F4" w:rsidR="00977173" w:rsidRPr="00153A3E" w:rsidRDefault="00096945" w:rsidP="00977173">
      <w:pPr>
        <w:pStyle w:val="Tarybosstilius"/>
        <w:tabs>
          <w:tab w:val="clear" w:pos="3640"/>
          <w:tab w:val="clear" w:pos="4373"/>
        </w:tabs>
        <w:spacing w:after="0"/>
        <w:ind w:firstLine="720"/>
        <w:jc w:val="both"/>
        <w:rPr>
          <w:rFonts w:ascii="Times New Roman" w:hAnsi="Times New Roman" w:cs="Times New Roman"/>
          <w:lang w:val="en-US"/>
        </w:rPr>
      </w:pPr>
      <w:r>
        <w:rPr>
          <w:noProof/>
        </w:rPr>
        <w:lastRenderedPageBreak/>
        <mc:AlternateContent>
          <mc:Choice Requires="cx2">
            <w:drawing>
              <wp:anchor distT="0" distB="0" distL="114300" distR="114300" simplePos="0" relativeHeight="251664384" behindDoc="1" locked="0" layoutInCell="1" allowOverlap="1" wp14:anchorId="1EF4C403" wp14:editId="230B9EBC">
                <wp:simplePos x="0" y="0"/>
                <wp:positionH relativeFrom="margin">
                  <wp:align>right</wp:align>
                </wp:positionH>
                <wp:positionV relativeFrom="paragraph">
                  <wp:posOffset>0</wp:posOffset>
                </wp:positionV>
                <wp:extent cx="3667125" cy="2305050"/>
                <wp:effectExtent l="0" t="0" r="9525" b="0"/>
                <wp:wrapThrough wrapText="bothSides">
                  <wp:wrapPolygon edited="0">
                    <wp:start x="0" y="0"/>
                    <wp:lineTo x="0" y="21421"/>
                    <wp:lineTo x="21544" y="21421"/>
                    <wp:lineTo x="21544" y="0"/>
                    <wp:lineTo x="0" y="0"/>
                  </wp:wrapPolygon>
                </wp:wrapThrough>
                <wp:docPr id="2032277743" name="Chart 1">
                  <a:extLst xmlns:a="http://schemas.openxmlformats.org/drawingml/2006/main">
                    <a:ext uri="{FF2B5EF4-FFF2-40B4-BE49-F238E27FC236}">
                      <a16:creationId xmlns:a16="http://schemas.microsoft.com/office/drawing/2014/main" id="{6B77CE43-85B5-1243-B0E7-A445A6FB8C0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4384" behindDoc="1" locked="0" layoutInCell="1" allowOverlap="1" wp14:anchorId="1EF4C403" wp14:editId="230B9EBC">
                <wp:simplePos x="0" y="0"/>
                <wp:positionH relativeFrom="margin">
                  <wp:align>right</wp:align>
                </wp:positionH>
                <wp:positionV relativeFrom="paragraph">
                  <wp:posOffset>0</wp:posOffset>
                </wp:positionV>
                <wp:extent cx="3667125" cy="2305050"/>
                <wp:effectExtent l="0" t="0" r="9525" b="0"/>
                <wp:wrapThrough wrapText="bothSides">
                  <wp:wrapPolygon edited="0">
                    <wp:start x="0" y="0"/>
                    <wp:lineTo x="0" y="21421"/>
                    <wp:lineTo x="21544" y="21421"/>
                    <wp:lineTo x="21544" y="0"/>
                    <wp:lineTo x="0" y="0"/>
                  </wp:wrapPolygon>
                </wp:wrapThrough>
                <wp:docPr id="2032277743" name="Chart 1">
                  <a:extLst xmlns:a="http://schemas.openxmlformats.org/drawingml/2006/main">
                    <a:ext uri="{FF2B5EF4-FFF2-40B4-BE49-F238E27FC236}">
                      <a16:creationId xmlns:a16="http://schemas.microsoft.com/office/drawing/2014/main" id="{6B77CE43-85B5-1243-B0E7-A445A6FB8C0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32277743" name="Chart 1">
                          <a:extLst>
                            <a:ext uri="{FF2B5EF4-FFF2-40B4-BE49-F238E27FC236}">
                              <a16:creationId xmlns:a16="http://schemas.microsoft.com/office/drawing/2014/main" id="{6B77CE43-85B5-1243-B0E7-A445A6FB8C05}"/>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3667125" cy="230505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153A3E">
        <w:rPr>
          <w:rFonts w:ascii="Times New Roman" w:hAnsi="Times New Roman" w:cs="Times New Roman"/>
          <w:lang w:val="lt-LT"/>
        </w:rPr>
        <w:t xml:space="preserve">Šios apklausos duomenimis, galime pastebėti, jog laikui bėgant žmonių piešiančių, tapančių ar kuriančių grafikos darbus skaičius mažėja, t.y., daugiausiai piešia jauniausia amžiaus grupė </w:t>
      </w:r>
      <w:r w:rsidR="00153A3E">
        <w:rPr>
          <w:rFonts w:ascii="Times New Roman" w:hAnsi="Times New Roman" w:cs="Times New Roman"/>
          <w:lang w:val="en-US"/>
        </w:rPr>
        <w:t>15-19 met</w:t>
      </w:r>
      <w:r w:rsidR="00153A3E">
        <w:rPr>
          <w:rFonts w:ascii="Times New Roman" w:hAnsi="Times New Roman" w:cs="Times New Roman"/>
          <w:lang w:val="lt-LT"/>
        </w:rPr>
        <w:t>ų asmenys (</w:t>
      </w:r>
      <w:r w:rsidR="00153A3E">
        <w:rPr>
          <w:rFonts w:ascii="Times New Roman" w:hAnsi="Times New Roman" w:cs="Times New Roman"/>
          <w:lang w:val="en-US"/>
        </w:rPr>
        <w:t xml:space="preserve">35 %) </w:t>
      </w:r>
      <w:proofErr w:type="spellStart"/>
      <w:r w:rsidR="00153A3E">
        <w:rPr>
          <w:rFonts w:ascii="Times New Roman" w:hAnsi="Times New Roman" w:cs="Times New Roman"/>
          <w:lang w:val="en-US"/>
        </w:rPr>
        <w:t>ir</w:t>
      </w:r>
      <w:proofErr w:type="spellEnd"/>
      <w:r w:rsidR="00153A3E">
        <w:rPr>
          <w:rFonts w:ascii="Times New Roman" w:hAnsi="Times New Roman" w:cs="Times New Roman"/>
          <w:lang w:val="en-US"/>
        </w:rPr>
        <w:t xml:space="preserve"> </w:t>
      </w:r>
      <w:r w:rsidR="00153A3E">
        <w:rPr>
          <w:rFonts w:ascii="Times New Roman" w:hAnsi="Times New Roman" w:cs="Times New Roman"/>
          <w:lang w:val="lt-LT"/>
        </w:rPr>
        <w:t xml:space="preserve">šis rodiklis kitose amžiaus grupėse tik mažėja, </w:t>
      </w:r>
      <w:r w:rsidR="00153A3E">
        <w:rPr>
          <w:rFonts w:ascii="Times New Roman" w:hAnsi="Times New Roman" w:cs="Times New Roman"/>
          <w:lang w:val="en-US"/>
        </w:rPr>
        <w:t xml:space="preserve">20-29 </w:t>
      </w:r>
      <w:r w:rsidR="00153A3E">
        <w:rPr>
          <w:rFonts w:ascii="Times New Roman" w:hAnsi="Times New Roman" w:cs="Times New Roman"/>
          <w:lang w:val="lt-LT"/>
        </w:rPr>
        <w:t>metų amžiaus grupėje tapo – 2</w:t>
      </w:r>
      <w:r w:rsidR="00153A3E">
        <w:rPr>
          <w:rFonts w:ascii="Times New Roman" w:hAnsi="Times New Roman" w:cs="Times New Roman"/>
          <w:lang w:val="en-US"/>
        </w:rPr>
        <w:t xml:space="preserve">2 %, 30-39 </w:t>
      </w:r>
      <w:r w:rsidR="00153A3E">
        <w:rPr>
          <w:rFonts w:ascii="Times New Roman" w:hAnsi="Times New Roman" w:cs="Times New Roman"/>
          <w:lang w:val="lt-LT"/>
        </w:rPr>
        <w:t xml:space="preserve">metų – </w:t>
      </w:r>
      <w:r w:rsidR="00153A3E">
        <w:rPr>
          <w:rFonts w:ascii="Times New Roman" w:hAnsi="Times New Roman" w:cs="Times New Roman"/>
          <w:lang w:val="en-US"/>
        </w:rPr>
        <w:t>14%, 40-49 met</w:t>
      </w:r>
      <w:r w:rsidR="00153A3E">
        <w:rPr>
          <w:rFonts w:ascii="Times New Roman" w:hAnsi="Times New Roman" w:cs="Times New Roman"/>
          <w:lang w:val="lt-LT"/>
        </w:rPr>
        <w:t>ų – 1</w:t>
      </w:r>
      <w:r w:rsidR="00153A3E">
        <w:rPr>
          <w:rFonts w:ascii="Times New Roman" w:hAnsi="Times New Roman" w:cs="Times New Roman"/>
          <w:lang w:val="en-US"/>
        </w:rPr>
        <w:t>0 %, 50-59 met</w:t>
      </w:r>
      <w:r w:rsidR="00153A3E">
        <w:rPr>
          <w:rFonts w:ascii="Times New Roman" w:hAnsi="Times New Roman" w:cs="Times New Roman"/>
          <w:lang w:val="lt-LT"/>
        </w:rPr>
        <w:t xml:space="preserve">ų – 8 %, 60-69 metų – </w:t>
      </w:r>
      <w:r w:rsidR="00153A3E">
        <w:rPr>
          <w:rFonts w:ascii="Times New Roman" w:hAnsi="Times New Roman" w:cs="Times New Roman"/>
          <w:lang w:val="en-US"/>
        </w:rPr>
        <w:t>6 %</w:t>
      </w:r>
      <w:r w:rsidR="00153A3E">
        <w:rPr>
          <w:rFonts w:ascii="Times New Roman" w:hAnsi="Times New Roman" w:cs="Times New Roman"/>
          <w:lang w:val="lt-LT"/>
        </w:rPr>
        <w:t xml:space="preserve"> ir iš 70 ir vyresnio amžiaus gyventojų šia veikla užsiima tik 5 %. Tai gali įtakoti daug skirtingų išorės veiksnių, prastas darbo ir gyvenimo balansas, šios veiklos kaip pomėgio atsisakymas ir pan., tačiau verta pažymėti, tai jog, net ir vyresnio amžiaus žmonės, kurie turėtų turėti daugiau laisvo laiko šia veikla neužsiima, galbūt šių amžiaus grupių įtraukimas į socialines veiklas susijusias su tapyba, piešimu ar grafikos darbų kūryba galėtų paskatinti daugiau vyresnio amžiaus žmonių užsiimti šia veikla.</w:t>
      </w:r>
      <w:r w:rsidR="00991421">
        <w:rPr>
          <w:rFonts w:ascii="Times New Roman" w:hAnsi="Times New Roman" w:cs="Times New Roman"/>
          <w:lang w:val="lt-LT"/>
        </w:rPr>
        <w:t xml:space="preserve"> Prieš tai analizuotas LKT projektas galėtų puikiai prisidėti prie tokių iniciatyvų skatinimo, senyvo amžiaus gyventojų slaugos namuose ar viešose erdvėse, kurios būtų prieinamos ne tik vyresnio amžiaus žmonėms, bet ir visiems norintiems.</w:t>
      </w:r>
    </w:p>
    <w:p w14:paraId="4410DC4D" w14:textId="27CB0830" w:rsidR="00D42BA6" w:rsidRPr="00A43F9F" w:rsidRDefault="00153A3E" w:rsidP="00F5110A">
      <w:pPr>
        <w:pStyle w:val="Tarybosstilius"/>
        <w:spacing w:after="120"/>
        <w:jc w:val="both"/>
        <w:rPr>
          <w:rFonts w:ascii="Times New Roman" w:hAnsi="Times New Roman" w:cs="Times New Roman"/>
          <w:bCs/>
          <w:lang w:val="lt-LT"/>
        </w:rPr>
      </w:pPr>
      <w:r>
        <w:rPr>
          <w:rFonts w:ascii="Times New Roman" w:hAnsi="Times New Roman" w:cs="Times New Roman"/>
          <w:bCs/>
          <w:lang w:val="lt-LT"/>
        </w:rPr>
        <w:t xml:space="preserve"> </w:t>
      </w:r>
    </w:p>
    <w:sectPr w:rsidR="00D42BA6" w:rsidRPr="00A43F9F">
      <w:headerReference w:type="default" r:id="rId13"/>
      <w:pgSz w:w="12240" w:h="15840"/>
      <w:pgMar w:top="1701"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A9182" w14:textId="77777777" w:rsidR="0066158A" w:rsidRPr="00B92532" w:rsidRDefault="0066158A" w:rsidP="00C62B00">
      <w:pPr>
        <w:spacing w:after="0" w:line="240" w:lineRule="auto"/>
      </w:pPr>
      <w:r w:rsidRPr="00B92532">
        <w:separator/>
      </w:r>
    </w:p>
  </w:endnote>
  <w:endnote w:type="continuationSeparator" w:id="0">
    <w:p w14:paraId="3BB5DAB2" w14:textId="77777777" w:rsidR="0066158A" w:rsidRPr="00B92532" w:rsidRDefault="0066158A" w:rsidP="00C62B00">
      <w:pPr>
        <w:spacing w:after="0" w:line="240" w:lineRule="auto"/>
      </w:pPr>
      <w:r w:rsidRPr="00B9253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BA"/>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BA"/>
    <w:family w:val="roman"/>
    <w:pitch w:val="variable"/>
    <w:sig w:usb0="00000287" w:usb1="00000000" w:usb2="00000000" w:usb3="00000000" w:csb0="0000009F" w:csb1="00000000"/>
  </w:font>
  <w:font w:name="Segoe UI">
    <w:panose1 w:val="020B0502040204020203"/>
    <w:charset w:val="BA"/>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17370" w14:textId="77777777" w:rsidR="0066158A" w:rsidRPr="00B92532" w:rsidRDefault="0066158A" w:rsidP="00C62B00">
      <w:pPr>
        <w:spacing w:after="0" w:line="240" w:lineRule="auto"/>
      </w:pPr>
      <w:r w:rsidRPr="00B92532">
        <w:separator/>
      </w:r>
    </w:p>
  </w:footnote>
  <w:footnote w:type="continuationSeparator" w:id="0">
    <w:p w14:paraId="57C67989" w14:textId="77777777" w:rsidR="0066158A" w:rsidRPr="00B92532" w:rsidRDefault="0066158A" w:rsidP="00C62B00">
      <w:pPr>
        <w:spacing w:after="0" w:line="240" w:lineRule="auto"/>
      </w:pPr>
      <w:r w:rsidRPr="00B92532">
        <w:continuationSeparator/>
      </w:r>
    </w:p>
  </w:footnote>
  <w:footnote w:id="1">
    <w:p w14:paraId="411DF417" w14:textId="77777777" w:rsidR="007358C9" w:rsidRPr="007358C9" w:rsidRDefault="007358C9" w:rsidP="007358C9">
      <w:pPr>
        <w:pStyle w:val="FootnoteText"/>
        <w:rPr>
          <w:lang w:val="en-US"/>
        </w:rPr>
      </w:pPr>
      <w:r>
        <w:rPr>
          <w:rStyle w:val="FootnoteReference"/>
        </w:rPr>
        <w:footnoteRef/>
      </w:r>
      <w:r>
        <w:t xml:space="preserve"> </w:t>
      </w:r>
      <w:r w:rsidRPr="007358C9">
        <w:rPr>
          <w:sz w:val="16"/>
          <w:szCs w:val="16"/>
          <w:lang w:val="lt-LT"/>
        </w:rPr>
        <w:t>Visos vizualizacijos ir skaičiavimai pateikti pridedamuose Excel faile ir Power BI prietaisų skydelyje, siekiant išsamiai ir interaktyviai pateikti analizę.</w:t>
      </w:r>
      <w:r>
        <w:rPr>
          <w:sz w:val="16"/>
          <w:szCs w:val="16"/>
          <w:lang w:val="lt-LT"/>
        </w:rPr>
        <w:t xml:space="preserve">(Nuoroda: </w:t>
      </w:r>
    </w:p>
  </w:footnote>
  <w:footnote w:id="2">
    <w:p w14:paraId="0843F9F8" w14:textId="5CED2C74" w:rsidR="007358C9" w:rsidRDefault="007358C9">
      <w:pPr>
        <w:pStyle w:val="FootnoteText"/>
        <w:rPr>
          <w:sz w:val="16"/>
          <w:szCs w:val="16"/>
          <w:lang w:val="en-US"/>
        </w:rPr>
      </w:pPr>
      <w:r>
        <w:rPr>
          <w:rStyle w:val="FootnoteReference"/>
        </w:rPr>
        <w:footnoteRef/>
      </w:r>
      <w:proofErr w:type="spellStart"/>
      <w:r w:rsidRPr="007358C9">
        <w:rPr>
          <w:sz w:val="16"/>
          <w:szCs w:val="16"/>
          <w:lang w:val="en-US"/>
        </w:rPr>
        <w:t>Oficialiosios</w:t>
      </w:r>
      <w:proofErr w:type="spellEnd"/>
      <w:r w:rsidRPr="007358C9">
        <w:rPr>
          <w:sz w:val="16"/>
          <w:szCs w:val="16"/>
          <w:lang w:val="en-US"/>
        </w:rPr>
        <w:t xml:space="preserve"> </w:t>
      </w:r>
      <w:proofErr w:type="spellStart"/>
      <w:r w:rsidRPr="007358C9">
        <w:rPr>
          <w:sz w:val="16"/>
          <w:szCs w:val="16"/>
          <w:lang w:val="en-US"/>
        </w:rPr>
        <w:t>Statistikos</w:t>
      </w:r>
      <w:proofErr w:type="spellEnd"/>
      <w:r w:rsidRPr="007358C9">
        <w:rPr>
          <w:sz w:val="16"/>
          <w:szCs w:val="16"/>
          <w:lang w:val="en-US"/>
        </w:rPr>
        <w:t xml:space="preserve"> </w:t>
      </w:r>
      <w:proofErr w:type="spellStart"/>
      <w:r w:rsidRPr="007358C9">
        <w:rPr>
          <w:sz w:val="16"/>
          <w:szCs w:val="16"/>
          <w:lang w:val="en-US"/>
        </w:rPr>
        <w:t>Portalas</w:t>
      </w:r>
      <w:proofErr w:type="spellEnd"/>
      <w:r w:rsidRPr="007358C9">
        <w:rPr>
          <w:sz w:val="16"/>
          <w:szCs w:val="16"/>
          <w:lang w:val="en-US"/>
        </w:rPr>
        <w:t xml:space="preserve"> (</w:t>
      </w:r>
      <w:proofErr w:type="spellStart"/>
      <w:r w:rsidRPr="007358C9">
        <w:rPr>
          <w:sz w:val="16"/>
          <w:szCs w:val="16"/>
          <w:lang w:val="en-US"/>
        </w:rPr>
        <w:t>Nuoroda</w:t>
      </w:r>
      <w:proofErr w:type="spellEnd"/>
      <w:r w:rsidRPr="007358C9">
        <w:rPr>
          <w:sz w:val="16"/>
          <w:szCs w:val="16"/>
          <w:lang w:val="en-US"/>
        </w:rPr>
        <w:t xml:space="preserve">: </w:t>
      </w:r>
      <w:hyperlink r:id="rId1" w:history="1">
        <w:r w:rsidRPr="007358C9">
          <w:rPr>
            <w:rStyle w:val="Hyperlink"/>
            <w:sz w:val="16"/>
            <w:szCs w:val="16"/>
            <w:lang w:val="en-US"/>
          </w:rPr>
          <w:t>https://osp.stat.gov.lt/lt/statistiniu-rodikliu-analize?hash=4643e5a5-3739-4997-81b2-66881d2949f8#/</w:t>
        </w:r>
      </w:hyperlink>
      <w:r w:rsidRPr="007358C9">
        <w:rPr>
          <w:sz w:val="16"/>
          <w:szCs w:val="16"/>
          <w:lang w:val="en-US"/>
        </w:rPr>
        <w:t>)</w:t>
      </w:r>
    </w:p>
    <w:p w14:paraId="2346B046" w14:textId="77777777" w:rsidR="007358C9" w:rsidRPr="007358C9" w:rsidRDefault="007358C9">
      <w:pPr>
        <w:pStyle w:val="FootnoteText"/>
        <w:rPr>
          <w:lang w:val="en-US"/>
        </w:rPr>
      </w:pPr>
    </w:p>
  </w:footnote>
  <w:footnote w:id="3">
    <w:p w14:paraId="36DEC024" w14:textId="5DF5DDBF" w:rsidR="007358C9" w:rsidRPr="007358C9" w:rsidRDefault="007358C9" w:rsidP="00F5110A">
      <w:pPr>
        <w:pStyle w:val="FootnoteText"/>
        <w:rPr>
          <w:rFonts w:asciiTheme="majorHAnsi" w:hAnsiTheme="majorHAnsi" w:cs="Times New Roman"/>
          <w:sz w:val="16"/>
          <w:szCs w:val="16"/>
        </w:rPr>
      </w:pPr>
      <w:r w:rsidRPr="007358C9">
        <w:rPr>
          <w:rStyle w:val="FootnoteReference"/>
          <w:rFonts w:asciiTheme="majorHAnsi" w:hAnsiTheme="majorHAnsi"/>
          <w:sz w:val="16"/>
          <w:szCs w:val="16"/>
        </w:rPr>
        <w:footnoteRef/>
      </w:r>
      <w:hyperlink r:id="rId2" w:history="1">
        <w:r w:rsidRPr="007358C9">
          <w:rPr>
            <w:rStyle w:val="Hyperlink"/>
            <w:rFonts w:asciiTheme="majorHAnsi" w:hAnsiTheme="majorHAnsi" w:cs="Times New Roman"/>
            <w:sz w:val="16"/>
            <w:szCs w:val="16"/>
          </w:rPr>
          <w:t>https://atvira.sodra.lt/lt-eur/</w:t>
        </w:r>
      </w:hyperlink>
    </w:p>
    <w:p w14:paraId="0EB76D0A" w14:textId="77777777" w:rsidR="007358C9" w:rsidRDefault="007358C9" w:rsidP="00F5110A">
      <w:pPr>
        <w:pStyle w:val="FootnoteText"/>
        <w:rPr>
          <w:rFonts w:ascii="Times New Roman" w:hAnsi="Times New Roman" w:cs="Times New Roman"/>
        </w:rPr>
      </w:pPr>
    </w:p>
    <w:p w14:paraId="71AEAAED" w14:textId="77777777" w:rsidR="007358C9" w:rsidRDefault="007358C9" w:rsidP="00F5110A">
      <w:pPr>
        <w:pStyle w:val="FootnoteText"/>
        <w:rPr>
          <w:rFonts w:ascii="Times New Roman" w:hAnsi="Times New Roman" w:cs="Times New Roman"/>
        </w:rPr>
      </w:pPr>
    </w:p>
    <w:p w14:paraId="55A95867" w14:textId="47CFB234" w:rsidR="007358C9" w:rsidRPr="00991421" w:rsidRDefault="007358C9" w:rsidP="00F5110A">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80562" w14:textId="77777777" w:rsidR="00C62B00" w:rsidRPr="00B92532" w:rsidRDefault="00C62B00" w:rsidP="00C62B00">
    <w:pPr>
      <w:tabs>
        <w:tab w:val="center" w:pos="4513"/>
        <w:tab w:val="right" w:pos="9026"/>
      </w:tabs>
      <w:spacing w:after="0" w:line="240" w:lineRule="auto"/>
      <w:ind w:left="2694"/>
      <w:rPr>
        <w:rFonts w:ascii="Georgia" w:eastAsia="Georgia" w:hAnsi="Georgia" w:cs="Times New Roman"/>
        <w:b/>
        <w:bCs/>
        <w:color w:val="C4BC96"/>
        <w:sz w:val="18"/>
        <w:szCs w:val="18"/>
      </w:rPr>
    </w:pPr>
    <w:r w:rsidRPr="00B92532">
      <w:rPr>
        <w:rFonts w:ascii="Georgia" w:eastAsia="Georgia" w:hAnsi="Georgia" w:cs="Times New Roman"/>
        <w:b/>
        <w:bCs/>
        <w:noProof/>
        <w:color w:val="C4BC96"/>
        <w:sz w:val="18"/>
        <w:szCs w:val="18"/>
      </w:rPr>
      <w:drawing>
        <wp:anchor distT="0" distB="0" distL="114300" distR="114300" simplePos="0" relativeHeight="251659264" behindDoc="0" locked="0" layoutInCell="1" allowOverlap="1" wp14:anchorId="5DB80A30" wp14:editId="786BBE22">
          <wp:simplePos x="0" y="0"/>
          <wp:positionH relativeFrom="column">
            <wp:posOffset>-11336</wp:posOffset>
          </wp:positionH>
          <wp:positionV relativeFrom="paragraph">
            <wp:posOffset>-68580</wp:posOffset>
          </wp:positionV>
          <wp:extent cx="1371600" cy="537978"/>
          <wp:effectExtent l="0" t="0" r="0" b="0"/>
          <wp:wrapNone/>
          <wp:docPr id="54247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28568" name="Picture 2124528568"/>
                  <pic:cNvPicPr/>
                </pic:nvPicPr>
                <pic:blipFill>
                  <a:blip r:embed="rId1">
                    <a:extLst>
                      <a:ext uri="{28A0092B-C50C-407E-A947-70E740481C1C}">
                        <a14:useLocalDpi xmlns:a14="http://schemas.microsoft.com/office/drawing/2010/main" val="0"/>
                      </a:ext>
                    </a:extLst>
                  </a:blip>
                  <a:stretch>
                    <a:fillRect/>
                  </a:stretch>
                </pic:blipFill>
                <pic:spPr>
                  <a:xfrm>
                    <a:off x="0" y="0"/>
                    <a:ext cx="1371600" cy="537978"/>
                  </a:xfrm>
                  <a:prstGeom prst="rect">
                    <a:avLst/>
                  </a:prstGeom>
                </pic:spPr>
              </pic:pic>
            </a:graphicData>
          </a:graphic>
          <wp14:sizeRelH relativeFrom="page">
            <wp14:pctWidth>0</wp14:pctWidth>
          </wp14:sizeRelH>
          <wp14:sizeRelV relativeFrom="page">
            <wp14:pctHeight>0</wp14:pctHeight>
          </wp14:sizeRelV>
        </wp:anchor>
      </w:drawing>
    </w:r>
    <w:r w:rsidRPr="00B92532">
      <w:rPr>
        <w:rFonts w:ascii="Georgia" w:eastAsia="Georgia" w:hAnsi="Georgia" w:cs="Times New Roman"/>
        <w:color w:val="C4BC96"/>
        <w:sz w:val="18"/>
        <w:szCs w:val="18"/>
      </w:rPr>
      <w:t xml:space="preserve">Biudžetinė įstaiga, Lietuvos kultūros taryba. Naugarduko g. 10, 01309 Vilnius, tel.+ 370 618 21 460, el. p. </w:t>
    </w:r>
    <w:hyperlink r:id="rId2" w:history="1">
      <w:r w:rsidRPr="00B92532">
        <w:rPr>
          <w:rFonts w:ascii="Georgia" w:eastAsia="Georgia" w:hAnsi="Georgia" w:cs="Times New Roman"/>
          <w:color w:val="C4BC96"/>
          <w:sz w:val="18"/>
          <w:szCs w:val="18"/>
          <w:u w:val="single"/>
        </w:rPr>
        <w:t>info@ltkt.lt</w:t>
      </w:r>
    </w:hyperlink>
    <w:r w:rsidRPr="00B92532">
      <w:rPr>
        <w:rFonts w:ascii="Georgia" w:eastAsia="Georgia" w:hAnsi="Georgia" w:cs="Times New Roman"/>
        <w:color w:val="C4BC96"/>
        <w:sz w:val="18"/>
        <w:szCs w:val="18"/>
      </w:rPr>
      <w:t>.</w:t>
    </w:r>
  </w:p>
  <w:p w14:paraId="508371F8" w14:textId="77777777" w:rsidR="00C62B00" w:rsidRPr="00B92532" w:rsidRDefault="00C62B00" w:rsidP="00C62B00">
    <w:pPr>
      <w:tabs>
        <w:tab w:val="center" w:pos="4513"/>
        <w:tab w:val="right" w:pos="9026"/>
      </w:tabs>
      <w:spacing w:after="0" w:line="240" w:lineRule="auto"/>
      <w:ind w:left="2694"/>
      <w:rPr>
        <w:rFonts w:ascii="Georgia" w:eastAsia="Georgia" w:hAnsi="Georgia" w:cs="Times New Roman"/>
        <w:b/>
        <w:bCs/>
        <w:color w:val="C4BC96"/>
        <w:sz w:val="18"/>
        <w:szCs w:val="18"/>
      </w:rPr>
    </w:pPr>
    <w:r w:rsidRPr="00B92532">
      <w:rPr>
        <w:rFonts w:ascii="Georgia" w:eastAsia="Georgia" w:hAnsi="Georgia" w:cs="Times New Roman"/>
        <w:color w:val="C4BC96"/>
        <w:sz w:val="18"/>
        <w:szCs w:val="18"/>
      </w:rPr>
      <w:t>Duomenys kaupiami ir saugomi Juridinių asmenų registre, kodas 302951857.</w:t>
    </w:r>
  </w:p>
  <w:p w14:paraId="5968422F" w14:textId="3D2FC5E7" w:rsidR="00C62B00" w:rsidRPr="00B92532" w:rsidRDefault="00C62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006F"/>
    <w:multiLevelType w:val="hybridMultilevel"/>
    <w:tmpl w:val="7E703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93D72"/>
    <w:multiLevelType w:val="hybridMultilevel"/>
    <w:tmpl w:val="FD9E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62492002">
    <w:abstractNumId w:val="1"/>
  </w:num>
  <w:num w:numId="2" w16cid:durableId="145524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AF"/>
    <w:rsid w:val="000473BC"/>
    <w:rsid w:val="000636D0"/>
    <w:rsid w:val="00075E9C"/>
    <w:rsid w:val="00096945"/>
    <w:rsid w:val="00097D9A"/>
    <w:rsid w:val="000D1D8C"/>
    <w:rsid w:val="000E4B05"/>
    <w:rsid w:val="001343B8"/>
    <w:rsid w:val="00153A3E"/>
    <w:rsid w:val="001E0242"/>
    <w:rsid w:val="001E6EA2"/>
    <w:rsid w:val="00215158"/>
    <w:rsid w:val="0022561A"/>
    <w:rsid w:val="00277FCE"/>
    <w:rsid w:val="002953F5"/>
    <w:rsid w:val="002D12D2"/>
    <w:rsid w:val="0037018E"/>
    <w:rsid w:val="003E5ED7"/>
    <w:rsid w:val="004013F0"/>
    <w:rsid w:val="00433939"/>
    <w:rsid w:val="00456AED"/>
    <w:rsid w:val="004E7707"/>
    <w:rsid w:val="00547E92"/>
    <w:rsid w:val="0055225D"/>
    <w:rsid w:val="005E61F7"/>
    <w:rsid w:val="00604535"/>
    <w:rsid w:val="0066158A"/>
    <w:rsid w:val="00671D25"/>
    <w:rsid w:val="006D553C"/>
    <w:rsid w:val="00707077"/>
    <w:rsid w:val="007358C9"/>
    <w:rsid w:val="007D003E"/>
    <w:rsid w:val="00977173"/>
    <w:rsid w:val="00991421"/>
    <w:rsid w:val="009A66AF"/>
    <w:rsid w:val="009E1180"/>
    <w:rsid w:val="00A245A4"/>
    <w:rsid w:val="00A43F9F"/>
    <w:rsid w:val="00B92532"/>
    <w:rsid w:val="00B97F16"/>
    <w:rsid w:val="00C62B00"/>
    <w:rsid w:val="00CB77FB"/>
    <w:rsid w:val="00CC1823"/>
    <w:rsid w:val="00D42BA6"/>
    <w:rsid w:val="00D648B8"/>
    <w:rsid w:val="00E13A61"/>
    <w:rsid w:val="00F5110A"/>
    <w:rsid w:val="00FE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4A98D"/>
  <w15:chartTrackingRefBased/>
  <w15:docId w15:val="{A26BEB29-CA65-446D-9C09-E4E204E8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9A6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6AF"/>
    <w:rPr>
      <w:rFonts w:eastAsiaTheme="majorEastAsia" w:cstheme="majorBidi"/>
      <w:color w:val="272727" w:themeColor="text1" w:themeTint="D8"/>
    </w:rPr>
  </w:style>
  <w:style w:type="paragraph" w:styleId="Title">
    <w:name w:val="Title"/>
    <w:basedOn w:val="Normal"/>
    <w:next w:val="Normal"/>
    <w:link w:val="TitleChar"/>
    <w:uiPriority w:val="10"/>
    <w:qFormat/>
    <w:rsid w:val="009A6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6AF"/>
    <w:pPr>
      <w:spacing w:before="160"/>
      <w:jc w:val="center"/>
    </w:pPr>
    <w:rPr>
      <w:i/>
      <w:iCs/>
      <w:color w:val="404040" w:themeColor="text1" w:themeTint="BF"/>
    </w:rPr>
  </w:style>
  <w:style w:type="character" w:customStyle="1" w:styleId="QuoteChar">
    <w:name w:val="Quote Char"/>
    <w:basedOn w:val="DefaultParagraphFont"/>
    <w:link w:val="Quote"/>
    <w:uiPriority w:val="29"/>
    <w:rsid w:val="009A66AF"/>
    <w:rPr>
      <w:i/>
      <w:iCs/>
      <w:color w:val="404040" w:themeColor="text1" w:themeTint="BF"/>
    </w:rPr>
  </w:style>
  <w:style w:type="paragraph" w:styleId="ListParagraph">
    <w:name w:val="List Paragraph"/>
    <w:basedOn w:val="Normal"/>
    <w:uiPriority w:val="34"/>
    <w:qFormat/>
    <w:rsid w:val="009A66AF"/>
    <w:pPr>
      <w:ind w:left="720"/>
      <w:contextualSpacing/>
    </w:pPr>
  </w:style>
  <w:style w:type="character" w:styleId="IntenseEmphasis">
    <w:name w:val="Intense Emphasis"/>
    <w:basedOn w:val="DefaultParagraphFont"/>
    <w:uiPriority w:val="21"/>
    <w:qFormat/>
    <w:rsid w:val="009A66AF"/>
    <w:rPr>
      <w:i/>
      <w:iCs/>
      <w:color w:val="0F4761" w:themeColor="accent1" w:themeShade="BF"/>
    </w:rPr>
  </w:style>
  <w:style w:type="paragraph" w:styleId="IntenseQuote">
    <w:name w:val="Intense Quote"/>
    <w:basedOn w:val="Normal"/>
    <w:next w:val="Normal"/>
    <w:link w:val="IntenseQuoteChar"/>
    <w:uiPriority w:val="30"/>
    <w:qFormat/>
    <w:rsid w:val="009A6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6AF"/>
    <w:rPr>
      <w:i/>
      <w:iCs/>
      <w:color w:val="0F4761" w:themeColor="accent1" w:themeShade="BF"/>
    </w:rPr>
  </w:style>
  <w:style w:type="character" w:styleId="IntenseReference">
    <w:name w:val="Intense Reference"/>
    <w:basedOn w:val="DefaultParagraphFont"/>
    <w:uiPriority w:val="32"/>
    <w:qFormat/>
    <w:rsid w:val="009A66AF"/>
    <w:rPr>
      <w:b/>
      <w:bCs/>
      <w:smallCaps/>
      <w:color w:val="0F4761" w:themeColor="accent1" w:themeShade="BF"/>
      <w:spacing w:val="5"/>
    </w:rPr>
  </w:style>
  <w:style w:type="paragraph" w:styleId="Header">
    <w:name w:val="header"/>
    <w:basedOn w:val="Normal"/>
    <w:link w:val="HeaderChar"/>
    <w:uiPriority w:val="99"/>
    <w:unhideWhenUsed/>
    <w:rsid w:val="00C62B00"/>
    <w:pPr>
      <w:tabs>
        <w:tab w:val="center" w:pos="4986"/>
        <w:tab w:val="right" w:pos="9972"/>
      </w:tabs>
      <w:spacing w:after="0" w:line="240" w:lineRule="auto"/>
    </w:pPr>
  </w:style>
  <w:style w:type="character" w:customStyle="1" w:styleId="HeaderChar">
    <w:name w:val="Header Char"/>
    <w:basedOn w:val="DefaultParagraphFont"/>
    <w:link w:val="Header"/>
    <w:uiPriority w:val="99"/>
    <w:rsid w:val="00C62B00"/>
  </w:style>
  <w:style w:type="paragraph" w:styleId="Footer">
    <w:name w:val="footer"/>
    <w:basedOn w:val="Normal"/>
    <w:link w:val="FooterChar"/>
    <w:uiPriority w:val="99"/>
    <w:unhideWhenUsed/>
    <w:rsid w:val="00C62B00"/>
    <w:pPr>
      <w:tabs>
        <w:tab w:val="center" w:pos="4986"/>
        <w:tab w:val="right" w:pos="9972"/>
      </w:tabs>
      <w:spacing w:after="0" w:line="240" w:lineRule="auto"/>
    </w:pPr>
  </w:style>
  <w:style w:type="character" w:customStyle="1" w:styleId="FooterChar">
    <w:name w:val="Footer Char"/>
    <w:basedOn w:val="DefaultParagraphFont"/>
    <w:link w:val="Footer"/>
    <w:uiPriority w:val="99"/>
    <w:rsid w:val="00C62B00"/>
  </w:style>
  <w:style w:type="character" w:styleId="Hyperlink">
    <w:name w:val="Hyperlink"/>
    <w:basedOn w:val="DefaultParagraphFont"/>
    <w:uiPriority w:val="99"/>
    <w:unhideWhenUsed/>
    <w:rsid w:val="0022561A"/>
    <w:rPr>
      <w:color w:val="467886" w:themeColor="hyperlink"/>
      <w:u w:val="single"/>
    </w:rPr>
  </w:style>
  <w:style w:type="character" w:styleId="UnresolvedMention">
    <w:name w:val="Unresolved Mention"/>
    <w:basedOn w:val="DefaultParagraphFont"/>
    <w:uiPriority w:val="99"/>
    <w:semiHidden/>
    <w:unhideWhenUsed/>
    <w:rsid w:val="0022561A"/>
    <w:rPr>
      <w:color w:val="605E5C"/>
      <w:shd w:val="clear" w:color="auto" w:fill="E1DFDD"/>
    </w:rPr>
  </w:style>
  <w:style w:type="paragraph" w:customStyle="1" w:styleId="Tarybosstilius">
    <w:name w:val="Tarybos stilius"/>
    <w:basedOn w:val="Normal"/>
    <w:link w:val="TarybosstiliusChar"/>
    <w:qFormat/>
    <w:rsid w:val="00F5110A"/>
    <w:pPr>
      <w:widowControl w:val="0"/>
      <w:tabs>
        <w:tab w:val="left" w:pos="3640"/>
        <w:tab w:val="left" w:pos="4373"/>
      </w:tabs>
      <w:autoSpaceDE w:val="0"/>
      <w:autoSpaceDN w:val="0"/>
      <w:adjustRightInd w:val="0"/>
      <w:spacing w:after="240" w:line="240" w:lineRule="auto"/>
    </w:pPr>
    <w:rPr>
      <w:rFonts w:ascii="Georgia" w:eastAsiaTheme="minorEastAsia" w:hAnsi="Georgia"/>
      <w:kern w:val="0"/>
      <w:lang w:val="en-GB"/>
      <w14:ligatures w14:val="none"/>
    </w:rPr>
  </w:style>
  <w:style w:type="character" w:customStyle="1" w:styleId="Tarybosstiliusbold">
    <w:name w:val="Tarybos stilius bold"/>
    <w:basedOn w:val="DefaultParagraphFont"/>
    <w:uiPriority w:val="1"/>
    <w:rsid w:val="00F5110A"/>
    <w:rPr>
      <w:rFonts w:ascii="Georgia" w:hAnsi="Georgia"/>
      <w:b/>
      <w:color w:val="auto"/>
      <w:sz w:val="24"/>
    </w:rPr>
  </w:style>
  <w:style w:type="character" w:customStyle="1" w:styleId="TarybosstiliusChar">
    <w:name w:val="Tarybos stilius Char"/>
    <w:basedOn w:val="DefaultParagraphFont"/>
    <w:link w:val="Tarybosstilius"/>
    <w:rsid w:val="00F5110A"/>
    <w:rPr>
      <w:rFonts w:ascii="Georgia" w:eastAsiaTheme="minorEastAsia" w:hAnsi="Georgia"/>
      <w:kern w:val="0"/>
      <w:lang w:val="en-GB"/>
      <w14:ligatures w14:val="none"/>
    </w:rPr>
  </w:style>
  <w:style w:type="paragraph" w:styleId="FootnoteText">
    <w:name w:val="footnote text"/>
    <w:basedOn w:val="Normal"/>
    <w:link w:val="FootnoteTextChar"/>
    <w:uiPriority w:val="99"/>
    <w:semiHidden/>
    <w:unhideWhenUsed/>
    <w:rsid w:val="00F5110A"/>
    <w:pPr>
      <w:spacing w:after="0" w:line="240" w:lineRule="auto"/>
    </w:pPr>
    <w:rPr>
      <w:rFonts w:eastAsiaTheme="minorEastAsia"/>
      <w:kern w:val="0"/>
      <w:sz w:val="20"/>
      <w:szCs w:val="20"/>
      <w:lang w:val="en-GB"/>
      <w14:ligatures w14:val="none"/>
    </w:rPr>
  </w:style>
  <w:style w:type="character" w:customStyle="1" w:styleId="FootnoteTextChar">
    <w:name w:val="Footnote Text Char"/>
    <w:basedOn w:val="DefaultParagraphFont"/>
    <w:link w:val="FootnoteText"/>
    <w:uiPriority w:val="99"/>
    <w:semiHidden/>
    <w:rsid w:val="00F5110A"/>
    <w:rPr>
      <w:rFonts w:eastAsiaTheme="minorEastAsia"/>
      <w:kern w:val="0"/>
      <w:sz w:val="20"/>
      <w:szCs w:val="20"/>
      <w:lang w:val="en-GB"/>
      <w14:ligatures w14:val="none"/>
    </w:rPr>
  </w:style>
  <w:style w:type="character" w:styleId="FootnoteReference">
    <w:name w:val="footnote reference"/>
    <w:basedOn w:val="DefaultParagraphFont"/>
    <w:uiPriority w:val="99"/>
    <w:semiHidden/>
    <w:unhideWhenUsed/>
    <w:rsid w:val="00F5110A"/>
    <w:rPr>
      <w:vertAlign w:val="superscript"/>
    </w:rPr>
  </w:style>
  <w:style w:type="character" w:customStyle="1" w:styleId="cf01">
    <w:name w:val="cf01"/>
    <w:basedOn w:val="DefaultParagraphFont"/>
    <w:rsid w:val="00F5110A"/>
    <w:rPr>
      <w:rFonts w:ascii="Segoe UI" w:hAnsi="Segoe UI" w:cs="Segoe UI" w:hint="default"/>
      <w:i/>
      <w:iCs/>
      <w:sz w:val="18"/>
      <w:szCs w:val="18"/>
    </w:rPr>
  </w:style>
  <w:style w:type="character" w:styleId="FollowedHyperlink">
    <w:name w:val="FollowedHyperlink"/>
    <w:basedOn w:val="DefaultParagraphFont"/>
    <w:uiPriority w:val="99"/>
    <w:semiHidden/>
    <w:unhideWhenUsed/>
    <w:rsid w:val="00991421"/>
    <w:rPr>
      <w:color w:val="96607D" w:themeColor="followedHyperlink"/>
      <w:u w:val="single"/>
    </w:rPr>
  </w:style>
  <w:style w:type="paragraph" w:styleId="EndnoteText">
    <w:name w:val="endnote text"/>
    <w:basedOn w:val="Normal"/>
    <w:link w:val="EndnoteTextChar"/>
    <w:uiPriority w:val="99"/>
    <w:semiHidden/>
    <w:unhideWhenUsed/>
    <w:rsid w:val="009914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1421"/>
    <w:rPr>
      <w:sz w:val="20"/>
      <w:szCs w:val="20"/>
      <w:lang w:val="lt-LT"/>
    </w:rPr>
  </w:style>
  <w:style w:type="character" w:styleId="EndnoteReference">
    <w:name w:val="endnote reference"/>
    <w:basedOn w:val="DefaultParagraphFont"/>
    <w:uiPriority w:val="99"/>
    <w:semiHidden/>
    <w:unhideWhenUsed/>
    <w:rsid w:val="00991421"/>
    <w:rPr>
      <w:vertAlign w:val="superscript"/>
    </w:rPr>
  </w:style>
  <w:style w:type="paragraph" w:styleId="Caption">
    <w:name w:val="caption"/>
    <w:basedOn w:val="Normal"/>
    <w:next w:val="Normal"/>
    <w:uiPriority w:val="35"/>
    <w:unhideWhenUsed/>
    <w:qFormat/>
    <w:rsid w:val="000473B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40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sp.stat.gov.lt/lt/statistiniu-rodikliu-analize?hash=4643e5a5-3739-4997-81b2-66881d2949f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atvira.sodra.lt/lt-eur/" TargetMode="External"/><Relationship Id="rId1" Type="http://schemas.openxmlformats.org/officeDocument/2006/relationships/hyperlink" Target="https://osp.stat.gov.lt/lt/statistiniu-rodikliu-analize?hash=4643e5a5-3739-4997-81b2-66881d2949f8#/"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info@ltkt.lt" TargetMode="External"/><Relationship Id="rId1" Type="http://schemas.openxmlformats.org/officeDocument/2006/relationships/image" Target="media/image4.emf"/></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2024\Desktop\LKT_Kultura_w_datamap_Analitiko%20atrank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'Piešia, tapo, kuria dalis'!$A$30:$A$36</cx:f>
        <cx:lvl ptCount="7">
          <cx:pt idx="0">15–19 metų</cx:pt>
          <cx:pt idx="1">20–29 metų</cx:pt>
          <cx:pt idx="2">30–39 metų</cx:pt>
          <cx:pt idx="3">40–49 metų</cx:pt>
          <cx:pt idx="4">50–59 metų</cx:pt>
          <cx:pt idx="5">60–69 metų</cx:pt>
          <cx:pt idx="6">70 metų ir vyresni</cx:pt>
        </cx:lvl>
      </cx:strDim>
      <cx:numDim type="val">
        <cx:f>'Piešia, tapo, kuria dalis'!$B$30:$B$36</cx:f>
        <cx:lvl ptCount="7" formatCode="0%">
          <cx:pt idx="0">0.34928417169379661</cx:pt>
          <cx:pt idx="1">0.22243583662155877</cx:pt>
          <cx:pt idx="2">0.14030628420620708</cx:pt>
          <cx:pt idx="3">0.10003792535069773</cx:pt>
          <cx:pt idx="4">0.075491754568009134</cx:pt>
          <cx:pt idx="5">0.060493302351839903</cx:pt>
          <cx:pt idx="6">0.054341586538396124</cx:pt>
        </cx:lvl>
      </cx:numDim>
    </cx:data>
    <cx:data id="1">
      <cx:strDim type="cat">
        <cx:f>'Piešia, tapo, kuria dalis'!$A$30:$A$36</cx:f>
        <cx:lvl ptCount="7">
          <cx:pt idx="0">15–19 metų</cx:pt>
          <cx:pt idx="1">20–29 metų</cx:pt>
          <cx:pt idx="2">30–39 metų</cx:pt>
          <cx:pt idx="3">40–49 metų</cx:pt>
          <cx:pt idx="4">50–59 metų</cx:pt>
          <cx:pt idx="5">60–69 metų</cx:pt>
          <cx:pt idx="6">70 metų ir vyresni</cx:pt>
        </cx:lvl>
      </cx:strDim>
      <cx:numDim type="val">
        <cx:f>'Piešia, tapo, kuria dalis'!$C$30:$C$36</cx:f>
        <cx:lvl ptCount="7" formatCode="0%"/>
      </cx:numDim>
    </cx:data>
  </cx:chartData>
  <cx:chart>
    <cx:title pos="t" align="ctr" overlay="0">
      <cx:tx>
        <cx:rich>
          <a:bodyPr spcFirstLastPara="1" vertOverflow="ellipsis" horzOverflow="overflow" wrap="square" lIns="0" tIns="0" rIns="0" bIns="0" anchor="ctr" anchorCtr="1"/>
          <a:lstStyle/>
          <a:p>
            <a:pPr algn="ctr" rtl="0">
              <a:defRPr/>
            </a:pPr>
            <a:r>
              <a:rPr lang="lt-LT" sz="1000" b="1" i="0" u="none" strike="noStrike" baseline="0">
                <a:solidFill>
                  <a:sysClr val="windowText" lastClr="000000">
                    <a:lumMod val="65000"/>
                    <a:lumOff val="35000"/>
                  </a:sysClr>
                </a:solidFill>
                <a:latin typeface="Calibri"/>
              </a:rPr>
              <a:t>Piešiančių,tapančių, kuriančių grafikos darbus respondentų dalis, %</a:t>
            </a:r>
            <a:endParaRPr lang="en-US" sz="1000" b="1" i="0" u="none" strike="noStrike" baseline="0">
              <a:solidFill>
                <a:sysClr val="windowText" lastClr="000000">
                  <a:lumMod val="65000"/>
                  <a:lumOff val="35000"/>
                </a:sysClr>
              </a:solidFill>
              <a:latin typeface="Calibri"/>
            </a:endParaRPr>
          </a:p>
        </cx:rich>
      </cx:tx>
    </cx:title>
    <cx:plotArea>
      <cx:plotAreaRegion>
        <cx:series layoutId="funnel" uniqueId="{E468009A-2DD3-4E3F-A694-D795719FC9C6}" formatIdx="0">
          <cx:tx>
            <cx:txData>
              <cx:f>'Piešia, tapo, kuria dalis'!$B$28:$B$29</cx:f>
              <cx:v>Piešiančių,tapančių, kuriančių grafikos darbus respondentų dalis, %</cx:v>
            </cx:txData>
          </cx:tx>
          <cx:dataLabels>
            <cx:visibility seriesName="0" categoryName="0" value="1"/>
          </cx:dataLabels>
          <cx:dataId val="0"/>
        </cx:series>
        <cx:series layoutId="funnel" hidden="1" uniqueId="{D8E3F532-0AD3-4698-8E66-33A21BE20E49}" formatIdx="1">
          <cx:tx>
            <cx:txData>
              <cx:f>'Piešia, tapo, kuria dalis'!$C$28:$C$29</cx:f>
              <cx:v/>
            </cx:txData>
          </cx:tx>
          <cx:dataLabels>
            <cx:visibility seriesName="0" categoryName="0" value="1"/>
          </cx:dataLabels>
          <cx:dataId val="1"/>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E68BF4E-A940-4C90-A73C-F5698D3EB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Straševičius</dc:creator>
  <cp:keywords/>
  <dc:description/>
  <cp:lastModifiedBy>Gytis Straševičius</cp:lastModifiedBy>
  <cp:revision>16</cp:revision>
  <dcterms:created xsi:type="dcterms:W3CDTF">2024-11-15T09:50:00Z</dcterms:created>
  <dcterms:modified xsi:type="dcterms:W3CDTF">2024-11-17T20:55:00Z</dcterms:modified>
</cp:coreProperties>
</file>