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none"/>
              <w:left w:val="none"/>
              <w:bottom w:val="none"/>
              <w:right w:val="none"/>
            </w:tcBorders>
            <w:shd w:val="clear" w:color="auto" w:fill="1B3A6B"/>
            <w:tcMar>
              <w:top w:w="240" w:type="dxa"/>
              <w:left w:w="320" w:type="dxa"/>
              <w:bottom w:w="240" w:type="dxa"/>
              <w:right w:w="3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spacing w:val="80"/>
              </w:rPr>
              <w:t>THN  MATERIAL INTELLIGENCE</w:t>
            </w:r>
          </w:p>
          <w:p>
            <w:pPr>
              <w:jc w:val="center"/>
              <w:spacing w:after="60" w:before="60"/>
            </w:pPr>
            <w:r>
              <w:rPr>
                <w:color w:val="A8C0E8"/>
                <w:sz w:val="19"/>
                <w:szCs w:val="19"/>
              </w:rPr>
              <w:t>EV · 알루미늄 시장 인사이트 뉴스레터  |  기업 Edition  |  2026년 6월호</w:t>
            </w:r>
          </w:p>
        </w:tc>
      </w:tr>
    </w:tbl>
    <w:p>
      <w:pPr>
        <w:spacing w:after="0" w:before="200"/>
      </w:pPr>
    </w:p>
    <w:p>
      <w:r>
        <w:rPr>
          <w:b/>
          <w:bCs/>
          <w:color w:val="1B3A6B"/>
          <w:sz w:val="26"/>
          <w:szCs w:val="26"/>
        </w:rPr>
        <w:t>━  이달의 핵심 지표</w:t>
      </w:r>
    </w:p>
    <w:p>
      <w:pPr>
        <w:spacing w:after="0"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0"/>
        <w:gridCol w:w="3040"/>
        <w:gridCol w:w="3040"/>
      </w:tblGrid>
      <w:tr>
        <w:tc>
          <w:tcPr>
            <w:tcW w:w="30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BF2FB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>글로벌 EV 판매량 (2025)</w:t>
            </w:r>
          </w:p>
          <w:p>
            <w:pPr>
              <w:jc w:val="center"/>
              <w:spacing w:after="40" w:before="80"/>
            </w:pPr>
            <w:r>
              <w:rPr>
                <w:b/>
                <w:bCs/>
                <w:color w:val="1B3A6B"/>
                <w:sz w:val="36"/>
                <w:szCs w:val="36"/>
              </w:rPr>
              <w:t>21.2M 대</w:t>
            </w:r>
          </w:p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>전년比 +24.7%</w:t>
            </w:r>
          </w:p>
        </w:tc>
        <w:tc>
          <w:tcPr>
            <w:tcW w:w="30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BF5EE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>LME 알루미늄 (2025 평균)</w:t>
            </w:r>
          </w:p>
          <w:p>
            <w:pPr>
              <w:jc w:val="center"/>
              <w:spacing w:after="40" w:before="80"/>
            </w:pPr>
            <w:r>
              <w:rPr>
                <w:b/>
                <w:bCs/>
                <w:color w:val="1B3A6B"/>
                <w:sz w:val="36"/>
                <w:szCs w:val="36"/>
              </w:rPr>
              <w:t>$2,632/t</w:t>
            </w:r>
          </w:p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>전년比 +8.8%</w:t>
            </w:r>
          </w:p>
        </w:tc>
        <w:tc>
          <w:tcPr>
            <w:tcW w:w="30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>모델 예측 오차율 (2024)</w:t>
            </w:r>
          </w:p>
          <w:p>
            <w:pPr>
              <w:jc w:val="center"/>
              <w:spacing w:after="40" w:before="80"/>
            </w:pPr>
            <w:r>
              <w:rPr>
                <w:b/>
                <w:bCs/>
                <w:color w:val="1B3A6B"/>
                <w:sz w:val="36"/>
                <w:szCs w:val="36"/>
              </w:rPr>
              <w:t>13.5%</w:t>
            </w:r>
          </w:p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>MAE 326 USD/t</w:t>
            </w:r>
          </w:p>
        </w:tc>
      </w:tr>
    </w:tbl>
    <w:p>
      <w:pPr>
        <w:spacing w:after="0" w:before="200"/>
      </w:pPr>
    </w:p>
    <w:p>
      <w:pPr>
        <w:pBdr>
          <w:bottom w:val="single" w:sz="4" w:space="1" w:color="E8ECF2"/>
        </w:pBdr>
        <w:spacing w:after="140" w:before="140"/>
      </w:pPr>
    </w:p>
    <w:p>
      <w:pPr>
        <w:spacing w:after="0" w:before="80"/>
      </w:pPr>
    </w:p>
    <w:p>
      <w:r>
        <w:rPr>
          <w:b/>
          <w:bCs/>
          <w:color w:val="1B3A6B"/>
          <w:sz w:val="27"/>
          <w:szCs w:val="27"/>
        </w:rPr>
        <w:t>01  시장 동향 요약</w:t>
      </w:r>
    </w:p>
    <w:p>
      <w:pPr>
        <w:spacing w:after="0" w:before="100"/>
      </w:pPr>
    </w:p>
    <w:p>
      <w:r>
        <w:rPr>
          <w:b/>
          <w:bCs/>
          <w:color w:val="1B3A6B"/>
          <w:sz w:val="22"/>
          <w:szCs w:val="22"/>
        </w:rPr>
        <w:t>▶  전기차 시장</w:t>
      </w:r>
    </w:p>
    <w:p>
      <w:pPr>
        <w:spacing w:after="0" w:before="40"/>
      </w:pPr>
    </w:p>
    <w:p>
      <w:pPr>
        <w:spacing w:after="40" w:before="40"/>
      </w:pPr>
      <w:r>
        <w:rPr>
          <w:color w:val="333333"/>
          <w:sz w:val="22"/>
          <w:szCs w:val="22"/>
        </w:rPr>
        <w:t>2025년 글로벌 EV 판매량은 BEV·PHEV 합산 21.2백만 대를 기록하며 2016년(0.78M) 대비 27배 성장했습니다. 중국이 전체의 약 60%를 차지하고 있으며, 유럽·북미 시장도 보조금 정책 확대에 힘입어 빠르게 성장 중입니다.</w:t>
      </w:r>
    </w:p>
    <w:p>
      <w:pPr>
        <w:spacing w:after="40" w:before="40"/>
      </w:pPr>
      <w:r>
        <w:rPr>
          <w:color w:val="333333"/>
          <w:sz w:val="22"/>
          <w:szCs w:val="22"/>
        </w:rPr>
        <w:t>2026년에는 IEA 전망 기준 25~28M 대 수준으로 성장이 지속될 것으로 예상됩니다. 중국 NIO·BYD의 저가 모델 출시와 유럽 탄소 규제 강화가 주요 드라이버입니다.</w:t>
      </w:r>
    </w:p>
    <w:p>
      <w:pPr>
        <w:spacing w:after="0" w:before="80"/>
      </w:pPr>
    </w:p>
    <w:p>
      <w:r>
        <w:rPr>
          <w:b/>
          <w:bCs/>
          <w:color w:val="1B3A6B"/>
          <w:sz w:val="22"/>
          <w:szCs w:val="22"/>
        </w:rPr>
        <w:t>▶  알루미늄 시장</w:t>
      </w:r>
    </w:p>
    <w:p>
      <w:pPr>
        <w:spacing w:after="0" w:before="40"/>
      </w:pPr>
    </w:p>
    <w:p>
      <w:pPr>
        <w:spacing w:after="40" w:before="40"/>
      </w:pPr>
      <w:r>
        <w:rPr>
          <w:color w:val="333333"/>
          <w:sz w:val="22"/>
          <w:szCs w:val="22"/>
        </w:rPr>
        <w:t>LME 알루미늄 현물가는 2025년 평균 $2,632/ton으로 2023년 저점($2,249) 대비 회복세를 보이고 있습니다. EV 차체·배터리 케이스용 수요 증가가 주된 상승 요인이며, 중국의 알루미늄 생산 증설(연간 4,500만 톤 규모)이 가격 상단을 제한하는 변수로 작용하고 있습니다.</w:t>
      </w:r>
    </w:p>
    <w:p>
      <w:pPr>
        <w:spacing w:after="0" w:before="160"/>
      </w:pPr>
    </w:p>
    <w:p>
      <w:pPr>
        <w:pBdr>
          <w:bottom w:val="single" w:sz="4" w:space="1" w:color="E8ECF2"/>
        </w:pBdr>
        <w:spacing w:after="140" w:before="140"/>
      </w:pPr>
    </w:p>
    <w:p>
      <w:pPr>
        <w:spacing w:after="0" w:before="80"/>
      </w:pPr>
    </w:p>
    <w:p>
      <w:r>
        <w:rPr>
          <w:b/>
          <w:bCs/>
          <w:color w:val="1B3A6B"/>
          <w:sz w:val="27"/>
          <w:szCs w:val="27"/>
        </w:rPr>
        <w:t>02  알루미늄 가격 전망 (2026)</w:t>
      </w:r>
    </w:p>
    <w:p>
      <w:pPr>
        <w:spacing w:after="0"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380"/>
        <w:gridCol w:w="2380"/>
        <w:gridCol w:w="2400"/>
      </w:tblGrid>
      <w:tr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시나리오</w:t>
            </w:r>
          </w:p>
        </w:tc>
        <w:tc>
          <w:tcPr>
            <w:tcW w:w="23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 판매 전제 (2026)</w:t>
            </w:r>
          </w:p>
        </w:tc>
        <w:tc>
          <w:tcPr>
            <w:tcW w:w="23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알루미늄 예측가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리스크</w:t>
            </w:r>
          </w:p>
        </w:tc>
      </w:tr>
      <w:t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🟢  강세 (Bull)</w:t>
            </w:r>
          </w:p>
        </w:tc>
        <w:tc>
          <w:tcPr>
            <w:tcW w:w="23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28M 대 이상</w:t>
            </w:r>
          </w:p>
        </w:tc>
        <w:tc>
          <w:tcPr>
            <w:tcW w:w="23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$2,750~2,900/t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공급 차질 심화</w:t>
            </w:r>
          </w:p>
        </w:tc>
      </w:tr>
      <w:t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🟡  기본 (Base)</w:t>
            </w:r>
          </w:p>
        </w:tc>
        <w:tc>
          <w:tcPr>
            <w:tcW w:w="23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25~27M 대</w:t>
            </w:r>
          </w:p>
        </w:tc>
        <w:tc>
          <w:tcPr>
            <w:tcW w:w="23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$2,500~2,700/t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중국 공급 유지</w:t>
            </w:r>
          </w:p>
        </w:tc>
      </w:tr>
      <w:t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🔴  약세 (Bear)</w:t>
            </w:r>
          </w:p>
        </w:tc>
        <w:tc>
          <w:tcPr>
            <w:tcW w:w="23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23M 대 이하</w:t>
            </w:r>
          </w:p>
        </w:tc>
        <w:tc>
          <w:tcPr>
            <w:tcW w:w="23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$2,200~2,450/t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경기 둔화·수요 감소</w:t>
            </w:r>
          </w:p>
        </w:tc>
      </w:tr>
    </w:tbl>
    <w:p>
      <w:pPr>
        <w:spacing w:after="0" w:before="100"/>
      </w:pPr>
    </w:p>
    <w:p>
      <w:pPr>
        <w:spacing w:after="40" w:before="40"/>
      </w:pPr>
      <w:r>
        <w:rPr>
          <w:color w:val="888888"/>
          <w:sz w:val="18"/>
          <w:szCs w:val="18"/>
        </w:rPr>
        <w:t>※ 위 전망은 EV 판매량-알루미늄 가격 시차 회귀모델(Pearson R=0.72, 1년 선행)을 기반으로 하며, 에너지 가격·환율·지정학적 변수는 별도 반영이 필요합니다.</w:t>
      </w:r>
    </w:p>
    <w:p>
      <w:pPr>
        <w:spacing w:after="0" w:before="160"/>
      </w:pPr>
    </w:p>
    <w:p>
      <w:pPr>
        <w:pBdr>
          <w:bottom w:val="single" w:sz="4" w:space="1" w:color="E8ECF2"/>
        </w:pBdr>
        <w:spacing w:after="140" w:before="140"/>
      </w:pPr>
    </w:p>
    <w:p>
      <w:pPr>
        <w:spacing w:after="0" w:before="80"/>
      </w:pPr>
    </w:p>
    <w:p>
      <w:r>
        <w:rPr>
          <w:b/>
          <w:bCs/>
          <w:color w:val="1B3A6B"/>
          <w:sz w:val="27"/>
          <w:szCs w:val="27"/>
        </w:rPr>
        <w:t>03  조달 · 투자 시사점</w:t>
      </w:r>
    </w:p>
    <w:p>
      <w:pPr>
        <w:spacing w:after="0"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"/>
        <w:gridCol w:w="9160"/>
      </w:tblGrid>
      <w:tr>
        <w:tc>
          <w:tcPr>
            <w:tcW w:w="2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>
            <w:r>
              <w:rPr>
                <w:b/>
                <w:bCs/>
                <w:color w:val="1B3A6B"/>
                <w:sz w:val="22"/>
                <w:szCs w:val="22"/>
              </w:rPr>
              <w:t>①</w:t>
            </w:r>
          </w:p>
        </w:tc>
        <w:tc>
          <w:tcPr>
            <w:tcW w:w="9160" w:type="dxa"/>
            <w:tcBorders>
              <w:top w:val="none"/>
              <w:left w:val="none"/>
              <w:bottom w:val="none"/>
              <w:right w:val="none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color w:val="333333"/>
                <w:sz w:val="21"/>
                <w:szCs w:val="21"/>
              </w:rPr>
              <w:t>원자재 조달 담당자: 2026년 상반기 Base 시나리오($2,500~2,700) 구간에서 선물 계약 비중 확대 검토</w:t>
            </w:r>
          </w:p>
        </w:tc>
      </w:tr>
      <w:tr>
        <w:tc>
          <w:tcPr>
            <w:tcW w:w="2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>
            <w:r>
              <w:rPr>
                <w:b/>
                <w:bCs/>
                <w:color w:val="1B3A6B"/>
                <w:sz w:val="22"/>
                <w:szCs w:val="22"/>
              </w:rPr>
              <w:t>②</w:t>
            </w:r>
          </w:p>
        </w:tc>
        <w:tc>
          <w:tcPr>
            <w:tcW w:w="9160" w:type="dxa"/>
            <w:tcBorders>
              <w:top w:val="none"/>
              <w:left w:val="none"/>
              <w:bottom w:val="none"/>
              <w:right w:val="none"/>
            </w:tcBorders>
            <w:shd w:val="clear" w:color="auto" w:fill="F8F9FC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color w:val="333333"/>
                <w:sz w:val="21"/>
                <w:szCs w:val="21"/>
              </w:rPr>
              <w:t>투자자: 알루미늄 ETF(예: iPath Bloomberg Aluminum) 및 알루미늄 제련사 주식, EV 판매량 발표 전후 변동성 주목</w:t>
            </w:r>
          </w:p>
        </w:tc>
      </w:tr>
      <w:tr>
        <w:tc>
          <w:tcPr>
            <w:tcW w:w="2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>
            <w:r>
              <w:rPr>
                <w:b/>
                <w:bCs/>
                <w:color w:val="1B3A6B"/>
                <w:sz w:val="22"/>
                <w:szCs w:val="22"/>
              </w:rPr>
              <w:t>③</w:t>
            </w:r>
          </w:p>
        </w:tc>
        <w:tc>
          <w:tcPr>
            <w:tcW w:w="9160" w:type="dxa"/>
            <w:tcBorders>
              <w:top w:val="none"/>
              <w:left w:val="none"/>
              <w:bottom w:val="none"/>
              <w:right w:val="none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color w:val="333333"/>
                <w:sz w:val="21"/>
                <w:szCs w:val="21"/>
              </w:rPr>
              <w:t>공급망 리스크: 중국산 알루미늄 의존도 점검 — 미·중 관세 분쟁 재연 시 $200~400/t 가격 충격 가능</w:t>
            </w:r>
          </w:p>
        </w:tc>
      </w:tr>
    </w:tbl>
    <w:p>
      <w:pPr>
        <w:spacing w:after="0" w:before="200"/>
      </w:pPr>
    </w:p>
    <w:p>
      <w:pPr>
        <w:pBdr>
          <w:bottom w:val="single" w:sz="4" w:space="1" w:color="1B3A6B"/>
        </w:pBdr>
        <w:spacing w:after="140" w:before="140"/>
      </w:pPr>
    </w:p>
    <w:p>
      <w:pPr>
        <w:spacing w:after="0" w:before="80"/>
      </w:pPr>
    </w:p>
    <w:p>
      <w:pPr>
        <w:jc w:val="center"/>
        <w:spacing w:after="40" w:before="40"/>
      </w:pPr>
      <w:r>
        <w:rPr>
          <w:color w:val="888888"/>
          <w:sz w:val="18"/>
          <w:szCs w:val="18"/>
        </w:rPr>
        <w:t xml:space="preserve">THN  |  </w:t>
      </w:r>
      <w:r>
        <w:rPr>
          <w:lang w:eastAsia="ko-KR"/>
          <w:color w:val="888888"/>
          <w:sz w:val="18"/>
          <w:szCs w:val="18"/>
          <w:rtl w:val="off"/>
        </w:rPr>
        <w:t>____</w:t>
      </w:r>
      <w:r>
        <w:rPr>
          <w:color w:val="888888"/>
          <w:sz w:val="18"/>
          <w:szCs w:val="18"/>
        </w:rPr>
        <w:t>@</w:t>
      </w:r>
      <w:r>
        <w:rPr>
          <w:lang w:eastAsia="ko-KR"/>
          <w:color w:val="888888"/>
          <w:sz w:val="18"/>
          <w:szCs w:val="18"/>
          <w:rtl w:val="off"/>
        </w:rPr>
        <w:t>___.com</w:t>
      </w:r>
      <w:r>
        <w:rPr>
          <w:color w:val="888888"/>
          <w:sz w:val="18"/>
          <w:szCs w:val="18"/>
        </w:rPr>
        <w:t xml:space="preserve">  |  수신 거부는 메일 하단 링크를 이용해 주세요.</w:t>
      </w:r>
    </w:p>
    <w:p>
      <w:pPr>
        <w:spacing w:after="0" w:before="40"/>
      </w:pPr>
    </w:p>
    <w:sectPr>
      <w:pgSz w:w="12240" w:h="15840"/>
      <w:pgMar w:top="1080" w:right="1260" w:bottom="1080" w:left="126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KDT37</cp:lastModifiedBy>
  <cp:revision>1</cp:revision>
  <dcterms:modified xsi:type="dcterms:W3CDTF">2026-05-31T09:27:23Z</dcterms:modified>
  <cp:version>1200.0100.01</cp:version>
</cp:coreProperties>
</file>