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spacing w:before="600"/>
      </w:pPr>
    </w:p>
    <w:p>
      <w:pPr>
        <w:jc w:val="center"/>
        <w:spacing w:after="80" w:before="0"/>
      </w:pPr>
      <w:r>
        <w:rPr>
          <w:b/>
          <w:bCs/>
          <w:color w:val="1F3864"/>
          <w:sz w:val="44"/>
          <w:szCs w:val="44"/>
        </w:rPr>
        <w:t>EV 판매량 기반 알루미늄 가격 예측 모델</w:t>
      </w:r>
    </w:p>
    <w:p>
      <w:pPr>
        <w:jc w:val="center"/>
        <w:spacing w:after="400" w:before="0"/>
      </w:pPr>
      <w:r>
        <w:rPr>
          <w:color w:val="666666"/>
          <w:sz w:val="24"/>
          <w:szCs w:val="24"/>
        </w:rPr>
        <w:t>분석 코드 설명 자료  |  2026</w:t>
      </w:r>
    </w:p>
    <w:p>
      <w:pPr>
        <w:pBdr>
          <w:bottom w:val="single" w:sz="4" w:space="1" w:color="CCCCCC"/>
        </w:pBdr>
        <w:spacing w:after="160" w:before="160"/>
      </w:pPr>
    </w:p>
    <w:p>
      <w:pPr>
        <w:spacing w:before="200"/>
      </w:pPr>
    </w:p>
    <w:p>
      <w:pPr>
        <w:pStyle w:val="Heading1"/>
        <w:spacing w:after="160" w:before="320"/>
      </w:pPr>
      <w:r>
        <w:rPr>
          <w:b/>
          <w:bCs/>
          <w:color w:val="1F3864"/>
          <w:sz w:val="30"/>
          <w:szCs w:val="30"/>
        </w:rPr>
        <w:t>1. 분석 개요</w:t>
      </w:r>
    </w:p>
    <w:p>
      <w:pPr>
        <w:rPr/>
      </w:pPr>
      <w:r>
        <w:rPr/>
        <w:t>본 연구는 전 세계 전기차(EV) 판매량이 알루미늄 가격에 미치는 영향을 정량적으로 분석하고, 이를 바탕으로 알루미늄 가격 예측 가능성을 검토하는 것을 목적으로 한다. 전기차는 주행거리 확보를 위한 경량화가 중요하여 내연기관 차량보다 알루미늄 사용 비중이 높다. 따라서 전기차 판매량 증가는 알루미늄 수요 증가로 이어질 가능성이 있으며, 이에 따라 전기차 판매량을 독립변수로, 알루미늄 가격을 종속변수로 선정하였다. 비록 알루미늄 가격은 에너지 가격, 환율, 글로벌 경기 등 다양한 요인의 영향을 받지만, 본 연구에서는 전기차 시장 성장과 알루미늄 가격 간의 관계를 중심으로 상관관계 및 회귀분석을 수행하</w:t>
      </w:r>
      <w:r>
        <w:rPr>
          <w:lang w:eastAsia="ko-KR"/>
          <w:rtl w:val="off"/>
        </w:rPr>
        <w:t xml:space="preserve">고 </w:t>
      </w:r>
      <w:r>
        <w:rPr/>
        <w:t>가격 예측 모델을 구축하고자 하였다.</w:t>
      </w:r>
    </w:p>
    <w:p>
      <w:pPr>
        <w:spacing w:after="100" w:before="60"/>
      </w:pPr>
    </w:p>
    <w:p>
      <w:pPr>
        <w:spacing w:after="80" w:before="120"/>
      </w:pPr>
      <w:r>
        <w:rPr>
          <w:b/>
          <w:bCs/>
          <w:color w:val="333333"/>
          <w:sz w:val="22"/>
          <w:szCs w:val="22"/>
        </w:rPr>
        <w:t>분석은 아래 3단계로 진행됩니다.</w:t>
      </w:r>
    </w:p>
    <w:p>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8160"/>
      </w:tblGrid>
      <w:tr>
        <w:tc>
          <w:tcPr>
            <w:tcW w:w="1200" w:type="dxa"/>
            <w:tcBorders>
              <w:top w:val="single" w:sz="1" w:space="0" w:color="CCCCCC"/>
              <w:left w:val="single" w:sz="1" w:space="0" w:color="CCCCCC"/>
              <w:bottom w:val="single" w:sz="1" w:space="0" w:color="CCCCCC"/>
              <w:right w:val="single" w:sz="1" w:space="0" w:color="CCCCCC"/>
            </w:tcBorders>
            <w:shd w:val="clear" w:color="auto" w:fill="2E5DA8"/>
            <w:tcMar>
              <w:top w:w="100" w:type="dxa"/>
              <w:left w:w="120" w:type="dxa"/>
              <w:bottom w:w="100" w:type="dxa"/>
              <w:right w:w="120" w:type="dxa"/>
            </w:tcMar>
            <w:vAlign w:val="center"/>
          </w:tcPr>
          <w:p>
            <w:pPr>
              <w:jc w:val="center"/>
            </w:pPr>
            <w:r>
              <w:rPr>
                <w:b/>
                <w:bCs/>
                <w:color w:val="FFFFFF"/>
                <w:sz w:val="22"/>
                <w:szCs w:val="22"/>
              </w:rPr>
              <w:t>Step 1</w:t>
            </w:r>
          </w:p>
        </w:tc>
        <w:tc>
          <w:tcPr>
            <w:tcW w:w="81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60" w:type="dxa"/>
              <w:bottom w:w="100" w:type="dxa"/>
              <w:right w:w="120" w:type="dxa"/>
            </w:tcMar>
          </w:tcPr>
          <w:p>
            <w:r>
              <w:rPr>
                <w:b/>
                <w:bCs/>
                <w:color w:val="333333"/>
                <w:sz w:val="22"/>
                <w:szCs w:val="22"/>
              </w:rPr>
              <w:t>추세 확인 — EV 판매량과 알루미늄 가격이 함께 오르는 경향이 있는지 눈으로 확인</w:t>
            </w:r>
          </w:p>
        </w:tc>
      </w:tr>
    </w:tbl>
    <w:p>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8160"/>
      </w:tblGrid>
      <w:tr>
        <w:tc>
          <w:tcPr>
            <w:tcW w:w="1200" w:type="dxa"/>
            <w:tcBorders>
              <w:top w:val="single" w:sz="1" w:space="0" w:color="CCCCCC"/>
              <w:left w:val="single" w:sz="1" w:space="0" w:color="CCCCCC"/>
              <w:bottom w:val="single" w:sz="1" w:space="0" w:color="CCCCCC"/>
              <w:right w:val="single" w:sz="1" w:space="0" w:color="CCCCCC"/>
            </w:tcBorders>
            <w:shd w:val="clear" w:color="auto" w:fill="217346"/>
            <w:tcMar>
              <w:top w:w="100" w:type="dxa"/>
              <w:left w:w="120" w:type="dxa"/>
              <w:bottom w:w="100" w:type="dxa"/>
              <w:right w:w="120" w:type="dxa"/>
            </w:tcMar>
            <w:vAlign w:val="center"/>
          </w:tcPr>
          <w:p>
            <w:pPr>
              <w:jc w:val="center"/>
            </w:pPr>
            <w:r>
              <w:rPr>
                <w:b/>
                <w:bCs/>
                <w:color w:val="FFFFFF"/>
                <w:sz w:val="22"/>
                <w:szCs w:val="22"/>
              </w:rPr>
              <w:t>Step 2</w:t>
            </w:r>
          </w:p>
        </w:tc>
        <w:tc>
          <w:tcPr>
            <w:tcW w:w="81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60" w:type="dxa"/>
              <w:bottom w:w="100" w:type="dxa"/>
              <w:right w:w="120" w:type="dxa"/>
            </w:tcMar>
          </w:tcPr>
          <w:p>
            <w:r>
              <w:rPr>
                <w:b/>
                <w:bCs/>
                <w:color w:val="333333"/>
                <w:sz w:val="22"/>
                <w:szCs w:val="22"/>
              </w:rPr>
              <w:t>상관관계 수치화 — 두 데이터 사이에 통계적으로 유의미한 관계가 있는지 검증</w:t>
            </w:r>
          </w:p>
        </w:tc>
      </w:tr>
    </w:tbl>
    <w:p>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8160"/>
      </w:tblGrid>
      <w:tr>
        <w:tc>
          <w:tcPr>
            <w:tcW w:w="1200" w:type="dxa"/>
            <w:tcBorders>
              <w:top w:val="single" w:sz="1" w:space="0" w:color="CCCCCC"/>
              <w:left w:val="single" w:sz="1" w:space="0" w:color="CCCCCC"/>
              <w:bottom w:val="single" w:sz="1" w:space="0" w:color="CCCCCC"/>
              <w:right w:val="single" w:sz="1" w:space="0" w:color="CCCCCC"/>
            </w:tcBorders>
            <w:shd w:val="clear" w:color="auto" w:fill="7B3F9E"/>
            <w:tcMar>
              <w:top w:w="100" w:type="dxa"/>
              <w:left w:w="120" w:type="dxa"/>
              <w:bottom w:w="100" w:type="dxa"/>
              <w:right w:w="120" w:type="dxa"/>
            </w:tcMar>
            <w:vAlign w:val="center"/>
          </w:tcPr>
          <w:p>
            <w:pPr>
              <w:jc w:val="center"/>
            </w:pPr>
            <w:r>
              <w:rPr>
                <w:b/>
                <w:bCs/>
                <w:color w:val="FFFFFF"/>
                <w:sz w:val="22"/>
                <w:szCs w:val="22"/>
              </w:rPr>
              <w:t>Step 3</w:t>
            </w:r>
          </w:p>
        </w:tc>
        <w:tc>
          <w:tcPr>
            <w:tcW w:w="81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60" w:type="dxa"/>
              <w:bottom w:w="100" w:type="dxa"/>
              <w:right w:w="120" w:type="dxa"/>
            </w:tcMar>
          </w:tcPr>
          <w:p>
            <w:r>
              <w:rPr>
                <w:b/>
                <w:bCs/>
                <w:color w:val="333333"/>
                <w:sz w:val="22"/>
                <w:szCs w:val="22"/>
              </w:rPr>
              <w:t>모델 검증 — 회귀 모델이 실제 2024년 가격을 얼마나 맞췄는지 확인</w:t>
            </w:r>
          </w:p>
        </w:tc>
      </w:tr>
    </w:tbl>
    <w:p>
      <w:pPr>
        <w:spacing w:before="200"/>
      </w:pPr>
    </w:p>
    <w:p>
      <w:pPr>
        <w:pBdr>
          <w:bottom w:val="single" w:sz="4" w:space="1" w:color="CCCCCC"/>
        </w:pBdr>
        <w:spacing w:after="160" w:before="160"/>
      </w:pPr>
    </w:p>
    <w:p>
      <w:pPr>
        <w:pStyle w:val="Heading1"/>
        <w:spacing w:after="160" w:before="320"/>
      </w:pPr>
      <w:r>
        <w:rPr>
          <w:b/>
          <w:bCs/>
          <w:color w:val="1F3864"/>
          <w:sz w:val="30"/>
          <w:szCs w:val="30"/>
        </w:rPr>
        <w:t>2. 사용 데이터</w:t>
      </w:r>
    </w:p>
    <w:p>
      <w:pPr>
        <w:pStyle w:val="Heading2"/>
        <w:spacing w:after="120" w:before="240"/>
      </w:pPr>
      <w:r>
        <w:rPr>
          <w:b/>
          <w:bCs/>
          <w:color w:val="2E5DA8"/>
          <w:sz w:val="26"/>
          <w:szCs w:val="26"/>
        </w:rPr>
        <w:t>2-1. 데이터 출처</w:t>
      </w:r>
    </w:p>
    <w:p>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tc>
          <w:tcPr>
            <w:tcW w:w="2400" w:type="dxa"/>
            <w:tcBorders>
              <w:top w:val="single" w:sz="1" w:space="0" w:color="CCCCCC"/>
              <w:left w:val="single" w:sz="1" w:space="0" w:color="CCCCCC"/>
              <w:bottom w:val="single" w:sz="1" w:space="0" w:color="CCCCCC"/>
              <w:right w:val="single" w:sz="1" w:space="0" w:color="CCCCCC"/>
            </w:tcBorders>
            <w:shd w:val="clear" w:color="auto" w:fill="E8EFF8"/>
            <w:tcMar>
              <w:top w:w="80" w:type="dxa"/>
              <w:left w:w="120" w:type="dxa"/>
              <w:bottom w:w="80" w:type="dxa"/>
              <w:right w:w="120" w:type="dxa"/>
            </w:tcMar>
          </w:tcPr>
          <w:p>
            <w:r>
              <w:rPr>
                <w:b/>
                <w:bCs/>
                <w:color w:val="1F3864"/>
                <w:sz w:val="20"/>
                <w:szCs w:val="20"/>
              </w:rPr>
              <w:t>EV 판매량</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color w:val="333333"/>
                <w:sz w:val="20"/>
                <w:szCs w:val="20"/>
              </w:rPr>
              <w:t>EV_Data_Explorer_2026.xlsx  &gt;  시트: GEVO_EV_2026 조건: region_country='World' / parameter='EV sales' / mode='Cars' / powertrain∈{BEV, PHEV} 처리: BEV + PHEV 합산 후 백만 대 단위 변환</w:t>
            </w:r>
          </w:p>
        </w:tc>
      </w:tr>
    </w:tbl>
    <w:p>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tc>
          <w:tcPr>
            <w:tcW w:w="2400" w:type="dxa"/>
            <w:tcBorders>
              <w:top w:val="single" w:sz="1" w:space="0" w:color="CCCCCC"/>
              <w:left w:val="single" w:sz="1" w:space="0" w:color="CCCCCC"/>
              <w:bottom w:val="single" w:sz="1" w:space="0" w:color="CCCCCC"/>
              <w:right w:val="single" w:sz="1" w:space="0" w:color="CCCCCC"/>
            </w:tcBorders>
            <w:shd w:val="clear" w:color="auto" w:fill="E8EFF8"/>
            <w:tcMar>
              <w:top w:w="80" w:type="dxa"/>
              <w:left w:w="120" w:type="dxa"/>
              <w:bottom w:w="80" w:type="dxa"/>
              <w:right w:w="120" w:type="dxa"/>
            </w:tcMar>
          </w:tcPr>
          <w:p>
            <w:r>
              <w:rPr>
                <w:b/>
                <w:bCs/>
                <w:color w:val="1F3864"/>
                <w:sz w:val="20"/>
                <w:szCs w:val="20"/>
              </w:rPr>
              <w:t>알루미늄 가격</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color w:val="333333"/>
                <w:sz w:val="20"/>
                <w:szCs w:val="20"/>
              </w:rPr>
              <w:t>2016_2025_광물자원가격_알루미늄_년간.xlsx  &gt;  시트: RsrcPrice 컬럼: 기준일(연도) / 기준가격(USD/ton) 기준: LME(런던금속거래소) 연평균 가격</w:t>
            </w:r>
          </w:p>
        </w:tc>
      </w:tr>
    </w:tbl>
    <w:p>
      <w:pPr>
        <w:spacing w:before="160"/>
      </w:pPr>
    </w:p>
    <w:p>
      <w:pPr>
        <w:pStyle w:val="Heading2"/>
        <w:spacing w:after="120" w:before="240"/>
        <w:rPr>
          <w:lang/>
          <w:b/>
          <w:bCs/>
          <w:color w:val="2E5DA8"/>
          <w:sz w:val="26"/>
          <w:szCs w:val="26"/>
          <w:rtl w:val="off"/>
        </w:rPr>
      </w:pPr>
    </w:p>
    <w:p>
      <w:pPr>
        <w:pStyle w:val="Heading2"/>
        <w:spacing w:after="120" w:before="240"/>
      </w:pPr>
      <w:r>
        <w:rPr>
          <w:b/>
          <w:bCs/>
          <w:color w:val="2E5DA8"/>
          <w:sz w:val="26"/>
          <w:szCs w:val="26"/>
        </w:rPr>
        <w:t>2-2. 데이터 내용 (2016~2025)</w:t>
      </w:r>
    </w:p>
    <w:p>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680"/>
        <w:gridCol w:w="3680"/>
      </w:tblGrid>
      <w:tr>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pPr>
              <w:jc w:val="left"/>
            </w:pPr>
            <w:r>
              <w:rPr>
                <w:b/>
                <w:bCs/>
                <w:color w:val="FFFFFF"/>
                <w:sz w:val="20"/>
                <w:szCs w:val="20"/>
              </w:rPr>
              <w:t>연도</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pPr>
              <w:jc w:val="center"/>
            </w:pPr>
            <w:r>
              <w:rPr>
                <w:b/>
                <w:bCs/>
                <w:color w:val="FFFFFF"/>
                <w:sz w:val="20"/>
                <w:szCs w:val="20"/>
              </w:rPr>
              <w:t>EV 판매량 (백만 대)</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pPr>
              <w:jc w:val="center"/>
            </w:pPr>
            <w:r>
              <w:rPr>
                <w:b/>
                <w:bCs/>
                <w:color w:val="FFFFFF"/>
                <w:sz w:val="20"/>
                <w:szCs w:val="20"/>
              </w:rPr>
              <w:t>알루미늄 가격 (USD/ton)</w:t>
            </w:r>
          </w:p>
        </w:tc>
      </w:tr>
      <w:tr>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b w:val="0"/>
                <w:bCs w:val="0"/>
                <w:color w:val="333333"/>
                <w:sz w:val="20"/>
                <w:szCs w:val="20"/>
              </w:rPr>
              <w:t>2016</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center"/>
            </w:pPr>
            <w:r>
              <w:rPr>
                <w:b w:val="0"/>
                <w:bCs w:val="0"/>
                <w:color w:val="333333"/>
                <w:sz w:val="20"/>
                <w:szCs w:val="20"/>
              </w:rPr>
              <w:t>0.78</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center"/>
            </w:pPr>
            <w:r>
              <w:rPr>
                <w:b w:val="0"/>
                <w:bCs w:val="0"/>
                <w:color w:val="333333"/>
                <w:sz w:val="20"/>
                <w:szCs w:val="20"/>
              </w:rPr>
              <w:t>1,604.89</w:t>
            </w:r>
          </w:p>
        </w:tc>
      </w:tr>
      <w:tr>
        <w:trPr/>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pPr>
              <w:jc w:val="left"/>
            </w:pPr>
            <w:r>
              <w:rPr>
                <w:b w:val="0"/>
                <w:bCs w:val="0"/>
                <w:color w:val="333333"/>
                <w:sz w:val="20"/>
                <w:szCs w:val="20"/>
              </w:rPr>
              <w:t>2017</w:t>
            </w:r>
          </w:p>
        </w:tc>
        <w:tc>
          <w:tcPr>
            <w:tcW w:w="36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pPr>
              <w:jc w:val="center"/>
            </w:pPr>
            <w:r>
              <w:rPr>
                <w:b w:val="0"/>
                <w:bCs w:val="0"/>
                <w:color w:val="333333"/>
                <w:sz w:val="20"/>
                <w:szCs w:val="20"/>
              </w:rPr>
              <w:t>1.20</w:t>
            </w:r>
          </w:p>
        </w:tc>
        <w:tc>
          <w:tcPr>
            <w:tcW w:w="36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pPr>
              <w:jc w:val="center"/>
            </w:pPr>
            <w:r>
              <w:rPr>
                <w:b w:val="0"/>
                <w:bCs w:val="0"/>
                <w:color w:val="333333"/>
                <w:sz w:val="20"/>
                <w:szCs w:val="20"/>
              </w:rPr>
              <w:t>1,968.74</w:t>
            </w:r>
          </w:p>
        </w:tc>
      </w:tr>
      <w:tr>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b w:val="0"/>
                <w:bCs w:val="0"/>
                <w:color w:val="333333"/>
                <w:sz w:val="20"/>
                <w:szCs w:val="20"/>
              </w:rPr>
              <w:t>2018</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center"/>
            </w:pPr>
            <w:r>
              <w:rPr>
                <w:b w:val="0"/>
                <w:bCs w:val="0"/>
                <w:color w:val="333333"/>
                <w:sz w:val="20"/>
                <w:szCs w:val="20"/>
              </w:rPr>
              <w:t>2.00</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center"/>
            </w:pPr>
            <w:r>
              <w:rPr>
                <w:b w:val="0"/>
                <w:bCs w:val="0"/>
                <w:color w:val="333333"/>
                <w:sz w:val="20"/>
                <w:szCs w:val="20"/>
              </w:rPr>
              <w:t>2,110.08</w:t>
            </w:r>
          </w:p>
        </w:tc>
      </w:tr>
      <w:tr>
        <w:trPr/>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pPr>
              <w:jc w:val="left"/>
            </w:pPr>
            <w:r>
              <w:rPr>
                <w:b w:val="0"/>
                <w:bCs w:val="0"/>
                <w:color w:val="333333"/>
                <w:sz w:val="20"/>
                <w:szCs w:val="20"/>
              </w:rPr>
              <w:t>2019</w:t>
            </w:r>
          </w:p>
        </w:tc>
        <w:tc>
          <w:tcPr>
            <w:tcW w:w="36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pPr>
              <w:jc w:val="center"/>
            </w:pPr>
            <w:r>
              <w:rPr>
                <w:b w:val="0"/>
                <w:bCs w:val="0"/>
                <w:color w:val="333333"/>
                <w:sz w:val="20"/>
                <w:szCs w:val="20"/>
              </w:rPr>
              <w:t>2.20</w:t>
            </w:r>
          </w:p>
        </w:tc>
        <w:tc>
          <w:tcPr>
            <w:tcW w:w="36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pPr>
              <w:jc w:val="center"/>
            </w:pPr>
            <w:r>
              <w:rPr>
                <w:b w:val="0"/>
                <w:bCs w:val="0"/>
                <w:color w:val="333333"/>
                <w:sz w:val="20"/>
                <w:szCs w:val="20"/>
              </w:rPr>
              <w:t>1,791.13</w:t>
            </w:r>
          </w:p>
        </w:tc>
      </w:tr>
      <w:tr>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b w:val="0"/>
                <w:bCs w:val="0"/>
                <w:color w:val="333333"/>
                <w:sz w:val="20"/>
                <w:szCs w:val="20"/>
              </w:rPr>
              <w:t>2020</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center"/>
            </w:pPr>
            <w:r>
              <w:rPr>
                <w:b w:val="0"/>
                <w:bCs w:val="0"/>
                <w:color w:val="333333"/>
                <w:sz w:val="20"/>
                <w:szCs w:val="20"/>
              </w:rPr>
              <w:t>3.10</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center"/>
            </w:pPr>
            <w:r>
              <w:rPr>
                <w:b w:val="0"/>
                <w:bCs w:val="0"/>
                <w:color w:val="333333"/>
                <w:sz w:val="20"/>
                <w:szCs w:val="20"/>
              </w:rPr>
              <w:t>1,704.02</w:t>
            </w:r>
          </w:p>
        </w:tc>
      </w:tr>
      <w:tr>
        <w:trPr/>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pPr>
              <w:jc w:val="left"/>
            </w:pPr>
            <w:r>
              <w:rPr>
                <w:b w:val="0"/>
                <w:bCs w:val="0"/>
                <w:color w:val="333333"/>
                <w:sz w:val="20"/>
                <w:szCs w:val="20"/>
              </w:rPr>
              <w:t>2021</w:t>
            </w:r>
          </w:p>
        </w:tc>
        <w:tc>
          <w:tcPr>
            <w:tcW w:w="36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pPr>
              <w:jc w:val="center"/>
            </w:pPr>
            <w:r>
              <w:rPr>
                <w:b w:val="0"/>
                <w:bCs w:val="0"/>
                <w:color w:val="333333"/>
                <w:sz w:val="20"/>
                <w:szCs w:val="20"/>
              </w:rPr>
              <w:t>6.50</w:t>
            </w:r>
          </w:p>
        </w:tc>
        <w:tc>
          <w:tcPr>
            <w:tcW w:w="36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pPr>
              <w:jc w:val="center"/>
            </w:pPr>
            <w:r>
              <w:rPr>
                <w:b w:val="0"/>
                <w:bCs w:val="0"/>
                <w:color w:val="333333"/>
                <w:sz w:val="20"/>
                <w:szCs w:val="20"/>
              </w:rPr>
              <w:t>2,479.62</w:t>
            </w:r>
          </w:p>
        </w:tc>
      </w:tr>
      <w:tr>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b w:val="0"/>
                <w:bCs w:val="0"/>
                <w:color w:val="333333"/>
                <w:sz w:val="20"/>
                <w:szCs w:val="20"/>
              </w:rPr>
              <w:t>2022</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center"/>
            </w:pPr>
            <w:r>
              <w:rPr>
                <w:b w:val="0"/>
                <w:bCs w:val="0"/>
                <w:color w:val="333333"/>
                <w:sz w:val="20"/>
                <w:szCs w:val="20"/>
              </w:rPr>
              <w:t>10.20</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center"/>
            </w:pPr>
            <w:r>
              <w:rPr>
                <w:b w:val="0"/>
                <w:bCs w:val="0"/>
                <w:color w:val="333333"/>
                <w:sz w:val="20"/>
                <w:szCs w:val="20"/>
              </w:rPr>
              <w:t>2,703.18</w:t>
            </w:r>
          </w:p>
        </w:tc>
      </w:tr>
      <w:tr>
        <w:trPr/>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pPr>
              <w:jc w:val="left"/>
            </w:pPr>
            <w:r>
              <w:rPr>
                <w:b w:val="0"/>
                <w:bCs w:val="0"/>
                <w:color w:val="333333"/>
                <w:sz w:val="20"/>
                <w:szCs w:val="20"/>
              </w:rPr>
              <w:t>2023</w:t>
            </w:r>
          </w:p>
        </w:tc>
        <w:tc>
          <w:tcPr>
            <w:tcW w:w="36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pPr>
              <w:jc w:val="center"/>
            </w:pPr>
            <w:r>
              <w:rPr>
                <w:b w:val="0"/>
                <w:bCs w:val="0"/>
                <w:color w:val="333333"/>
                <w:sz w:val="20"/>
                <w:szCs w:val="20"/>
              </w:rPr>
              <w:t>13.70</w:t>
            </w:r>
          </w:p>
        </w:tc>
        <w:tc>
          <w:tcPr>
            <w:tcW w:w="36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pPr>
              <w:jc w:val="center"/>
            </w:pPr>
            <w:r>
              <w:rPr>
                <w:b w:val="0"/>
                <w:bCs w:val="0"/>
                <w:color w:val="333333"/>
                <w:sz w:val="20"/>
                <w:szCs w:val="20"/>
              </w:rPr>
              <w:t>2,249.54</w:t>
            </w:r>
          </w:p>
        </w:tc>
      </w:tr>
      <w:tr>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b w:val="0"/>
                <w:bCs w:val="0"/>
                <w:color w:val="333333"/>
                <w:sz w:val="20"/>
                <w:szCs w:val="20"/>
              </w:rPr>
              <w:t>2024</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center"/>
            </w:pPr>
            <w:r>
              <w:rPr>
                <w:b w:val="0"/>
                <w:bCs w:val="0"/>
                <w:color w:val="333333"/>
                <w:sz w:val="20"/>
                <w:szCs w:val="20"/>
              </w:rPr>
              <w:t>17.00</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center"/>
            </w:pPr>
            <w:r>
              <w:rPr>
                <w:b w:val="0"/>
                <w:bCs w:val="0"/>
                <w:color w:val="333333"/>
                <w:sz w:val="20"/>
                <w:szCs w:val="20"/>
              </w:rPr>
              <w:t>2,418.88</w:t>
            </w:r>
          </w:p>
        </w:tc>
      </w:tr>
      <w:tr>
        <w:trPr/>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pPr>
              <w:jc w:val="left"/>
            </w:pPr>
            <w:r>
              <w:rPr>
                <w:b w:val="0"/>
                <w:bCs w:val="0"/>
                <w:color w:val="333333"/>
                <w:sz w:val="20"/>
                <w:szCs w:val="20"/>
              </w:rPr>
              <w:t>2025</w:t>
            </w:r>
          </w:p>
        </w:tc>
        <w:tc>
          <w:tcPr>
            <w:tcW w:w="36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pPr>
              <w:jc w:val="center"/>
            </w:pPr>
            <w:r>
              <w:rPr>
                <w:b w:val="0"/>
                <w:bCs w:val="0"/>
                <w:color w:val="333333"/>
                <w:sz w:val="20"/>
                <w:szCs w:val="20"/>
              </w:rPr>
              <w:t>21.00</w:t>
            </w:r>
          </w:p>
        </w:tc>
        <w:tc>
          <w:tcPr>
            <w:tcW w:w="36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pPr>
              <w:jc w:val="center"/>
            </w:pPr>
            <w:r>
              <w:rPr>
                <w:b w:val="0"/>
                <w:bCs w:val="0"/>
                <w:color w:val="333333"/>
                <w:sz w:val="20"/>
                <w:szCs w:val="20"/>
              </w:rPr>
              <w:t>2,632.07</w:t>
            </w:r>
          </w:p>
        </w:tc>
      </w:tr>
    </w:tbl>
    <w:p>
      <w:pPr>
        <w:spacing w:before="120"/>
      </w:pPr>
    </w:p>
    <w:p>
      <w:pPr>
        <w:spacing w:after="100" w:before="60"/>
      </w:pPr>
      <w:r>
        <w:rPr>
          <w:color w:val="555555"/>
          <w:sz w:val="22"/>
          <w:szCs w:val="22"/>
        </w:rPr>
        <w:t>BEV는 배터리만으로 움직이는 순수 전기차, PHEV는 전기와 내연기관을 모두 쓰는 플러그인 하이브리드를 의미합니다. 두 유형 모두 알루미늄을 대량으로 사용하므로 합산하여 분석합니다.</w:t>
      </w:r>
    </w:p>
    <w:p>
      <w:pPr>
        <w:spacing w:before="200"/>
      </w:pPr>
    </w:p>
    <w:p>
      <w:pPr>
        <w:pBdr>
          <w:bottom w:val="single" w:sz="4" w:space="1" w:color="CCCCCC"/>
        </w:pBdr>
        <w:spacing w:after="160" w:before="160"/>
      </w:pPr>
    </w:p>
    <w:p>
      <w:pPr>
        <w:pStyle w:val="Heading1"/>
        <w:spacing w:after="160" w:before="320"/>
      </w:pPr>
      <w:r>
        <w:rPr>
          <w:b/>
          <w:bCs/>
          <w:color w:val="1F3864"/>
          <w:sz w:val="30"/>
          <w:szCs w:val="30"/>
        </w:rPr>
        <w:t>3. 단계별 분석 방법</w:t>
      </w:r>
    </w:p>
    <w:p>
      <w:pPr>
        <w:pStyle w:val="Heading2"/>
        <w:spacing w:after="120" w:before="240"/>
      </w:pPr>
      <w:r>
        <w:rPr>
          <w:b/>
          <w:bCs/>
          <w:color w:val="2E5DA8"/>
          <w:sz w:val="26"/>
          <w:szCs w:val="26"/>
        </w:rPr>
        <w:t>Step 1 — 추세 겹쳐보기 (Trend Coupling Baseline)</w:t>
      </w:r>
    </w:p>
    <w:p>
      <w:pPr>
        <w:spacing w:after="100" w:before="60"/>
      </w:pPr>
      <w:r>
        <w:rPr>
          <w:color w:val="333333"/>
          <w:sz w:val="22"/>
          <w:szCs w:val="22"/>
        </w:rPr>
        <w:t>가장 먼저 두 데이터를 한 그래프에 그려 눈으로 확인합니다.</w:t>
      </w:r>
    </w:p>
    <w:p>
      <w:pPr>
        <w:pStyle w:val="ListParagraph"/>
        <w:numPr>
          <w:ilvl w:val="0"/>
          <w:numId w:val="1"/>
        </w:numPr>
        <w:spacing w:after="40" w:before="40"/>
      </w:pPr>
      <w:r>
        <w:rPr>
          <w:color w:val="333333"/>
          <w:sz w:val="22"/>
          <w:szCs w:val="22"/>
        </w:rPr>
        <w:t>막대그래프 (파란색): 연도별 EV 판매량 (왼쪽 축)</w:t>
      </w:r>
    </w:p>
    <w:p>
      <w:pPr>
        <w:pStyle w:val="ListParagraph"/>
        <w:numPr>
          <w:ilvl w:val="0"/>
          <w:numId w:val="1"/>
        </w:numPr>
        <w:spacing w:after="40" w:before="40"/>
      </w:pPr>
      <w:r>
        <w:rPr>
          <w:color w:val="333333"/>
          <w:sz w:val="22"/>
          <w:szCs w:val="22"/>
        </w:rPr>
        <w:t>꺾은선 그래프 (빨간색): 연도별 알루미늄 가격 (오른쪽 축)</w:t>
      </w:r>
    </w:p>
    <w:p>
      <w:pPr>
        <w:spacing w:after="100" w:before="60"/>
      </w:pPr>
      <w:r>
        <w:rPr>
          <w:color w:val="333333"/>
          <w:sz w:val="22"/>
          <w:szCs w:val="22"/>
        </w:rPr>
        <w:t>두 축의 단위가 다르므로 이중 축(Twin Axis) 구조로 표현합니다. 두 곡선이 비슷한 방향으로 움직인다면 관계가 있을 가능성이 높습니다.</w:t>
      </w:r>
    </w:p>
    <w:p>
      <w:pPr>
        <w:spacing w:after="100" w:before="60"/>
      </w:pPr>
      <w:r>
        <w:rPr>
          <w:b/>
          <w:bCs/>
          <w:color w:val="2E5DA8"/>
          <w:sz w:val="22"/>
          <w:szCs w:val="22"/>
        </w:rPr>
        <w:t>→ 출력 파일: 01_EV판매량_알루미늄가격_추세.png</w:t>
      </w:r>
    </w:p>
    <w:p>
      <w:pPr>
        <w:spacing w:before="120"/>
      </w:pPr>
    </w:p>
    <w:p>
      <w:pPr>
        <w:pStyle w:val="Heading2"/>
        <w:spacing w:after="120" w:before="240"/>
      </w:pPr>
      <w:r>
        <w:rPr>
          <w:b/>
          <w:bCs/>
          <w:color w:val="2E5DA8"/>
          <w:sz w:val="26"/>
          <w:szCs w:val="26"/>
        </w:rPr>
        <w:t>Step 2 — 시차(Time-Lag) 기반 상관분석</w:t>
      </w:r>
    </w:p>
    <w:p>
      <w:pPr>
        <w:spacing w:after="80" w:before="180"/>
      </w:pPr>
      <w:r>
        <w:rPr>
          <w:b/>
          <w:bCs/>
          <w:color w:val="333333"/>
          <w:sz w:val="24"/>
          <w:szCs w:val="24"/>
        </w:rPr>
        <w:t>왜 '시차'를 적용하나요?</w:t>
      </w:r>
    </w:p>
    <w:p>
      <w:pPr>
        <w:spacing w:after="100" w:before="60"/>
      </w:pPr>
      <w:r>
        <w:rPr>
          <w:color w:val="333333"/>
          <w:sz w:val="22"/>
          <w:szCs w:val="22"/>
        </w:rPr>
        <w:t>알루미늄 가격은 '지금 당장' 판매된 차가 아니라, 미래에 팔릴 차를 위해 미리 주문·생산하는 과정에서 결정됩니다. 즉, 올해 EV 시장이 커지면 제조사들이 내년 생산을 위해 원자재를 선매입하기 때문에, 올해 판매량이 늘면 가격이 미리 오르는 경향이 있습니다.</w:t>
      </w:r>
    </w:p>
    <w:p>
      <w:pPr>
        <w:spacing w:after="100" w:before="60"/>
      </w:pPr>
      <w:r>
        <w:rPr>
          <w:color w:val="333333"/>
          <w:sz w:val="22"/>
          <w:szCs w:val="22"/>
        </w:rPr>
        <w:t>따라서 't년 알루미늄 가격'과 't+1년 EV 판매량'을 매칭해 분석합니다.</w:t>
      </w:r>
    </w:p>
    <w:p>
      <w:pPr>
        <w:spacing w:before="80"/>
      </w:pPr>
    </w:p>
    <w:p>
      <w:pPr>
        <w:spacing w:after="80" w:before="180"/>
      </w:pPr>
      <w:r>
        <w:rPr>
          <w:b/>
          <w:bCs/>
          <w:color w:val="333333"/>
          <w:sz w:val="24"/>
          <w:szCs w:val="24"/>
        </w:rPr>
        <w:t>어떻게 검증하나요?</w:t>
      </w:r>
    </w:p>
    <w:p>
      <w:pPr>
        <w:pStyle w:val="ListParagraph"/>
        <w:numPr>
          <w:ilvl w:val="0"/>
          <w:numId w:val="1"/>
        </w:numPr>
        <w:spacing w:after="40" w:before="40"/>
      </w:pPr>
      <w:r>
        <w:rPr>
          <w:color w:val="333333"/>
          <w:sz w:val="22"/>
          <w:szCs w:val="22"/>
        </w:rPr>
        <w:t>피어슨 상관계수(Pearson R): -1 ~ +1 사이 값으로, +1에 가까울수록 강한 양의 관계</w:t>
      </w:r>
    </w:p>
    <w:p>
      <w:pPr>
        <w:pStyle w:val="ListParagraph"/>
        <w:numPr>
          <w:ilvl w:val="0"/>
          <w:numId w:val="1"/>
        </w:numPr>
        <w:spacing w:after="40" w:before="40"/>
      </w:pPr>
      <w:r>
        <w:rPr>
          <w:color w:val="333333"/>
          <w:sz w:val="22"/>
          <w:szCs w:val="22"/>
        </w:rPr>
        <w:t>p-값(p-value): 0.05 미만이면 이 관계가 우연이 아님을 통계적으로 확인</w:t>
      </w:r>
    </w:p>
    <w:p>
      <w:pPr>
        <w:pStyle w:val="ListParagraph"/>
        <w:numPr>
          <w:ilvl w:val="0"/>
          <w:numId w:val="1"/>
        </w:numPr>
        <w:spacing w:after="40" w:before="40"/>
      </w:pPr>
      <w:r>
        <w:rPr>
          <w:color w:val="333333"/>
          <w:sz w:val="22"/>
          <w:szCs w:val="22"/>
        </w:rPr>
        <w:t>95% 신뢰구간: 산점도에 분홍 띠로 표현, 실제 관계선이 이 범위 안에 있을 확률이 95%</w:t>
      </w:r>
    </w:p>
    <w:p>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580"/>
        <w:gridCol w:w="3580"/>
      </w:tblGrid>
      <w:tr>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pPr>
              <w:jc w:val="center"/>
            </w:pPr>
            <w:r>
              <w:rPr>
                <w:b/>
                <w:bCs/>
                <w:color w:val="FFFFFF"/>
                <w:sz w:val="20"/>
                <w:szCs w:val="20"/>
              </w:rPr>
              <w:t>판정 기준</w:t>
            </w:r>
          </w:p>
        </w:tc>
        <w:tc>
          <w:tcPr>
            <w:tcW w:w="35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pPr>
              <w:jc w:val="center"/>
            </w:pPr>
            <w:r>
              <w:rPr>
                <w:b/>
                <w:bCs/>
                <w:color w:val="FFFFFF"/>
                <w:sz w:val="20"/>
                <w:szCs w:val="20"/>
              </w:rPr>
              <w:t>Pearson R</w:t>
            </w:r>
          </w:p>
        </w:tc>
        <w:tc>
          <w:tcPr>
            <w:tcW w:w="35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pPr>
              <w:jc w:val="center"/>
            </w:pPr>
            <w:r>
              <w:rPr>
                <w:b/>
                <w:bCs/>
                <w:color w:val="FFFFFF"/>
                <w:sz w:val="20"/>
                <w:szCs w:val="20"/>
              </w:rPr>
              <w:t>p-값</w:t>
            </w:r>
          </w:p>
        </w:tc>
      </w:tr>
      <w:tr>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pPr>
              <w:jc w:val="center"/>
            </w:pPr>
            <w:r>
              <w:rPr>
                <w:b/>
                <w:bCs/>
                <w:color w:val="217346"/>
                <w:sz w:val="20"/>
                <w:szCs w:val="20"/>
              </w:rPr>
              <w:t>강한 상관관계 ✓</w:t>
            </w:r>
          </w:p>
        </w:tc>
        <w:tc>
          <w:tcPr>
            <w:tcW w:w="35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pPr>
              <w:jc w:val="center"/>
            </w:pPr>
            <w:r>
              <w:rPr>
                <w:b/>
                <w:bCs/>
                <w:color w:val="217346"/>
                <w:sz w:val="20"/>
                <w:szCs w:val="20"/>
              </w:rPr>
              <w:t>0.7 이상</w:t>
            </w:r>
          </w:p>
        </w:tc>
        <w:tc>
          <w:tcPr>
            <w:tcW w:w="35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pPr>
              <w:jc w:val="center"/>
            </w:pPr>
            <w:r>
              <w:rPr>
                <w:b/>
                <w:bCs/>
                <w:color w:val="217346"/>
                <w:sz w:val="20"/>
                <w:szCs w:val="20"/>
              </w:rPr>
              <w:t>0.05 미만</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center"/>
            </w:pPr>
            <w:r>
              <w:rPr>
                <w:b w:val="0"/>
                <w:bCs w:val="0"/>
                <w:color w:val="333333"/>
                <w:sz w:val="20"/>
                <w:szCs w:val="20"/>
              </w:rPr>
              <w:t>중간 상관관계</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center"/>
            </w:pPr>
            <w:r>
              <w:rPr>
                <w:b w:val="0"/>
                <w:bCs w:val="0"/>
                <w:color w:val="333333"/>
                <w:sz w:val="20"/>
                <w:szCs w:val="20"/>
              </w:rPr>
              <w:t>0.5 ~ 0.7</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center"/>
            </w:pPr>
            <w:r>
              <w:rPr>
                <w:b w:val="0"/>
                <w:bCs w:val="0"/>
                <w:color w:val="333333"/>
                <w:sz w:val="20"/>
                <w:szCs w:val="20"/>
              </w:rPr>
              <w:t>0.1 미만</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pPr>
              <w:jc w:val="center"/>
            </w:pPr>
            <w:r>
              <w:rPr>
                <w:b w:val="0"/>
                <w:bCs w:val="0"/>
                <w:color w:val="333333"/>
                <w:sz w:val="20"/>
                <w:szCs w:val="20"/>
              </w:rPr>
              <w:t>약한 / 무관계</w:t>
            </w:r>
          </w:p>
        </w:tc>
        <w:tc>
          <w:tcPr>
            <w:tcW w:w="35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pPr>
              <w:jc w:val="center"/>
            </w:pPr>
            <w:r>
              <w:rPr>
                <w:b w:val="0"/>
                <w:bCs w:val="0"/>
                <w:color w:val="333333"/>
                <w:sz w:val="20"/>
                <w:szCs w:val="20"/>
              </w:rPr>
              <w:t>0.5 미만</w:t>
            </w:r>
          </w:p>
        </w:tc>
        <w:tc>
          <w:tcPr>
            <w:tcW w:w="35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pPr>
              <w:jc w:val="center"/>
            </w:pPr>
            <w:r>
              <w:rPr>
                <w:b w:val="0"/>
                <w:bCs w:val="0"/>
                <w:color w:val="333333"/>
                <w:sz w:val="20"/>
                <w:szCs w:val="20"/>
              </w:rPr>
              <w:t>0.1 이상</w:t>
            </w:r>
          </w:p>
        </w:tc>
      </w:tr>
    </w:tbl>
    <w:p>
      <w:pPr>
        <w:spacing w:before="80"/>
      </w:pPr>
    </w:p>
    <w:p>
      <w:pPr>
        <w:spacing w:after="100" w:before="60"/>
      </w:pPr>
      <w:r>
        <w:rPr>
          <w:b/>
          <w:bCs/>
          <w:color w:val="217346"/>
          <w:sz w:val="22"/>
          <w:szCs w:val="22"/>
        </w:rPr>
        <w:t>분석 결과: Pearson R = 0.7179, p-value = 0.0449 → 강한 시차 상관관계 확인</w:t>
      </w:r>
    </w:p>
    <w:p>
      <w:pPr>
        <w:spacing w:after="100" w:before="60"/>
      </w:pPr>
      <w:r>
        <w:rPr>
          <w:b/>
          <w:bCs/>
          <w:color w:val="2E5DA8"/>
          <w:sz w:val="22"/>
          <w:szCs w:val="22"/>
        </w:rPr>
        <w:t>→ 출력 파일: 02_시차기반_상관분석.png</w:t>
      </w:r>
    </w:p>
    <w:p>
      <w:pPr>
        <w:spacing w:before="120"/>
      </w:pPr>
    </w:p>
    <w:p>
      <w:pPr>
        <w:pStyle w:val="Heading2"/>
        <w:spacing w:after="120" w:before="240"/>
      </w:pPr>
      <w:r>
        <w:rPr>
          <w:b/>
          <w:bCs/>
          <w:color w:val="2E5DA8"/>
          <w:sz w:val="26"/>
          <w:szCs w:val="26"/>
        </w:rPr>
        <w:t>Step 3 — 모델 검증 &amp; 백테스팅</w:t>
      </w:r>
    </w:p>
    <w:p>
      <w:pPr>
        <w:spacing w:after="100" w:before="60"/>
      </w:pPr>
      <w:r>
        <w:rPr>
          <w:color w:val="333333"/>
          <w:sz w:val="22"/>
          <w:szCs w:val="22"/>
        </w:rPr>
        <w:t>상관관계가 확인되면 선형 회귀(Linear Regression)로 수식을 구합니다.</w:t>
      </w:r>
    </w:p>
    <w:p>
      <w:pPr>
        <w:jc w:val="center"/>
        <w:spacing w:after="100" w:before="100"/>
      </w:pPr>
      <w:r>
        <w:rPr>
          <w:b/>
          <w:bCs/>
          <w:i/>
          <w:iCs/>
          <w:color w:val="1F3864"/>
          <w:sz w:val="24"/>
          <w:szCs w:val="24"/>
        </w:rPr>
        <w:t>알루미늄 가격 (t) = 기울기 × EV 판매량 (t+1) + 절편</w:t>
      </w:r>
    </w:p>
    <w:p>
      <w:pPr>
        <w:spacing w:after="100" w:before="60"/>
      </w:pPr>
      <w:r>
        <w:rPr>
          <w:color w:val="333333"/>
          <w:sz w:val="22"/>
          <w:szCs w:val="22"/>
        </w:rPr>
        <w:t>2016~2023년 데이터로 수식을 학습한 뒤, 2024년 알루미늄 가격을 예측하고 실제 값과 비교합니다. 이 과정을 '백테스팅'이라고 하며, 과거 데이터로 모델이 얼마나 잘 맞았는지 검증하는 방법입니다.</w:t>
      </w:r>
    </w:p>
    <w:p>
      <w:pPr>
        <w:spacing w:before="80"/>
      </w:pPr>
    </w:p>
    <w:p>
      <w:pPr>
        <w:spacing w:after="80" w:before="180"/>
      </w:pPr>
      <w:r>
        <w:rPr>
          <w:b/>
          <w:bCs/>
          <w:color w:val="333333"/>
          <w:sz w:val="24"/>
          <w:szCs w:val="24"/>
        </w:rPr>
        <w:t>오차 지표 해석</w:t>
      </w:r>
    </w:p>
    <w:p>
      <w:pPr>
        <w:pStyle w:val="ListParagraph"/>
        <w:numPr>
          <w:ilvl w:val="0"/>
          <w:numId w:val="1"/>
        </w:numPr>
        <w:spacing w:after="40" w:before="40"/>
      </w:pPr>
      <w:r>
        <w:rPr>
          <w:color w:val="333333"/>
          <w:sz w:val="22"/>
          <w:szCs w:val="22"/>
        </w:rPr>
        <w:t>MAE (평균 절대 오차): 예측이 평균적으로 얼마나 빗나갔는지, 단위는 USD/ton</w:t>
      </w:r>
    </w:p>
    <w:p>
      <w:pPr>
        <w:pStyle w:val="ListParagraph"/>
        <w:numPr>
          <w:ilvl w:val="0"/>
          <w:numId w:val="1"/>
        </w:numPr>
        <w:spacing w:after="40" w:before="40"/>
      </w:pPr>
      <w:r>
        <w:rPr>
          <w:color w:val="333333"/>
          <w:sz w:val="22"/>
          <w:szCs w:val="22"/>
        </w:rPr>
        <w:t>RMSE: MAE와 비슷하나 큰 오차에 더 민감하게 반응</w:t>
      </w:r>
    </w:p>
    <w:p>
      <w:pPr>
        <w:pStyle w:val="ListParagraph"/>
        <w:numPr>
          <w:ilvl w:val="0"/>
          <w:numId w:val="1"/>
        </w:numPr>
        <w:spacing w:after="40" w:before="40"/>
      </w:pPr>
      <w:r>
        <w:rPr>
          <w:color w:val="333333"/>
          <w:sz w:val="22"/>
          <w:szCs w:val="22"/>
        </w:rPr>
        <w:t>오차율(%): 실제 가격 대비 오차 비율, 작을수록 정확</w:t>
      </w:r>
    </w:p>
    <w:p>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pPr>
              <w:jc w:val="center"/>
            </w:pPr>
            <w:r>
              <w:rPr>
                <w:b/>
                <w:bCs/>
                <w:color w:val="FFFFFF"/>
                <w:sz w:val="20"/>
                <w:szCs w:val="20"/>
              </w:rPr>
              <w:t>MAE 기준</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pPr>
              <w:jc w:val="center"/>
            </w:pPr>
            <w:r>
              <w:rPr>
                <w:b/>
                <w:bCs/>
                <w:color w:val="FFFFFF"/>
                <w:sz w:val="20"/>
                <w:szCs w:val="20"/>
              </w:rPr>
              <w:t>수준</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pPr>
              <w:jc w:val="center"/>
            </w:pPr>
            <w:r>
              <w:rPr>
                <w:b/>
                <w:bCs/>
                <w:color w:val="FFFFFF"/>
                <w:sz w:val="20"/>
                <w:szCs w:val="20"/>
              </w:rPr>
              <w:t>의미</w:t>
            </w:r>
          </w:p>
        </w:tc>
      </w:tr>
      <w:tr>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pPr>
              <w:jc w:val="center"/>
            </w:pPr>
            <w:r>
              <w:rPr>
                <w:b w:val="0"/>
                <w:bCs w:val="0"/>
                <w:color w:val="333333"/>
                <w:sz w:val="20"/>
                <w:szCs w:val="20"/>
              </w:rPr>
              <w:t>100 미만</w:t>
            </w:r>
          </w:p>
        </w:tc>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pPr>
              <w:jc w:val="center"/>
            </w:pPr>
            <w:r>
              <w:rPr>
                <w:b/>
                <w:bCs/>
                <w:color w:val="217346"/>
                <w:sz w:val="20"/>
                <w:szCs w:val="20"/>
              </w:rPr>
              <w:t>양호</w:t>
            </w:r>
          </w:p>
        </w:tc>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pPr>
              <w:jc w:val="center"/>
            </w:pPr>
            <w:r>
              <w:rPr>
                <w:b w:val="0"/>
                <w:bCs w:val="0"/>
                <w:color w:val="333333"/>
                <w:sz w:val="20"/>
                <w:szCs w:val="20"/>
              </w:rPr>
              <w:t>예측이 실제와 100달러 이내 차이</w:t>
            </w:r>
          </w:p>
        </w:tc>
      </w:tr>
      <w:tr>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center"/>
            </w:pPr>
            <w:r>
              <w:rPr>
                <w:b w:val="0"/>
                <w:bCs w:val="0"/>
                <w:color w:val="333333"/>
                <w:sz w:val="20"/>
                <w:szCs w:val="20"/>
              </w:rPr>
              <w:t>100 ~ 200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center"/>
            </w:pPr>
            <w:r>
              <w:rPr>
                <w:b w:val="0"/>
                <w:bCs w:val="0"/>
                <w:color w:val="333333"/>
                <w:sz w:val="20"/>
                <w:szCs w:val="20"/>
              </w:rPr>
              <w:t>보통</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center"/>
            </w:pPr>
            <w:r>
              <w:rPr>
                <w:b w:val="0"/>
                <w:bCs w:val="0"/>
                <w:color w:val="333333"/>
                <w:sz w:val="20"/>
                <w:szCs w:val="20"/>
              </w:rPr>
              <w:t>어느 정도 참고 가능한 수준</w:t>
            </w:r>
          </w:p>
        </w:tc>
      </w:tr>
      <w:tr>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pPr>
              <w:jc w:val="center"/>
            </w:pPr>
            <w:r>
              <w:rPr>
                <w:b w:val="0"/>
                <w:bCs w:val="0"/>
                <w:color w:val="333333"/>
                <w:sz w:val="20"/>
                <w:szCs w:val="20"/>
              </w:rPr>
              <w:t>200 이상</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pPr>
              <w:jc w:val="center"/>
            </w:pPr>
            <w:r>
              <w:rPr>
                <w:b w:val="0"/>
                <w:bCs w:val="0"/>
                <w:color w:val="333333"/>
                <w:sz w:val="20"/>
                <w:szCs w:val="20"/>
              </w:rPr>
              <w:t>미흡</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pPr>
              <w:jc w:val="center"/>
            </w:pPr>
            <w:r>
              <w:rPr>
                <w:b w:val="0"/>
                <w:bCs w:val="0"/>
                <w:color w:val="333333"/>
                <w:sz w:val="20"/>
                <w:szCs w:val="20"/>
              </w:rPr>
              <w:t>추가 변수 검토 필요</w:t>
            </w:r>
          </w:p>
        </w:tc>
      </w:tr>
    </w:tbl>
    <w:p>
      <w:pPr>
        <w:spacing w:before="80"/>
      </w:pPr>
    </w:p>
    <w:p>
      <w:pPr>
        <w:spacing w:after="100" w:before="60"/>
      </w:pPr>
      <w:r>
        <w:rPr>
          <w:b/>
          <w:bCs/>
          <w:color w:val="2E5DA8"/>
          <w:sz w:val="22"/>
          <w:szCs w:val="22"/>
        </w:rPr>
        <w:t>→ 출력 파일: 03_모델검증_백테스팅.png</w:t>
      </w:r>
    </w:p>
    <w:p>
      <w:pPr>
        <w:spacing w:before="200"/>
      </w:pPr>
    </w:p>
    <w:p>
      <w:pPr>
        <w:pBdr>
          <w:bottom w:val="single" w:sz="4" w:space="1" w:color="CCCCCC"/>
        </w:pBdr>
        <w:spacing w:after="160" w:before="160"/>
      </w:pPr>
    </w:p>
    <w:p>
      <w:pPr>
        <w:pStyle w:val="Heading1"/>
        <w:spacing w:after="160" w:before="320"/>
        <w:rPr>
          <w:lang/>
          <w:b/>
          <w:bCs/>
          <w:color w:val="1F3864"/>
          <w:sz w:val="30"/>
          <w:szCs w:val="30"/>
          <w:rtl w:val="off"/>
        </w:rPr>
      </w:pPr>
    </w:p>
    <w:p>
      <w:pPr>
        <w:pStyle w:val="Heading1"/>
        <w:spacing w:after="160" w:before="320"/>
      </w:pPr>
      <w:r>
        <w:rPr>
          <w:b/>
          <w:bCs/>
          <w:color w:val="1F3864"/>
          <w:sz w:val="30"/>
          <w:szCs w:val="30"/>
        </w:rPr>
        <w:t>4. 분석 결과 출력물 요약</w:t>
      </w:r>
    </w:p>
    <w:p>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3760"/>
        <w:gridCol w:w="4800"/>
      </w:tblGrid>
      <w:tr>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pPr>
              <w:jc w:val="center"/>
            </w:pPr>
            <w:r>
              <w:rPr>
                <w:b/>
                <w:bCs/>
                <w:color w:val="FFFFFF"/>
                <w:sz w:val="20"/>
                <w:szCs w:val="20"/>
              </w:rPr>
              <w:t>단계</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pPr>
              <w:jc w:val="center"/>
            </w:pPr>
            <w:r>
              <w:rPr>
                <w:b/>
                <w:bCs/>
                <w:color w:val="FFFFFF"/>
                <w:sz w:val="20"/>
                <w:szCs w:val="20"/>
              </w:rPr>
              <w:t>파일명</w:t>
            </w:r>
          </w:p>
        </w:tc>
        <w:tc>
          <w:tcPr>
            <w:tcW w:w="4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pPr>
              <w:jc w:val="center"/>
            </w:pPr>
            <w:r>
              <w:rPr>
                <w:b/>
                <w:bCs/>
                <w:color w:val="FFFFFF"/>
                <w:sz w:val="20"/>
                <w:szCs w:val="20"/>
              </w:rPr>
              <w:t>내용</w:t>
            </w:r>
          </w:p>
        </w:tc>
      </w:tr>
      <w:tr>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pPr>
              <w:jc w:val="center"/>
            </w:pPr>
            <w:r>
              <w:rPr>
                <w:color w:val="333333"/>
                <w:sz w:val="20"/>
                <w:szCs w:val="20"/>
              </w:rPr>
              <w:t>1</w:t>
            </w:r>
          </w:p>
        </w:tc>
        <w:tc>
          <w:tcPr>
            <w:tcW w:w="37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pPr>
              <w:jc w:val="left"/>
            </w:pPr>
            <w:r>
              <w:rPr>
                <w:color w:val="333333"/>
                <w:sz w:val="20"/>
                <w:szCs w:val="20"/>
              </w:rPr>
              <w:t>01_EV판매량_알루미늄가격_추세.png 01_EV판매량_알루미늄가격_데이터.csv</w:t>
            </w:r>
          </w:p>
        </w:tc>
        <w:tc>
          <w:tcPr>
            <w:tcW w:w="4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pPr>
              <w:jc w:val="left"/>
            </w:pPr>
            <w:r>
              <w:rPr>
                <w:color w:val="333333"/>
                <w:sz w:val="20"/>
                <w:szCs w:val="20"/>
              </w:rPr>
              <w:t>이중 축 추세 비교 차트 / 원본 데이터</w:t>
            </w:r>
          </w:p>
        </w:tc>
      </w:tr>
      <w:tr>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center"/>
            </w:pPr>
            <w:r>
              <w:rPr>
                <w:color w:val="333333"/>
                <w:sz w:val="20"/>
                <w:szCs w:val="20"/>
              </w:rPr>
              <w:t>2</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color w:val="333333"/>
                <w:sz w:val="20"/>
                <w:szCs w:val="20"/>
              </w:rPr>
              <w:t>02_시차기반_상관분석.png 02_시차기반_상관분석_데이터.csv</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color w:val="333333"/>
                <w:sz w:val="20"/>
                <w:szCs w:val="20"/>
              </w:rPr>
              <w:t>시차 적용 산점도 + 회귀선 / 매칭 데이터</w:t>
            </w:r>
          </w:p>
        </w:tc>
      </w:tr>
      <w:tr>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pPr>
              <w:jc w:val="center"/>
            </w:pPr>
            <w:r>
              <w:rPr>
                <w:color w:val="333333"/>
                <w:sz w:val="20"/>
                <w:szCs w:val="20"/>
              </w:rPr>
              <w:t>3</w:t>
            </w:r>
          </w:p>
        </w:tc>
        <w:tc>
          <w:tcPr>
            <w:tcW w:w="37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pPr>
              <w:jc w:val="left"/>
            </w:pPr>
            <w:r>
              <w:rPr>
                <w:color w:val="333333"/>
                <w:sz w:val="20"/>
                <w:szCs w:val="20"/>
              </w:rPr>
              <w:t>03_모델검증_백테스팅.png 03_모델검증_백테스팅_데이터.csv</w:t>
            </w:r>
          </w:p>
        </w:tc>
        <w:tc>
          <w:tcPr>
            <w:tcW w:w="4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pPr>
              <w:jc w:val="left"/>
            </w:pPr>
            <w:r>
              <w:rPr>
                <w:color w:val="333333"/>
                <w:sz w:val="20"/>
                <w:szCs w:val="20"/>
              </w:rPr>
              <w:t>2024년 예측 vs 실제 비교 / 오차 지표</w:t>
            </w:r>
          </w:p>
        </w:tc>
      </w:tr>
    </w:tbl>
    <w:p>
      <w:pPr>
        <w:spacing w:before="200"/>
      </w:pPr>
    </w:p>
    <w:p>
      <w:pPr>
        <w:pBdr>
          <w:bottom w:val="single" w:sz="4" w:space="1" w:color="CCCCCC"/>
        </w:pBdr>
        <w:spacing w:after="160" w:before="160"/>
      </w:pPr>
    </w:p>
    <w:p>
      <w:pPr>
        <w:pStyle w:val="Heading1"/>
        <w:spacing w:after="160" w:before="320"/>
      </w:pPr>
      <w:r>
        <w:rPr>
          <w:b/>
          <w:bCs/>
          <w:color w:val="1F3864"/>
          <w:sz w:val="30"/>
          <w:szCs w:val="30"/>
        </w:rPr>
        <w:t>5. 분석의 한계 및 주의사항</w:t>
      </w:r>
    </w:p>
    <w:p>
      <w:pPr>
        <w:pStyle w:val="ListParagraph"/>
        <w:numPr>
          <w:ilvl w:val="0"/>
          <w:numId w:val="1"/>
        </w:numPr>
        <w:spacing w:after="40" w:before="40"/>
      </w:pPr>
      <w:r>
        <w:rPr>
          <w:color w:val="333333"/>
          <w:sz w:val="22"/>
          <w:szCs w:val="22"/>
        </w:rPr>
        <w:t>단변수 모델: EV 판매량 하나만으로 예측하므로, 에너지 가격·지정학적 리스크 등 다른 요인은 반영되지 않습니다.</w:t>
      </w:r>
    </w:p>
    <w:p>
      <w:pPr>
        <w:pStyle w:val="ListParagraph"/>
        <w:numPr>
          <w:ilvl w:val="0"/>
          <w:numId w:val="1"/>
        </w:numPr>
        <w:spacing w:after="40" w:before="40"/>
      </w:pPr>
      <w:r>
        <w:rPr>
          <w:color w:val="333333"/>
          <w:sz w:val="22"/>
          <w:szCs w:val="22"/>
        </w:rPr>
        <w:t>데이터 수 제한: 2016~2023년 8개 연도만 학습에 사용되어 통계적 신뢰도가 제한적입니다.</w:t>
      </w:r>
    </w:p>
    <w:p>
      <w:pPr>
        <w:pStyle w:val="ListParagraph"/>
        <w:numPr>
          <w:ilvl w:val="0"/>
          <w:numId w:val="1"/>
        </w:numPr>
        <w:spacing w:after="40" w:before="40"/>
      </w:pPr>
      <w:r>
        <w:rPr>
          <w:color w:val="333333"/>
          <w:sz w:val="22"/>
          <w:szCs w:val="22"/>
        </w:rPr>
        <w:t>선형 가정: 두 변수의 관계가 직선이라고 가정하지만, 실제로는 비선형일 수 있습니다.</w:t>
      </w:r>
    </w:p>
    <w:p>
      <w:pPr>
        <w:pStyle w:val="ListParagraph"/>
        <w:numPr>
          <w:ilvl w:val="0"/>
          <w:numId w:val="1"/>
        </w:numPr>
        <w:spacing w:after="40" w:before="40"/>
      </w:pPr>
      <w:r>
        <w:rPr>
          <w:color w:val="333333"/>
          <w:sz w:val="22"/>
          <w:szCs w:val="22"/>
        </w:rPr>
        <w:t>시차 고정: 1년 시차만 적용했으며, 실제로는 시차가 더 길거나 짧을 수도 있습니다.</w:t>
      </w:r>
    </w:p>
    <w:p>
      <w:pPr>
        <w:spacing w:before="200"/>
      </w:pPr>
    </w:p>
    <w:sectPr>
      <w:pgSz w:w="12240" w:h="15840"/>
      <w:pgMar w:top="1440" w:right="1440" w:bottom="1440" w:left="1440" w:header="708" w:footer="708"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Arial">
    <w:panose1 w:val="020B0604020202020204"/>
    <w:charset w:val="00"/>
    <w:notTrueType w:val="false"/>
    <w:sig w:usb0="E0002EFF" w:usb1="C000785B" w:usb2="00000009" w:usb3="00000001" w:csb0="400001FF" w:csb1="FFFF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multiLevelType w:val="hybridMultilevel"/>
    <w:lvl w:ilvl="0" w:tentative="on">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displayBackgroundShape/>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LA" w:eastAsia="ko-KR" w:bidi="ar-SA"/>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35" w:unhideWhenUsed="1"/>
    <w:lsdException w:name="toc 2" w:semiHidden="1" w:uiPriority="135" w:unhideWhenUsed="1"/>
    <w:lsdException w:name="toc 3" w:semiHidden="1" w:uiPriority="135" w:unhideWhenUsed="1"/>
    <w:lsdException w:name="toc 4" w:semiHidden="1" w:uiPriority="135" w:unhideWhenUsed="1"/>
    <w:lsdException w:name="toc 5" w:semiHidden="1" w:uiPriority="135" w:unhideWhenUsed="1"/>
    <w:lsdException w:name="toc 6" w:semiHidden="1" w:uiPriority="135" w:unhideWhenUsed="1"/>
    <w:lsdException w:name="toc 7" w:semiHidden="1" w:uiPriority="135" w:unhideWhenUsed="1"/>
    <w:lsdException w:name="toc 8" w:semiHidden="1" w:uiPriority="135" w:unhideWhenUsed="1"/>
    <w:lsdException w:name="toc 9" w:semiHidden="1" w:uiPriority="135"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3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82" w:qFormat="1"/>
    <w:lsdException w:name="Emphasis" w:uiPriority="8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35"/>
    <w:lsdException w:name="Table Theme" w:semiHidden="1" w:unhideWhenUsed="1"/>
    <w:lsdException w:name="Placeholder Text" w:semiHidden="1"/>
    <w:lsdException w:name="No Spacing" w:uiPriority="1" w:qFormat="1"/>
    <w:lsdException w:name="Light Shading" w:uiPriority="336"/>
    <w:lsdException w:name="Light List" w:uiPriority="337"/>
    <w:lsdException w:name="Light Grid" w:uiPriority="338"/>
    <w:lsdException w:name="Medium Shading 1" w:uiPriority="339"/>
    <w:lsdException w:name="Medium Shading 2" w:uiPriority="598"/>
    <w:lsdException w:name="Medium List 1" w:uiPriority="599"/>
    <w:lsdException w:name="Medium List 2" w:uiPriority="600"/>
    <w:lsdException w:name="Medium Grid 1" w:uiPriority="601"/>
    <w:lsdException w:name="Medium Grid 2" w:uiPriority="608"/>
    <w:lsdException w:name="Medium Grid 3" w:uiPriority="609"/>
    <w:lsdException w:name="Dark List" w:uiPriority="628"/>
    <w:lsdException w:name="Colorful Shading" w:uiPriority="629"/>
    <w:lsdException w:name="Colorful List" w:uiPriority="630"/>
    <w:lsdException w:name="Colorful Grid" w:uiPriority="631"/>
    <w:lsdException w:name="Light Shading Accent 1" w:uiPriority="336"/>
    <w:lsdException w:name="Light List Accent 1" w:uiPriority="337"/>
    <w:lsdException w:name="Light Grid Accent 1" w:uiPriority="338"/>
    <w:lsdException w:name="Medium Shading 1 Accent 1" w:uiPriority="339"/>
    <w:lsdException w:name="Medium Shading 2 Accent 1" w:uiPriority="598"/>
    <w:lsdException w:name="Medium List 1 Accent 1" w:uiPriority="599"/>
    <w:lsdException w:name="Revision" w:semiHidden="1"/>
    <w:lsdException w:name="List Paragraph" w:uiPriority="130" w:qFormat="1"/>
    <w:lsdException w:name="Quote" w:uiPriority="101" w:qFormat="1"/>
    <w:lsdException w:name="Intense Quote" w:uiPriority="114" w:qFormat="1"/>
    <w:lsdException w:name="Medium List 2 Accent 1" w:uiPriority="600"/>
    <w:lsdException w:name="Medium Grid 1 Accent 1" w:uiPriority="601"/>
    <w:lsdException w:name="Medium Grid 2 Accent 1" w:uiPriority="608"/>
    <w:lsdException w:name="Medium Grid 3 Accent 1" w:uiPriority="609"/>
    <w:lsdException w:name="Dark List Accent 1" w:uiPriority="628"/>
    <w:lsdException w:name="Colorful Shading Accent 1" w:uiPriority="629"/>
    <w:lsdException w:name="Colorful List Accent 1" w:uiPriority="630"/>
    <w:lsdException w:name="Colorful Grid Accent 1" w:uiPriority="631"/>
    <w:lsdException w:name="Light Shading Accent 2" w:uiPriority="336"/>
    <w:lsdException w:name="Light List Accent 2" w:uiPriority="337"/>
    <w:lsdException w:name="Light Grid Accent 2" w:uiPriority="338"/>
    <w:lsdException w:name="Medium Shading 1 Accent 2" w:uiPriority="339"/>
    <w:lsdException w:name="Medium Shading 2 Accent 2" w:uiPriority="598"/>
    <w:lsdException w:name="Medium List 1 Accent 2" w:uiPriority="599"/>
    <w:lsdException w:name="Medium List 2 Accent 2" w:uiPriority="600"/>
    <w:lsdException w:name="Medium Grid 1 Accent 2" w:uiPriority="601"/>
    <w:lsdException w:name="Medium Grid 2 Accent 2" w:uiPriority="608"/>
    <w:lsdException w:name="Medium Grid 3 Accent 2" w:uiPriority="609"/>
    <w:lsdException w:name="Dark List Accent 2" w:uiPriority="628"/>
    <w:lsdException w:name="Colorful Shading Accent 2" w:uiPriority="629"/>
    <w:lsdException w:name="Colorful List Accent 2" w:uiPriority="630"/>
    <w:lsdException w:name="Colorful Grid Accent 2" w:uiPriority="631"/>
    <w:lsdException w:name="Light Shading Accent 3" w:uiPriority="336"/>
    <w:lsdException w:name="Light List Accent 3" w:uiPriority="337"/>
    <w:lsdException w:name="Light Grid Accent 3" w:uiPriority="338"/>
    <w:lsdException w:name="Medium Shading 1 Accent 3" w:uiPriority="339"/>
    <w:lsdException w:name="Medium Shading 2 Accent 3" w:uiPriority="598"/>
    <w:lsdException w:name="Medium List 1 Accent 3" w:uiPriority="599"/>
    <w:lsdException w:name="Medium List 2 Accent 3" w:uiPriority="600"/>
    <w:lsdException w:name="Medium Grid 1 Accent 3" w:uiPriority="601"/>
    <w:lsdException w:name="Medium Grid 2 Accent 3" w:uiPriority="608"/>
    <w:lsdException w:name="Medium Grid 3 Accent 3" w:uiPriority="609"/>
    <w:lsdException w:name="Dark List Accent 3" w:uiPriority="628"/>
    <w:lsdException w:name="Colorful Shading Accent 3" w:uiPriority="629"/>
    <w:lsdException w:name="Colorful List Accent 3" w:uiPriority="630"/>
    <w:lsdException w:name="Colorful Grid Accent 3" w:uiPriority="631"/>
    <w:lsdException w:name="Light Shading Accent 4" w:uiPriority="336"/>
    <w:lsdException w:name="Light List Accent 4" w:uiPriority="337"/>
    <w:lsdException w:name="Light Grid Accent 4" w:uiPriority="338"/>
    <w:lsdException w:name="Medium Shading 1 Accent 4" w:uiPriority="339"/>
    <w:lsdException w:name="Medium Shading 2 Accent 4" w:uiPriority="598"/>
    <w:lsdException w:name="Medium List 1 Accent 4" w:uiPriority="599"/>
    <w:lsdException w:name="Medium List 2 Accent 4" w:uiPriority="600"/>
    <w:lsdException w:name="Medium Grid 1 Accent 4" w:uiPriority="601"/>
    <w:lsdException w:name="Medium Grid 2 Accent 4" w:uiPriority="608"/>
    <w:lsdException w:name="Medium Grid 3 Accent 4" w:uiPriority="609"/>
    <w:lsdException w:name="Dark List Accent 4" w:uiPriority="628"/>
    <w:lsdException w:name="Colorful Shading Accent 4" w:uiPriority="629"/>
    <w:lsdException w:name="Colorful List Accent 4" w:uiPriority="630"/>
    <w:lsdException w:name="Colorful Grid Accent 4" w:uiPriority="631"/>
    <w:lsdException w:name="Light Shading Accent 5" w:uiPriority="336"/>
    <w:lsdException w:name="Light List Accent 5" w:uiPriority="337"/>
    <w:lsdException w:name="Light Grid Accent 5" w:uiPriority="338"/>
    <w:lsdException w:name="Medium Shading 1 Accent 5" w:uiPriority="339"/>
    <w:lsdException w:name="Medium Shading 2 Accent 5" w:uiPriority="598"/>
    <w:lsdException w:name="Medium List 1 Accent 5" w:uiPriority="599"/>
    <w:lsdException w:name="Medium List 2 Accent 5" w:uiPriority="600"/>
    <w:lsdException w:name="Medium Grid 1 Accent 5" w:uiPriority="601"/>
    <w:lsdException w:name="Medium Grid 2 Accent 5" w:uiPriority="608"/>
    <w:lsdException w:name="Medium Grid 3 Accent 5" w:uiPriority="609"/>
    <w:lsdException w:name="Dark List Accent 5" w:uiPriority="628"/>
    <w:lsdException w:name="Colorful Shading Accent 5" w:uiPriority="629"/>
    <w:lsdException w:name="Colorful List Accent 5" w:uiPriority="630"/>
    <w:lsdException w:name="Colorful Grid Accent 5" w:uiPriority="631"/>
    <w:lsdException w:name="Light Shading Accent 6" w:uiPriority="336"/>
    <w:lsdException w:name="Light List Accent 6" w:uiPriority="337"/>
    <w:lsdException w:name="Light Grid Accent 6" w:uiPriority="338"/>
    <w:lsdException w:name="Medium Shading 1 Accent 6" w:uiPriority="339"/>
    <w:lsdException w:name="Medium Shading 2 Accent 6" w:uiPriority="598"/>
    <w:lsdException w:name="Medium List 1 Accent 6" w:uiPriority="599"/>
    <w:lsdException w:name="Medium List 2 Accent 6" w:uiPriority="600"/>
    <w:lsdException w:name="Medium Grid 1 Accent 6" w:uiPriority="601"/>
    <w:lsdException w:name="Medium Grid 2 Accent 6" w:uiPriority="608"/>
    <w:lsdException w:name="Medium Grid 3 Accent 6" w:uiPriority="609"/>
    <w:lsdException w:name="Dark List Accent 6" w:uiPriority="628"/>
    <w:lsdException w:name="Colorful Shading Accent 6" w:uiPriority="629"/>
    <w:lsdException w:name="Colorful List Accent 6" w:uiPriority="630"/>
    <w:lsdException w:name="Colorful Grid Accent 6" w:uiPriority="631"/>
    <w:lsdException w:name="Subtle Emphasis" w:uiPriority="55" w:qFormat="1"/>
    <w:lsdException w:name="Intense Emphasis" w:uiPriority="81" w:qFormat="1"/>
    <w:lsdException w:name="Subtle Reference" w:uiPriority="115" w:qFormat="1"/>
    <w:lsdException w:name="Intense Reference" w:uiPriority="128" w:qFormat="1"/>
    <w:lsdException w:name="Book Title" w:uiPriority="129" w:qFormat="1"/>
    <w:lsdException w:name="Bibliography" w:semiHidden="1" w:uiPriority="133" w:unhideWhenUsed="1"/>
    <w:lsdException w:name="TOC Heading" w:semiHidden="1" w:uiPriority="135" w:unhideWhenUsed="1" w:qFormat="1"/>
    <w:lsdException w:name="Plain Table 1" w:uiPriority="257"/>
    <w:lsdException w:name="Plain Table 2" w:uiPriority="258"/>
    <w:lsdException w:name="Plain Table 3" w:uiPriority="259"/>
    <w:lsdException w:name="Plain Table 4" w:uiPriority="260"/>
    <w:lsdException w:name="Plain Table 5" w:uiPriority="261"/>
    <w:lsdException w:name="Grid Table Light" w:uiPriority="256"/>
    <w:lsdException w:name="Grid Table 1 Light" w:uiPriority="274"/>
    <w:lsdException w:name="Grid Table 2" w:uiPriority="275"/>
    <w:lsdException w:name="Grid Table 3" w:uiPriority="276"/>
    <w:lsdException w:name="Grid Table 4" w:uiPriority="277"/>
    <w:lsdException w:name="Grid Table 5 Dark" w:uiPriority="296"/>
    <w:lsdException w:name="Grid Table 6 Colorful" w:uiPriority="297"/>
    <w:lsdException w:name="Grid Table 7 Colorful" w:uiPriority="304"/>
    <w:lsdException w:name="Grid Table 1 Light Accent 1" w:uiPriority="274"/>
    <w:lsdException w:name="Grid Table 2 Accent 1" w:uiPriority="275"/>
    <w:lsdException w:name="Grid Table 3 Accent 1" w:uiPriority="276"/>
    <w:lsdException w:name="Grid Table 4 Accent 1" w:uiPriority="277"/>
    <w:lsdException w:name="Grid Table 5 Dark Accent 1" w:uiPriority="296"/>
    <w:lsdException w:name="Grid Table 6 Colorful Accent 1" w:uiPriority="297"/>
    <w:lsdException w:name="Grid Table 7 Colorful Accent 1" w:uiPriority="304"/>
    <w:lsdException w:name="Grid Table 1 Light Accent 2" w:uiPriority="274"/>
    <w:lsdException w:name="Grid Table 2 Accent 2" w:uiPriority="275"/>
    <w:lsdException w:name="Grid Table 3 Accent 2" w:uiPriority="276"/>
    <w:lsdException w:name="Grid Table 4 Accent 2" w:uiPriority="277"/>
    <w:lsdException w:name="Grid Table 5 Dark Accent 2" w:uiPriority="296"/>
    <w:lsdException w:name="Grid Table 6 Colorful Accent 2" w:uiPriority="297"/>
    <w:lsdException w:name="Grid Table 7 Colorful Accent 2" w:uiPriority="304"/>
    <w:lsdException w:name="Grid Table 1 Light Accent 3" w:uiPriority="274"/>
    <w:lsdException w:name="Grid Table 2 Accent 3" w:uiPriority="275"/>
    <w:lsdException w:name="Grid Table 3 Accent 3" w:uiPriority="276"/>
    <w:lsdException w:name="Grid Table 4 Accent 3" w:uiPriority="277"/>
    <w:lsdException w:name="Grid Table 5 Dark Accent 3" w:uiPriority="296"/>
    <w:lsdException w:name="Grid Table 6 Colorful Accent 3" w:uiPriority="297"/>
    <w:lsdException w:name="Grid Table 7 Colorful Accent 3" w:uiPriority="304"/>
    <w:lsdException w:name="Grid Table 1 Light Accent 4" w:uiPriority="274"/>
    <w:lsdException w:name="Grid Table 2 Accent 4" w:uiPriority="275"/>
    <w:lsdException w:name="Grid Table 3 Accent 4" w:uiPriority="276"/>
    <w:lsdException w:name="Grid Table 4 Accent 4" w:uiPriority="277"/>
    <w:lsdException w:name="Grid Table 5 Dark Accent 4" w:uiPriority="296"/>
    <w:lsdException w:name="Grid Table 6 Colorful Accent 4" w:uiPriority="297"/>
    <w:lsdException w:name="Grid Table 7 Colorful Accent 4" w:uiPriority="304"/>
    <w:lsdException w:name="Grid Table 1 Light Accent 5" w:uiPriority="274"/>
    <w:lsdException w:name="Grid Table 2 Accent 5" w:uiPriority="275"/>
    <w:lsdException w:name="Grid Table 3 Accent 5" w:uiPriority="276"/>
    <w:lsdException w:name="Grid Table 4 Accent 5" w:uiPriority="277"/>
    <w:lsdException w:name="Grid Table 5 Dark Accent 5" w:uiPriority="296"/>
    <w:lsdException w:name="Grid Table 6 Colorful Accent 5" w:uiPriority="297"/>
    <w:lsdException w:name="Grid Table 7 Colorful Accent 5" w:uiPriority="304"/>
    <w:lsdException w:name="Grid Table 1 Light Accent 6" w:uiPriority="274"/>
    <w:lsdException w:name="Grid Table 2 Accent 6" w:uiPriority="275"/>
    <w:lsdException w:name="Grid Table 3 Accent 6" w:uiPriority="276"/>
    <w:lsdException w:name="Grid Table 4 Accent 6" w:uiPriority="277"/>
    <w:lsdException w:name="Grid Table 5 Dark Accent 6" w:uiPriority="296"/>
    <w:lsdException w:name="Grid Table 6 Colorful Accent 6" w:uiPriority="297"/>
    <w:lsdException w:name="Grid Table 7 Colorful Accent 6" w:uiPriority="304"/>
    <w:lsdException w:name="List Table 1 Light" w:uiPriority="274"/>
    <w:lsdException w:name="List Table 2" w:uiPriority="275"/>
    <w:lsdException w:name="List Table 3" w:uiPriority="276"/>
    <w:lsdException w:name="List Table 4" w:uiPriority="277"/>
    <w:lsdException w:name="List Table 5 Dark" w:uiPriority="296"/>
    <w:lsdException w:name="List Table 6 Colorful" w:uiPriority="297"/>
    <w:lsdException w:name="List Table 7 Colorful" w:uiPriority="304"/>
    <w:lsdException w:name="List Table 1 Light Accent 1" w:uiPriority="274"/>
    <w:lsdException w:name="List Table 2 Accent 1" w:uiPriority="275"/>
    <w:lsdException w:name="List Table 3 Accent 1" w:uiPriority="276"/>
    <w:lsdException w:name="List Table 4 Accent 1" w:uiPriority="277"/>
    <w:lsdException w:name="List Table 5 Dark Accent 1" w:uiPriority="296"/>
    <w:lsdException w:name="List Table 6 Colorful Accent 1" w:uiPriority="297"/>
    <w:lsdException w:name="List Table 7 Colorful Accent 1" w:uiPriority="304"/>
    <w:lsdException w:name="List Table 1 Light Accent 2" w:uiPriority="274"/>
    <w:lsdException w:name="List Table 2 Accent 2" w:uiPriority="275"/>
    <w:lsdException w:name="List Table 3 Accent 2" w:uiPriority="276"/>
    <w:lsdException w:name="List Table 4 Accent 2" w:uiPriority="277"/>
    <w:lsdException w:name="List Table 5 Dark Accent 2" w:uiPriority="296"/>
    <w:lsdException w:name="List Table 6 Colorful Accent 2" w:uiPriority="297"/>
    <w:lsdException w:name="List Table 7 Colorful Accent 2" w:uiPriority="304"/>
    <w:lsdException w:name="List Table 1 Light Accent 3" w:uiPriority="274"/>
    <w:lsdException w:name="List Table 2 Accent 3" w:uiPriority="275"/>
    <w:lsdException w:name="List Table 3 Accent 3" w:uiPriority="276"/>
    <w:lsdException w:name="List Table 4 Accent 3" w:uiPriority="277"/>
    <w:lsdException w:name="List Table 5 Dark Accent 3" w:uiPriority="296"/>
    <w:lsdException w:name="List Table 6 Colorful Accent 3" w:uiPriority="297"/>
    <w:lsdException w:name="List Table 7 Colorful Accent 3" w:uiPriority="304"/>
    <w:lsdException w:name="List Table 1 Light Accent 4" w:uiPriority="274"/>
    <w:lsdException w:name="List Table 2 Accent 4" w:uiPriority="275"/>
    <w:lsdException w:name="List Table 3 Accent 4" w:uiPriority="276"/>
    <w:lsdException w:name="List Table 4 Accent 4" w:uiPriority="277"/>
    <w:lsdException w:name="List Table 5 Dark Accent 4" w:uiPriority="296"/>
    <w:lsdException w:name="List Table 6 Colorful Accent 4" w:uiPriority="297"/>
    <w:lsdException w:name="List Table 7 Colorful Accent 4" w:uiPriority="304"/>
    <w:lsdException w:name="List Table 1 Light Accent 5" w:uiPriority="274"/>
    <w:lsdException w:name="List Table 2 Accent 5" w:uiPriority="275"/>
    <w:lsdException w:name="List Table 3 Accent 5" w:uiPriority="276"/>
    <w:lsdException w:name="List Table 4 Accent 5" w:uiPriority="277"/>
    <w:lsdException w:name="List Table 5 Dark Accent 5" w:uiPriority="296"/>
    <w:lsdException w:name="List Table 6 Colorful Accent 5" w:uiPriority="297"/>
    <w:lsdException w:name="List Table 7 Colorful Accent 5" w:uiPriority="304"/>
    <w:lsdException w:name="List Table 1 Light Accent 6" w:uiPriority="274"/>
    <w:lsdException w:name="List Table 2 Accent 6" w:uiPriority="275"/>
    <w:lsdException w:name="List Table 3 Accent 6" w:uiPriority="276"/>
    <w:lsdException w:name="List Table 4 Accent 6" w:uiPriority="277"/>
    <w:lsdException w:name="List Table 5 Dark Accent 6" w:uiPriority="296"/>
    <w:lsdException w:name="List Table 6 Colorful Accent 6" w:uiPriority="297"/>
    <w:lsdException w:name="List Table 7 Colorful Accent 6" w:uiPriority="304"/>
  </w:latentStyles>
  <w:style w:type="paragraph" w:styleId="Title">
    <w:name w:val="Title"/>
    <w:next w:val="Title"/>
    <w:qFormat/>
    <w:rPr>
      <w:sz w:val="56"/>
      <w:szCs w:val="56"/>
    </w:rPr>
  </w:style>
  <w:style w:type="paragraph" w:customStyle="1" w:styleId="Heading1">
    <w:name w:val="Heading 1"/>
    <w:next w:val="Title"/>
    <w:qFormat/>
    <w:rPr>
      <w:color w:val="2E74B5"/>
      <w:sz w:val="32"/>
      <w:szCs w:val="32"/>
    </w:rPr>
  </w:style>
  <w:style w:type="paragraph" w:customStyle="1" w:styleId="Heading2">
    <w:name w:val="Heading 2"/>
    <w:next w:val="Title"/>
    <w:qFormat/>
    <w:rPr>
      <w:color w:val="2E74B5"/>
      <w:sz w:val="26"/>
      <w:szCs w:val="26"/>
    </w:rPr>
  </w:style>
  <w:style w:type="paragraph" w:customStyle="1" w:styleId="Heading3">
    <w:name w:val="Heading 3"/>
    <w:next w:val="Title"/>
    <w:qFormat/>
    <w:rPr>
      <w:color w:val="1F4D78"/>
      <w:sz w:val="24"/>
      <w:szCs w:val="24"/>
    </w:rPr>
  </w:style>
  <w:style w:type="paragraph" w:customStyle="1" w:styleId="Heading4">
    <w:name w:val="Heading 4"/>
    <w:next w:val="Title"/>
    <w:qFormat/>
    <w:rPr>
      <w:i/>
      <w:iCs/>
      <w:color w:val="2E74B5"/>
    </w:rPr>
  </w:style>
  <w:style w:type="paragraph" w:customStyle="1" w:styleId="Heading5">
    <w:name w:val="Heading 5"/>
    <w:next w:val="Title"/>
    <w:qFormat/>
    <w:rPr>
      <w:color w:val="2E74B5"/>
    </w:rPr>
  </w:style>
  <w:style w:type="paragraph" w:customStyle="1" w:styleId="Heading6">
    <w:name w:val="Heading 6"/>
    <w:next w:val="Title"/>
    <w:qFormat/>
    <w:rPr>
      <w:color w:val="1F4D78"/>
    </w:rPr>
  </w:style>
  <w:style w:type="paragraph" w:styleId="Strong">
    <w:name w:val="Strong"/>
    <w:next w:val="Title"/>
    <w:qFormat/>
    <w:rPr>
      <w:b/>
      <w:bCs/>
    </w:rPr>
  </w:style>
  <w:style w:type="paragraph" w:styleId="ListParagraph">
    <w:name w:val="List Paragraph"/>
    <w:qFormat/>
  </w:style>
  <w:style w:type="character" w:styleId="Hyperlink">
    <w:name w:val="Hyperlink"/>
    <w:uiPriority w:val="99"/>
    <w:unhideWhenUsed/>
    <w:rPr>
      <w:color w:val="0563C1"/>
      <w:u w:val="single" w:color="auto"/>
    </w:rPr>
  </w:style>
  <w:style w:type="character" w:styleId="FootnoteReference">
    <w:name w:val="footnote reference"/>
    <w:uiPriority w:val="99"/>
    <w:semiHidden/>
    <w:unhideWhenUsed/>
    <w:rPr>
      <w:vertAlign w:val="superscript"/>
    </w:rPr>
  </w:style>
  <w:style w:type="paragraph" w:styleId="FootnoteText">
    <w:name w:val="footnote text"/>
    <w:uiPriority w:val="99"/>
    <w:link w:val="FootnoteTextChar"/>
    <w:semiHidden/>
    <w:unhideWhenUsed/>
    <w:pPr>
      <w:spacing w:after="0" w:line="240" w:lineRule="auto"/>
    </w:pPr>
    <w:rPr>
      <w:sz w:val="20"/>
      <w:szCs w:val="20"/>
    </w:rPr>
  </w:style>
  <w:style w:type="character" w:customStyle="1" w:styleId="FootnoteTextChar">
    <w:name w:val="Footnote Text Char"/>
    <w:uiPriority w:val="99"/>
    <w:link w:val="FootnoteText"/>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uiPriority w:val="99"/>
    <w:link w:val="EndnoteTextChar"/>
    <w:semiHidden/>
    <w:unhideWhenUsed/>
    <w:pPr>
      <w:spacing w:after="0" w:line="240" w:lineRule="auto"/>
    </w:pPr>
    <w:rPr>
      <w:sz w:val="20"/>
      <w:szCs w:val="20"/>
    </w:rPr>
  </w:style>
  <w:style w:type="character" w:customStyle="1" w:styleId="EndnoteTextChar">
    <w:name w:val="Endnote Text Char"/>
    <w:uiPriority w:val="99"/>
    <w:link w:val="EndnoteText"/>
    <w:semiHidden/>
    <w:unhideWhenUsed/>
    <w:rPr>
      <w:sz w:val="20"/>
      <w:szCs w:val="20"/>
    </w:rPr>
  </w:style>
  <w:style w:type="table" w:default="1" w:styleId="a4">
    <w:name w:val="Normal Table"/>
    <w:uiPriority w:val="99"/>
    <w:semiHidden/>
    <w:unhideWhenUsed/>
    <w:tblPr>
      <w:tblInd w:w="0" w:type="dxa"/>
      <w:tblCellMar>
        <w:top w:w="0" w:type="dxa"/>
        <w:left w:w="108" w:type="dxa"/>
        <w:bottom w:w="0" w:type="dxa"/>
        <w:right w:w="108" w:type="dxa"/>
      </w:tblCellMar>
    </w:tblPr>
  </w:style>
  <w:style w:type="character" w:default="1" w:styleId="a3">
    <w:name w:val="Default Paragraph Font"/>
    <w:uiPriority w:val="1"/>
    <w:semiHidden/>
    <w:unhideWhenUsed/>
  </w:style>
  <w:style w:type="paragraph" w:default="1" w:styleId="a2">
    <w:name w:val="Normal"/>
    <w:qFormat/>
    <w:pPr>
      <w:autoSpaceDE w:val="off"/>
      <w:autoSpaceDN w:val="off"/>
      <w:widowControl w:val="off"/>
      <w:wordWrap w:val="off"/>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numbering" Target="numbering.xml" /><Relationship Id="rId6"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KDT37</cp:lastModifiedBy>
  <cp:revision>1</cp:revision>
  <dcterms:modified xsi:type="dcterms:W3CDTF">2026-05-31T10:28:51Z</dcterms:modified>
  <cp:version>1200.0100.01</cp:version>
</cp:coreProperties>
</file>