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2761"/>
          <w:sz w:val="30"/>
          <w:szCs w:val="30"/>
        </w:rPr>
        <w:t xml:space="preserve">CONCURSO DATOS AL ECOSISTEMA 2026: IA PARA COLOMBIA</w:t>
      </w:r>
    </w:p>
    <w:p>
      <w:pPr>
        <w:spacing w:after="320"/>
        <w:jc w:val="center"/>
      </w:pPr>
      <w:r>
        <w:rPr>
          <w:i/>
          <w:iCs/>
          <w:color w:val="555555"/>
          <w:sz w:val="22"/>
          <w:szCs w:val="22"/>
        </w:rPr>
        <w:t xml:space="preserve">Fortalecimiento al uso de datos abiertos y la inteligencia artificial</w:t>
      </w:r>
    </w:p>
    <w:p>
      <w:pPr>
        <w:spacing w:after="160" w:line="276"/>
      </w:pPr>
      <w:r>
        <w:rPr>
          <w:b/>
          <w:bCs/>
        </w:rPr>
        <w:t xml:space="preserve">Descripción del proyecto</w:t>
      </w:r>
    </w:p>
    <w:p>
      <w:pPr>
        <w:spacing w:after="160" w:line="276"/>
      </w:pPr>
      <w:r>
        <w:t xml:space="preserve">GyverLabs — Sistema Educativo Inteligente de Alerta Temprana de Deserción Escolar, Censo Juvenil Territorial y Gestión Institucional</w:t>
      </w:r>
    </w:p>
    <w:p>
      <w:pPr>
        <w:spacing w:after="160" w:line="276"/>
      </w:pPr>
      <w:r>
        <w:rPr>
          <w:b/>
          <w:bCs/>
        </w:rPr>
        <w:t xml:space="preserve">Reto seleccionado</w:t>
      </w:r>
    </w:p>
    <w:p>
      <w:pPr>
        <w:spacing w:after="160" w:line="276"/>
      </w:pPr>
      <w:r>
        <w:t xml:space="preserve">Innovación y Tecnología — Diseñar asistentes virtuales que faciliten el acceso ciudadano a datos abiertos</w:t>
      </w:r>
    </w:p>
    <w:p>
      <w:pPr>
        <w:spacing w:after="160" w:line="276"/>
      </w:pPr>
      <w:r>
        <w:rPr>
          <w:b/>
          <w:bCs/>
        </w:rPr>
        <w:t xml:space="preserve">Nivel de complejidad</w:t>
      </w:r>
    </w:p>
    <w:p>
      <w:pPr>
        <w:spacing w:after="160" w:line="276"/>
      </w:pPr>
      <w:r>
        <w:t xml:space="preserve">Avanzado</w:t>
      </w:r>
    </w:p>
    <w:p>
      <w:pPr>
        <w:spacing w:after="160" w:line="276"/>
      </w:pPr>
      <w:r>
        <w:rPr>
          <w:b/>
          <w:bCs/>
        </w:rPr>
        <w:t xml:space="preserve">Integrantes del equipo y rol</w:t>
      </w:r>
    </w:p>
    <w:p>
      <w:pPr>
        <w:spacing w:after="160" w:line="276"/>
      </w:pPr>
      <w:r>
        <w:t xml:space="preserve">Juan David Quesada Barrera (David Barrera) — Fundador, CEO y desarrollador de GyverLabs. Responsable de la arquitectura, el backend, el modelo de inteligencia artificial y la propiedad intelectual del sistema.</w:t>
      </w:r>
    </w:p>
    <w:p>
      <w:pPr>
        <w:spacing w:after="160" w:line="276"/>
      </w:pPr>
      <w:r>
        <w:t xml:space="preserve">Katy Álvarez — Docente y Administradora de Empresas. Responsable del diseño pedagógico, la validación de necesidades institucionales frente a coordinadores y rectores, y la estrategia comercial del proyecto.</w:t>
      </w:r>
    </w:p>
    <w:p>
      <w:pPr>
        <w:spacing w:after="160" w:line="276"/>
      </w:pPr>
      <w:r>
        <w:t xml:space="preserve">San Pablo, Sur de Bolívar, Colombia — 2026</w:t>
      </w:r>
    </w:p>
    <w:p>
      <w:pPr>
        <w:spacing w:after="160" w:line="276"/>
      </w:pPr>
      <w:r>
        <w:rPr>
          <w:i/>
          <w:iCs/>
          <w:sz w:val="20"/>
          <w:szCs w:val="20"/>
        </w:rPr>
        <w:t xml:space="preserve">Certificación de inscripción MinTIC del 10 de junio de 2026 adjunta como anexo.</w:t>
      </w:r>
    </w:p>
    <w:p>
      <w:r>
        <w:br w:type="page"/>
      </w:r>
    </w:p>
    <w:p>
      <w:pPr>
        <w:pStyle w:val="Heading1"/>
        <w:spacing w:after="160" w:before="360"/>
      </w:pPr>
      <w:r>
        <w:t xml:space="preserve">1. Resumen ejecutivo</w:t>
      </w:r>
    </w:p>
    <w:p>
      <w:pPr>
        <w:spacing w:after="160" w:line="276"/>
      </w:pPr>
      <w:r>
        <w:t xml:space="preserve">GyverLabs es una plataforma SaaS multi-tenant de transformación digital para instituciones educativas públicas colombianas, que integra cuatro módulos — detección temprana de deserción escolar mediante inteligencia artificial (SRD), Censo Juvenil Territorial para Secretarías de Educación, aula virtual coordinada para continuidad educativa, y contabilidad automatizada del Fondo de Servicios Educativos (FSE) — sobre una arquitectura pensada para conectarse, en una fase posterior con autorización institucional, con fuentes de datos abiertos del Estado colombiano (SIMAT, SISBEN IV, DANE, SECOP II, Sistema de Alertas Tempranas).</w:t>
      </w:r>
    </w:p>
    <w:p>
      <w:pPr>
        <w:spacing w:after="160" w:line="276"/>
      </w:pPr>
      <w:r>
        <w:t xml:space="preserve">Un quinto componente, el Agente IA de Orientación Estudiantil, actúa como asistente conversacional (WhatsApp / web) que responde a estudiantes y familias sobre asistencia, notas y fechas de entrega — la capa de acceso ciudadano a datos que pide explícitamente el reto seleccionado del concurso.</w:t>
      </w:r>
    </w:p>
    <w:p>
      <w:pPr>
        <w:spacing w:after="160" w:line="276"/>
      </w:pPr>
      <w:r>
        <w:t xml:space="preserve">Este repositorio de evaluación contiene un prototipo funcional de punta a punta: un backend en FastAPI, un modelo de clasificación (LightGBM) entrenado sobre un conjunto de datos sintético reproducible — que ya incorpora el nivel SISBÉN por estudiante como variable —, y un tablero institucional que consume ese modelo en tiempo real. El objetivo de este documento es explicar, con rigor técnico y de forma verificable, cómo se construyó, qué datos usa, qué tan bien funciona hoy, y cuáles son sus límites honestos.</w:t>
      </w:r>
    </w:p>
    <w:p>
      <w:pPr>
        <w:pStyle w:val="Heading2"/>
        <w:spacing w:after="120" w:before="260"/>
      </w:pPr>
      <w:r>
        <w:t xml:space="preserve">1.1 Objetivo general</w:t>
      </w:r>
    </w:p>
    <w:p>
      <w:pPr>
        <w:spacing w:after="160" w:line="276"/>
      </w:pPr>
      <w:r>
        <w:t xml:space="preserve">Diseñar e implementar un prototipo funcional de sistema de alerta temprana de deserción escolar y censo juvenil territorial, basado en inteligencia artificial y con arquitectura de integración a datos abiertos del Estado, que permita a instituciones educativas públicas y Secretarías de Educación identificar estudiantes y jóvenes en riesgo con semanas de anticipación y activar una intervención oportuna.</w:t>
      </w:r>
    </w:p>
    <w:p>
      <w:pPr>
        <w:pStyle w:val="Heading2"/>
        <w:spacing w:after="120" w:before="260"/>
      </w:pPr>
      <w:r>
        <w:t xml:space="preserve">1.2 Objetivos específicos (metodología SMART)</w:t>
      </w:r>
    </w:p>
    <w:p>
      <w:pPr>
        <w:pStyle w:val="ListParagraph"/>
        <w:numPr>
          <w:ilvl w:val="0"/>
          <w:numId w:val="1"/>
        </w:numPr>
        <w:spacing w:after="100" w:line="276"/>
      </w:pPr>
      <w:r>
        <w:t xml:space="preserve">Desarrollar un pipeline de ingeniería de variables y un modelo de clasificación (LightGBM) capaz de calcular un Score de Riesgo de Deserción semanal por estudiante, incorporando el nivel SISBÉN como variable, verificado y documentado con métricas reales en la sección 7.1 de este documento.</w:t>
      </w:r>
    </w:p>
    <w:p>
      <w:pPr>
        <w:pStyle w:val="ListParagraph"/>
        <w:numPr>
          <w:ilvl w:val="0"/>
          <w:numId w:val="1"/>
        </w:numPr>
        <w:spacing w:after="100" w:line="276"/>
      </w:pPr>
      <w:r>
        <w:t xml:space="preserve">Construir una API REST documentada (FastAPI, 9 routers funcionales, incluido el módulo de Censo Juvenil Territorial) que exponga el modelo de riesgo, la estructura académica, la asistencia y la contabilidad del FSE, instalable y verificable por el jurado en menos de 5 minutos con un solo comando.</w:t>
      </w:r>
    </w:p>
    <w:p>
      <w:pPr>
        <w:pStyle w:val="ListParagraph"/>
        <w:numPr>
          <w:ilvl w:val="0"/>
          <w:numId w:val="1"/>
        </w:numPr>
        <w:spacing w:after="100" w:line="276"/>
      </w:pPr>
      <w:r>
        <w:t xml:space="preserve">Diseñar un tablero institucional y un tablero de Secretaría que reduzcan la fricción operativa de identificar manualmente a los estudiantes y jóvenes en mayor riesgo, hoy basada en planillas y criterio individual, mostrando el ranking priorizado automáticamente y los casos de doble vulnerabilidad (fuera del sistema educativo y en zona con alerta de protección activa).</w:t>
      </w:r>
    </w:p>
    <w:p>
      <w:pPr>
        <w:pStyle w:val="ListParagraph"/>
        <w:numPr>
          <w:ilvl w:val="0"/>
          <w:numId w:val="1"/>
        </w:numPr>
        <w:spacing w:after="100" w:line="276"/>
      </w:pPr>
      <w:r>
        <w:t xml:space="preserve">Documentar el mecanismo de integración del modelo con al menos 4 fuentes de datos abiertos del Estado colombiano (SIMAT, SISBEN IV, DANE, SECOP II) como hoja de ruta técnica para una fase posterior con convenio institucional formal.</w:t>
      </w:r>
    </w:p>
    <w:p>
      <w:pPr>
        <w:pStyle w:val="Heading1"/>
        <w:spacing w:after="160" w:before="360"/>
      </w:pPr>
      <w:r>
        <w:t xml:space="preserve">2. Planteamiento del problema</w:t>
      </w:r>
    </w:p>
    <w:p>
      <w:pPr>
        <w:spacing w:after="160" w:line="276"/>
      </w:pPr>
      <w:r>
        <w:t xml:space="preserve">Colombia registra una tasa de deserción escolar en educación pública oficial de entre 3,5% y 6% anual, con picos superiores al 10% anual en zonas rurales dispersas como el sur de Bolívar (MEN/DANE). El problema no es, en su origen, la falta de datos: SIMAT registra la matrícula, SISBEN clasifica el hogar, y cada colegio lleva su propio registro de asistencia y notas. El problema es que ninguna de estas fuentes se cruza entre sí de forma sistemática y a tiempo — hoy una Secretaría de Educación suele enterarse de un caso de deserción meses después de ocurrido, cuando ya no hay margen de intervención, y no tiene visibilidad territorial de qué jóvenes de 12 a 17 años están hoy fuera del sistema educativo o en una zona con alerta de protección activa (reclutamiento, violencia, trabajo infantil).</w:t>
      </w:r>
    </w:p>
    <w:p>
      <w:pPr>
        <w:pStyle w:val="Heading2"/>
        <w:spacing w:after="120" w:before="260"/>
      </w:pPr>
      <w:r>
        <w:t xml:space="preserve">2.1 Estado actual vs. estado ideal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E2761" w:val="clear"/>
            <w:tcMar>
              <w:top w:type="dxa" w:w="80"/>
              <w:left w:type="dxa" w:w="100"/>
              <w:bottom w:type="dxa" w:w="80"/>
              <w:right w:type="dxa" w:w="100"/>
            </w:tcMar>
          </w:tcPr>
          <w:p>
            <w:pPr>
              <w:jc w:val="left"/>
            </w:pPr>
            <w:r>
              <w:rPr>
                <w:b/>
                <w:bCs/>
                <w:color w:val="FFFFFF"/>
                <w:sz w:val="20"/>
                <w:szCs w:val="20"/>
              </w:rPr>
              <w:t xml:space="preserve">Dimensión</w:t>
            </w:r>
          </w:p>
        </w:tc>
        <w:tc>
          <w:tcPr>
            <w:tcW w:type="dxa" w:w="3480"/>
            <w:shd w:fill="1E2761" w:val="clear"/>
            <w:tcMar>
              <w:top w:type="dxa" w:w="80"/>
              <w:left w:type="dxa" w:w="100"/>
              <w:bottom w:type="dxa" w:w="80"/>
              <w:right w:type="dxa" w:w="100"/>
            </w:tcMar>
          </w:tcPr>
          <w:p>
            <w:pPr>
              <w:jc w:val="left"/>
            </w:pPr>
            <w:r>
              <w:rPr>
                <w:b/>
                <w:bCs/>
                <w:color w:val="FFFFFF"/>
                <w:sz w:val="20"/>
                <w:szCs w:val="20"/>
              </w:rPr>
              <w:t xml:space="preserve">Estado actual</w:t>
            </w:r>
          </w:p>
        </w:tc>
        <w:tc>
          <w:tcPr>
            <w:tcW w:type="dxa" w:w="3480"/>
            <w:shd w:fill="1E2761" w:val="clear"/>
            <w:tcMar>
              <w:top w:type="dxa" w:w="80"/>
              <w:left w:type="dxa" w:w="100"/>
              <w:bottom w:type="dxa" w:w="80"/>
              <w:right w:type="dxa" w:w="100"/>
            </w:tcMar>
          </w:tcPr>
          <w:p>
            <w:pPr>
              <w:jc w:val="left"/>
            </w:pPr>
            <w:r>
              <w:rPr>
                <w:b/>
                <w:bCs/>
                <w:color w:val="FFFFFF"/>
                <w:sz w:val="20"/>
                <w:szCs w:val="20"/>
              </w:rPr>
              <w:t xml:space="preserve">Estado ideal (lo que resuelve el proyecto)</w:t>
            </w:r>
          </w:p>
        </w:tc>
      </w:tr>
      <w:tr>
        <w:tc>
          <w:tcPr>
            <w:tcW w:type="dxa" w:w="2400"/>
            <w:shd w:fill="E8ECFB" w:val="clear"/>
            <w:tcMar>
              <w:top w:type="dxa" w:w="80"/>
              <w:left w:type="dxa" w:w="100"/>
              <w:bottom w:type="dxa" w:w="80"/>
              <w:right w:type="dxa" w:w="100"/>
            </w:tcMar>
          </w:tcPr>
          <w:p>
            <w:pPr>
              <w:jc w:val="left"/>
            </w:pPr>
            <w:r>
              <w:rPr>
                <w:b w:val="false"/>
                <w:bCs w:val="false"/>
                <w:color w:val="000000"/>
                <w:sz w:val="20"/>
                <w:szCs w:val="20"/>
              </w:rPr>
              <w:t xml:space="preserve">Detección en el colegio</w:t>
            </w:r>
          </w:p>
        </w:tc>
        <w:tc>
          <w:tcPr>
            <w:tcW w:type="dxa" w:w="3480"/>
            <w:shd w:fill="E8ECFB" w:val="clear"/>
            <w:tcMar>
              <w:top w:type="dxa" w:w="80"/>
              <w:left w:type="dxa" w:w="100"/>
              <w:bottom w:type="dxa" w:w="80"/>
              <w:right w:type="dxa" w:w="100"/>
            </w:tcMar>
          </w:tcPr>
          <w:p>
            <w:pPr>
              <w:jc w:val="left"/>
            </w:pPr>
            <w:r>
              <w:rPr>
                <w:b w:val="false"/>
                <w:bCs w:val="false"/>
                <w:color w:val="000000"/>
                <w:sz w:val="20"/>
                <w:szCs w:val="20"/>
              </w:rPr>
              <w:t xml:space="preserve">Se identifica el abandono cuando el estudiante ya dejó de asistir por semanas o meses.</w:t>
            </w:r>
          </w:p>
        </w:tc>
        <w:tc>
          <w:tcPr>
            <w:tcW w:type="dxa" w:w="3480"/>
            <w:shd w:fill="E8ECFB" w:val="clear"/>
            <w:tcMar>
              <w:top w:type="dxa" w:w="80"/>
              <w:left w:type="dxa" w:w="100"/>
              <w:bottom w:type="dxa" w:w="80"/>
              <w:right w:type="dxa" w:w="100"/>
            </w:tcMar>
          </w:tcPr>
          <w:p>
            <w:pPr>
              <w:jc w:val="left"/>
            </w:pPr>
            <w:r>
              <w:rPr>
                <w:b w:val="false"/>
                <w:bCs w:val="false"/>
                <w:color w:val="000000"/>
                <w:sz w:val="20"/>
                <w:szCs w:val="20"/>
              </w:rPr>
              <w:t xml:space="preserve">Se calcula un puntaje de riesgo semanal por estudiante, antes de que el abandono ocurra.</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Visibilidad territorial</w:t>
            </w:r>
          </w:p>
        </w:tc>
        <w:tc>
          <w:tcPr>
            <w:tcW w:type="dxa" w:w="3480"/>
            <w:tcMar>
              <w:top w:type="dxa" w:w="80"/>
              <w:left w:type="dxa" w:w="100"/>
              <w:bottom w:type="dxa" w:w="80"/>
              <w:right w:type="dxa" w:w="100"/>
            </w:tcMar>
          </w:tcPr>
          <w:p>
            <w:pPr>
              <w:jc w:val="left"/>
            </w:pPr>
            <w:r>
              <w:rPr>
                <w:b w:val="false"/>
                <w:bCs w:val="false"/>
                <w:color w:val="000000"/>
                <w:sz w:val="20"/>
                <w:szCs w:val="20"/>
              </w:rPr>
              <w:t xml:space="preserve">La Secretaría no tiene un mapa de qué jóvenes están fuera del sistema educativo ni en qué municipios hay alertas activas.</w:t>
            </w:r>
          </w:p>
        </w:tc>
        <w:tc>
          <w:tcPr>
            <w:tcW w:type="dxa" w:w="3480"/>
            <w:tcMar>
              <w:top w:type="dxa" w:w="80"/>
              <w:left w:type="dxa" w:w="100"/>
              <w:bottom w:type="dxa" w:w="80"/>
              <w:right w:type="dxa" w:w="100"/>
            </w:tcMar>
          </w:tcPr>
          <w:p>
            <w:pPr>
              <w:jc w:val="left"/>
            </w:pPr>
            <w:r>
              <w:rPr>
                <w:b w:val="false"/>
                <w:bCs w:val="false"/>
                <w:color w:val="000000"/>
                <w:sz w:val="20"/>
                <w:szCs w:val="20"/>
              </w:rPr>
              <w:t xml:space="preserve">Censo Juvenil Territorial por departamento y municipio, con doble vulnerabilidad priorizada.</w:t>
            </w:r>
          </w:p>
        </w:tc>
      </w:tr>
      <w:tr>
        <w:tc>
          <w:tcPr>
            <w:tcW w:type="dxa" w:w="2400"/>
            <w:shd w:fill="E8ECFB" w:val="clear"/>
            <w:tcMar>
              <w:top w:type="dxa" w:w="80"/>
              <w:left w:type="dxa" w:w="100"/>
              <w:bottom w:type="dxa" w:w="80"/>
              <w:right w:type="dxa" w:w="100"/>
            </w:tcMar>
          </w:tcPr>
          <w:p>
            <w:pPr>
              <w:jc w:val="left"/>
            </w:pPr>
            <w:r>
              <w:rPr>
                <w:b w:val="false"/>
                <w:bCs w:val="false"/>
                <w:color w:val="000000"/>
                <w:sz w:val="20"/>
                <w:szCs w:val="20"/>
              </w:rPr>
              <w:t xml:space="preserve">Cruce de datos</w:t>
            </w:r>
          </w:p>
        </w:tc>
        <w:tc>
          <w:tcPr>
            <w:tcW w:type="dxa" w:w="3480"/>
            <w:shd w:fill="E8ECFB" w:val="clear"/>
            <w:tcMar>
              <w:top w:type="dxa" w:w="80"/>
              <w:left w:type="dxa" w:w="100"/>
              <w:bottom w:type="dxa" w:w="80"/>
              <w:right w:type="dxa" w:w="100"/>
            </w:tcMar>
          </w:tcPr>
          <w:p>
            <w:pPr>
              <w:jc w:val="left"/>
            </w:pPr>
            <w:r>
              <w:rPr>
                <w:b w:val="false"/>
                <w:bCs w:val="false"/>
                <w:color w:val="000000"/>
                <w:sz w:val="20"/>
                <w:szCs w:val="20"/>
              </w:rPr>
              <w:t xml:space="preserve">SIMAT, SISBEN, SAT y asistencia viven en sistemas separados que no se comunican.</w:t>
            </w:r>
          </w:p>
        </w:tc>
        <w:tc>
          <w:tcPr>
            <w:tcW w:type="dxa" w:w="3480"/>
            <w:shd w:fill="E8ECFB" w:val="clear"/>
            <w:tcMar>
              <w:top w:type="dxa" w:w="80"/>
              <w:left w:type="dxa" w:w="100"/>
              <w:bottom w:type="dxa" w:w="80"/>
              <w:right w:type="dxa" w:w="100"/>
            </w:tcMar>
          </w:tcPr>
          <w:p>
            <w:pPr>
              <w:jc w:val="left"/>
            </w:pPr>
            <w:r>
              <w:rPr>
                <w:b w:val="false"/>
                <w:bCs w:val="false"/>
                <w:color w:val="000000"/>
                <w:sz w:val="20"/>
                <w:szCs w:val="20"/>
              </w:rPr>
              <w:t xml:space="preserve">Un solo modelo integra las variables disponibles y las procesa de forma consistente.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Acción</w:t>
            </w:r>
          </w:p>
        </w:tc>
        <w:tc>
          <w:tcPr>
            <w:tcW w:type="dxa" w:w="3480"/>
            <w:tcMar>
              <w:top w:type="dxa" w:w="80"/>
              <w:left w:type="dxa" w:w="100"/>
              <w:bottom w:type="dxa" w:w="80"/>
              <w:right w:type="dxa" w:w="100"/>
            </w:tcMar>
          </w:tcPr>
          <w:p>
            <w:pPr>
              <w:jc w:val="left"/>
            </w:pPr>
            <w:r>
              <w:rPr>
                <w:b w:val="false"/>
                <w:bCs w:val="false"/>
                <w:color w:val="000000"/>
                <w:sz w:val="20"/>
                <w:szCs w:val="20"/>
              </w:rPr>
              <w:t xml:space="preserve">El coordinador se entera tarde y no tiene tiempo de intervenir a fondo.</w:t>
            </w:r>
          </w:p>
        </w:tc>
        <w:tc>
          <w:tcPr>
            <w:tcW w:type="dxa" w:w="3480"/>
            <w:tcMar>
              <w:top w:type="dxa" w:w="80"/>
              <w:left w:type="dxa" w:w="100"/>
              <w:bottom w:type="dxa" w:w="80"/>
              <w:right w:type="dxa" w:w="100"/>
            </w:tcMar>
          </w:tcPr>
          <w:p>
            <w:pPr>
              <w:jc w:val="left"/>
            </w:pPr>
            <w:r>
              <w:rPr>
                <w:b w:val="false"/>
                <w:bCs w:val="false"/>
                <w:color w:val="000000"/>
                <w:sz w:val="20"/>
                <w:szCs w:val="20"/>
              </w:rPr>
              <w:t xml:space="preserve">El coordinador recibe una alerta priorizada y puede actuar el mismo día.</w:t>
            </w:r>
          </w:p>
        </w:tc>
      </w:tr>
      <w:tr>
        <w:tc>
          <w:tcPr>
            <w:tcW w:type="dxa" w:w="2400"/>
            <w:shd w:fill="E8ECFB" w:val="clear"/>
            <w:tcMar>
              <w:top w:type="dxa" w:w="80"/>
              <w:left w:type="dxa" w:w="100"/>
              <w:bottom w:type="dxa" w:w="80"/>
              <w:right w:type="dxa" w:w="100"/>
            </w:tcMar>
          </w:tcPr>
          <w:p>
            <w:pPr>
              <w:jc w:val="left"/>
            </w:pPr>
            <w:r>
              <w:rPr>
                <w:b w:val="false"/>
                <w:bCs w:val="false"/>
                <w:color w:val="000000"/>
                <w:sz w:val="20"/>
                <w:szCs w:val="20"/>
              </w:rPr>
              <w:t xml:space="preserve">Transparencia FSE</w:t>
            </w:r>
          </w:p>
        </w:tc>
        <w:tc>
          <w:tcPr>
            <w:tcW w:type="dxa" w:w="3480"/>
            <w:shd w:fill="E8ECFB" w:val="clear"/>
            <w:tcMar>
              <w:top w:type="dxa" w:w="80"/>
              <w:left w:type="dxa" w:w="100"/>
              <w:bottom w:type="dxa" w:w="80"/>
              <w:right w:type="dxa" w:w="100"/>
            </w:tcMar>
          </w:tcPr>
          <w:p>
            <w:pPr>
              <w:jc w:val="left"/>
            </w:pPr>
            <w:r>
              <w:rPr>
                <w:b w:val="false"/>
                <w:bCs w:val="false"/>
                <w:color w:val="000000"/>
                <w:sz w:val="20"/>
                <w:szCs w:val="20"/>
              </w:rPr>
              <w:t xml:space="preserve">Contabilidad manual en Excel, sin trazabilidad ni plan de cuentas oficial.</w:t>
            </w:r>
          </w:p>
        </w:tc>
        <w:tc>
          <w:tcPr>
            <w:tcW w:type="dxa" w:w="3480"/>
            <w:shd w:fill="E8ECFB" w:val="clear"/>
            <w:tcMar>
              <w:top w:type="dxa" w:w="80"/>
              <w:left w:type="dxa" w:w="100"/>
              <w:bottom w:type="dxa" w:w="80"/>
              <w:right w:type="dxa" w:w="100"/>
            </w:tcMar>
          </w:tcPr>
          <w:p>
            <w:pPr>
              <w:jc w:val="left"/>
            </w:pPr>
            <w:r>
              <w:rPr>
                <w:b w:val="false"/>
                <w:bCs w:val="false"/>
                <w:color w:val="000000"/>
                <w:sz w:val="20"/>
                <w:szCs w:val="20"/>
              </w:rPr>
              <w:t xml:space="preserve">Contabilidad automatizada, trazable, alineada al Decreto 4791 de 2008.</w:t>
            </w:r>
          </w:p>
        </w:tc>
      </w:tr>
    </w:tbl>
    <w:p>
      <w:pPr>
        <w:spacing w:after="240" w:before="60"/>
      </w:pPr>
      <w:r>
        <w:rPr>
          <w:i/>
          <w:iCs/>
          <w:color w:val="555555"/>
          <w:sz w:val="18"/>
          <w:szCs w:val="18"/>
        </w:rPr>
        <w:t xml:space="preserve">Tabla 1. Comparación entre el estado actual del proceso y el estado que habilita el prototipo.</w:t>
      </w:r>
    </w:p>
    <w:p>
      <w:pPr>
        <w:pStyle w:val="Heading2"/>
        <w:spacing w:after="120" w:before="260"/>
      </w:pPr>
      <w:r>
        <w:t xml:space="preserve">2.2 El rol de los datos abiertos</w:t>
      </w:r>
    </w:p>
    <w:p>
      <w:pPr>
        <w:spacing w:after="160" w:line="276"/>
      </w:pPr>
      <w:r>
        <w:t xml:space="preserve">El reto seleccionado del concurso pide diseñar soluciones que faciliten el acceso ciudadano a datos abiertos, integrando y analizando información pública para identificar patrones e irregularidades. En este proyecto, los datos abiertos del Estado (SIMAT, SISBEN IV, DANE, SECOP II, SAT) cumplen dos roles: (1) como fuente de variables de entrada para el modelo de riesgo y el Censo Juvenil Territorial en la versión de producción, sujeta a los convenios de acceso institucional correspondientes; y (2) como fuente de evidencia de mercado y de magnitud del problema, usada para calibrar el diagnóstico y comparar el costo de la propuesta frente a alternativas ya usadas en el sector (sección 5).</w:t>
      </w:r>
    </w:p>
    <w:p>
      <w:pPr>
        <w:pStyle w:val="Heading2"/>
        <w:spacing w:after="120" w:before="260"/>
      </w:pPr>
      <w:r>
        <w:t xml:space="preserve">2.3 Preguntas que el proyecto busca resolver</w:t>
      </w:r>
    </w:p>
    <w:p>
      <w:pPr>
        <w:pStyle w:val="ListParagraph"/>
        <w:numPr>
          <w:ilvl w:val="0"/>
          <w:numId w:val="1"/>
        </w:numPr>
        <w:spacing w:after="100" w:line="276"/>
      </w:pPr>
      <w:r>
        <w:t xml:space="preserve">¿Es posible calcular, con datos que las instituciones ya generan hoy (asistencia, notas y nivel SISBÉN), un puntaje de riesgo de deserción semanal con capacidad predictiva real y medible?</w:t>
      </w:r>
    </w:p>
    <w:p>
      <w:pPr>
        <w:pStyle w:val="ListParagraph"/>
        <w:numPr>
          <w:ilvl w:val="0"/>
          <w:numId w:val="1"/>
        </w:numPr>
        <w:spacing w:after="100" w:line="276"/>
      </w:pPr>
      <w:r>
        <w:t xml:space="preserve">¿Puede una Secretaría de Educación visualizar, municipio por municipio, tanto a los jóvenes fuera del sistema educativo como a los que están en zona de riesgo, priorizando los casos de doble vulnerabilidad?</w:t>
      </w:r>
    </w:p>
    <w:p>
      <w:pPr>
        <w:pStyle w:val="ListParagraph"/>
        <w:numPr>
          <w:ilvl w:val="0"/>
          <w:numId w:val="1"/>
        </w:numPr>
        <w:spacing w:after="100" w:line="276"/>
      </w:pPr>
      <w:r>
        <w:t xml:space="preserve">¿Puede una arquitectura multi-tenant servir a muchas instituciones con aislamiento de datos, sin que cada colegio necesite su propia infraestructura?</w:t>
      </w:r>
    </w:p>
    <w:p>
      <w:pPr>
        <w:pStyle w:val="ListParagraph"/>
        <w:numPr>
          <w:ilvl w:val="0"/>
          <w:numId w:val="1"/>
        </w:numPr>
        <w:spacing w:after="100" w:line="276"/>
      </w:pPr>
      <w:r>
        <w:t xml:space="preserve">¿Cómo se protege la propiedad intelectual del modelo de producción mientras se entrega, con honestidad técnica, un prototipo evaluable y reproducible al jurado?</w:t>
      </w:r>
    </w:p>
    <w:p>
      <w:pPr>
        <w:pStyle w:val="Heading1"/>
        <w:spacing w:after="160" w:before="360"/>
      </w:pPr>
      <w:r>
        <w:t xml:space="preserve">3. Conjunto de datos</w:t>
      </w:r>
    </w:p>
    <w:p>
      <w:pPr>
        <w:spacing w:after="160" w:line="276"/>
      </w:pPr>
      <w:r>
        <w:t xml:space="preserve">Esta sección documenta, con honestidad, tanto el dataset sintético que corre en el prototipo entregado hoy, como las fuentes de datos abiertos del Estado con las que el sistema está diseñado para integrarse en una fase posterior con autorización institucional (el acceso directo a SIMAT y SISBEN requiere convenio, tal como señala la propia certificación de inscripción de MinTIC).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330"/>
        <w:gridCol w:w="1330"/>
        <w:gridCol w:w="2000"/>
      </w:tblGrid>
      <w:tr>
        <w:trPr>
          <w:tblHeader/>
        </w:trPr>
        <w:tc>
          <w:tcPr>
            <w:tcW w:type="dxa" w:w="1700"/>
            <w:shd w:fill="1E2761" w:val="clear"/>
            <w:tcMar>
              <w:top w:type="dxa" w:w="80"/>
              <w:left w:type="dxa" w:w="100"/>
              <w:bottom w:type="dxa" w:w="80"/>
              <w:right w:type="dxa" w:w="100"/>
            </w:tcMar>
          </w:tcPr>
          <w:p>
            <w:pPr>
              <w:jc w:val="left"/>
            </w:pPr>
            <w:r>
              <w:rPr>
                <w:b/>
                <w:bCs/>
                <w:color w:val="FFFFFF"/>
                <w:sz w:val="20"/>
                <w:szCs w:val="20"/>
              </w:rPr>
              <w:t xml:space="preserve">Nombre</w:t>
            </w:r>
          </w:p>
        </w:tc>
        <w:tc>
          <w:tcPr>
            <w:tcW w:type="dxa" w:w="1500"/>
            <w:shd w:fill="1E2761" w:val="clear"/>
            <w:tcMar>
              <w:top w:type="dxa" w:w="80"/>
              <w:left w:type="dxa" w:w="100"/>
              <w:bottom w:type="dxa" w:w="80"/>
              <w:right w:type="dxa" w:w="100"/>
            </w:tcMar>
          </w:tcPr>
          <w:p>
            <w:pPr>
              <w:jc w:val="left"/>
            </w:pPr>
            <w:r>
              <w:rPr>
                <w:b/>
                <w:bCs/>
                <w:color w:val="FFFFFF"/>
                <w:sz w:val="20"/>
                <w:szCs w:val="20"/>
              </w:rPr>
              <w:t xml:space="preserve">Origen / entidad</w:t>
            </w:r>
          </w:p>
        </w:tc>
        <w:tc>
          <w:tcPr>
            <w:tcW w:type="dxa" w:w="1500"/>
            <w:shd w:fill="1E2761" w:val="clear"/>
            <w:tcMar>
              <w:top w:type="dxa" w:w="80"/>
              <w:left w:type="dxa" w:w="100"/>
              <w:bottom w:type="dxa" w:w="80"/>
              <w:right w:type="dxa" w:w="100"/>
            </w:tcMar>
          </w:tcPr>
          <w:p>
            <w:pPr>
              <w:jc w:val="left"/>
            </w:pPr>
            <w:r>
              <w:rPr>
                <w:b/>
                <w:bCs/>
                <w:color w:val="FFFFFF"/>
                <w:sz w:val="20"/>
                <w:szCs w:val="20"/>
              </w:rPr>
              <w:t xml:space="preserve">Licencia</w:t>
            </w:r>
          </w:p>
        </w:tc>
        <w:tc>
          <w:tcPr>
            <w:tcW w:type="dxa" w:w="1330"/>
            <w:shd w:fill="1E2761" w:val="clear"/>
            <w:tcMar>
              <w:top w:type="dxa" w:w="80"/>
              <w:left w:type="dxa" w:w="100"/>
              <w:bottom w:type="dxa" w:w="80"/>
              <w:right w:type="dxa" w:w="100"/>
            </w:tcMar>
          </w:tcPr>
          <w:p>
            <w:pPr>
              <w:jc w:val="left"/>
            </w:pPr>
            <w:r>
              <w:rPr>
                <w:b/>
                <w:bCs/>
                <w:color w:val="FFFFFF"/>
                <w:sz w:val="20"/>
                <w:szCs w:val="20"/>
              </w:rPr>
              <w:t xml:space="preserve">Transformación aplicada</w:t>
            </w:r>
          </w:p>
        </w:tc>
        <w:tc>
          <w:tcPr>
            <w:tcW w:type="dxa" w:w="1330"/>
            <w:shd w:fill="1E2761" w:val="clear"/>
            <w:tcMar>
              <w:top w:type="dxa" w:w="80"/>
              <w:left w:type="dxa" w:w="100"/>
              <w:bottom w:type="dxa" w:w="80"/>
              <w:right w:type="dxa" w:w="100"/>
            </w:tcMar>
          </w:tcPr>
          <w:p>
            <w:pPr>
              <w:jc w:val="left"/>
            </w:pPr>
            <w:r>
              <w:rPr>
                <w:b/>
                <w:bCs/>
                <w:color w:val="FFFFFF"/>
                <w:sz w:val="20"/>
                <w:szCs w:val="20"/>
              </w:rPr>
              <w:t xml:space="preserve">Reproducibilidad</w:t>
            </w:r>
          </w:p>
        </w:tc>
        <w:tc>
          <w:tcPr>
            <w:tcW w:type="dxa" w:w="2000"/>
            <w:shd w:fill="1E2761" w:val="clear"/>
            <w:tcMar>
              <w:top w:type="dxa" w:w="80"/>
              <w:left w:type="dxa" w:w="100"/>
              <w:bottom w:type="dxa" w:w="80"/>
              <w:right w:type="dxa" w:w="100"/>
            </w:tcMar>
          </w:tcPr>
          <w:p>
            <w:pPr>
              <w:jc w:val="left"/>
            </w:pPr>
            <w:r>
              <w:rPr>
                <w:b/>
                <w:bCs/>
                <w:color w:val="FFFFFF"/>
                <w:sz w:val="20"/>
                <w:szCs w:val="20"/>
              </w:rPr>
              <w:t xml:space="preserve">Valor agregado</w:t>
            </w:r>
          </w:p>
        </w:tc>
      </w:tr>
      <w:tr>
        <w:tc>
          <w:tcPr>
            <w:tcW w:type="dxa" w:w="1700"/>
            <w:shd w:fill="E8ECFB" w:val="clear"/>
            <w:tcMar>
              <w:top w:type="dxa" w:w="80"/>
              <w:left w:type="dxa" w:w="100"/>
              <w:bottom w:type="dxa" w:w="80"/>
              <w:right w:type="dxa" w:w="100"/>
            </w:tcMar>
          </w:tcPr>
          <w:p>
            <w:pPr>
              <w:jc w:val="left"/>
            </w:pPr>
            <w:r>
              <w:rPr>
                <w:b w:val="false"/>
                <w:bCs w:val="false"/>
                <w:color w:val="000000"/>
                <w:sz w:val="20"/>
                <w:szCs w:val="20"/>
              </w:rPr>
              <w:t xml:space="preserve">Dataset sintético de estudiantes (seed_data.py)</w:t>
            </w:r>
          </w:p>
        </w:tc>
        <w:tc>
          <w:tcPr>
            <w:tcW w:type="dxa" w:w="1500"/>
            <w:shd w:fill="E8ECFB" w:val="clear"/>
            <w:tcMar>
              <w:top w:type="dxa" w:w="80"/>
              <w:left w:type="dxa" w:w="100"/>
              <w:bottom w:type="dxa" w:w="80"/>
              <w:right w:type="dxa" w:w="100"/>
            </w:tcMar>
          </w:tcPr>
          <w:p>
            <w:pPr>
              <w:jc w:val="left"/>
            </w:pPr>
            <w:r>
              <w:rPr>
                <w:b w:val="false"/>
                <w:bCs w:val="false"/>
                <w:color w:val="000000"/>
                <w:sz w:val="20"/>
                <w:szCs w:val="20"/>
              </w:rPr>
              <w:t xml:space="preserve">Generado por GyverLabs para esta evaluación (no es información real)</w:t>
            </w:r>
          </w:p>
        </w:tc>
        <w:tc>
          <w:tcPr>
            <w:tcW w:type="dxa" w:w="1500"/>
            <w:shd w:fill="E8ECFB" w:val="clear"/>
            <w:tcMar>
              <w:top w:type="dxa" w:w="80"/>
              <w:left w:type="dxa" w:w="100"/>
              <w:bottom w:type="dxa" w:w="80"/>
              <w:right w:type="dxa" w:w="100"/>
            </w:tcMar>
          </w:tcPr>
          <w:p>
            <w:pPr>
              <w:jc w:val="left"/>
            </w:pPr>
            <w:r>
              <w:rPr>
                <w:b w:val="false"/>
                <w:bCs w:val="false"/>
                <w:color w:val="000000"/>
                <w:sz w:val="20"/>
                <w:szCs w:val="20"/>
              </w:rPr>
              <w:t xml:space="preserve">Uso exclusivo de evaluación — ver LICENSE del repositorio</w:t>
            </w:r>
          </w:p>
        </w:tc>
        <w:tc>
          <w:tcPr>
            <w:tcW w:type="dxa" w:w="1330"/>
            <w:shd w:fill="E8ECFB" w:val="clear"/>
            <w:tcMar>
              <w:top w:type="dxa" w:w="80"/>
              <w:left w:type="dxa" w:w="100"/>
              <w:bottom w:type="dxa" w:w="80"/>
              <w:right w:type="dxa" w:w="100"/>
            </w:tcMar>
          </w:tcPr>
          <w:p>
            <w:pPr>
              <w:jc w:val="left"/>
            </w:pPr>
            <w:r>
              <w:rPr>
                <w:b w:val="false"/>
                <w:bCs w:val="false"/>
                <w:color w:val="000000"/>
                <w:sz w:val="20"/>
                <w:szCs w:val="20"/>
              </w:rPr>
              <w:t xml:space="preserve">Ingeniería de 11 variables por estudiante (ml/features.py): asistencia global y de 4 semanas, ausentismo de lunes, tendencia de notas, nivel SISBÉN, zona, y 4 variables de interacción (caída de asistencia, cruce asistencia-notas, cruce SISBÉN-zona, cruce ausentismo-SISBÉN)</w:t>
            </w:r>
          </w:p>
        </w:tc>
        <w:tc>
          <w:tcPr>
            <w:tcW w:type="dxa" w:w="1330"/>
            <w:shd w:fill="E8ECFB" w:val="clear"/>
            <w:tcMar>
              <w:top w:type="dxa" w:w="80"/>
              <w:left w:type="dxa" w:w="100"/>
              <w:bottom w:type="dxa" w:w="80"/>
              <w:right w:type="dxa" w:w="100"/>
            </w:tcMar>
          </w:tcPr>
          <w:p>
            <w:pPr>
              <w:jc w:val="left"/>
            </w:pPr>
            <w:r>
              <w:rPr>
                <w:b w:val="false"/>
                <w:bCs w:val="false"/>
                <w:color w:val="000000"/>
                <w:sz w:val="20"/>
                <w:szCs w:val="20"/>
              </w:rPr>
              <w:t xml:space="preserve">Sí — 1 comando (python seed_data.py), determinístico, semilla fija</w:t>
            </w:r>
          </w:p>
        </w:tc>
        <w:tc>
          <w:tcPr>
            <w:tcW w:type="dxa" w:w="2000"/>
            <w:shd w:fill="E8ECFB" w:val="clear"/>
            <w:tcMar>
              <w:top w:type="dxa" w:w="80"/>
              <w:left w:type="dxa" w:w="100"/>
              <w:bottom w:type="dxa" w:w="80"/>
              <w:right w:type="dxa" w:w="100"/>
            </w:tcMar>
          </w:tcPr>
          <w:p>
            <w:pPr>
              <w:jc w:val="left"/>
            </w:pPr>
            <w:r>
              <w:rPr>
                <w:b w:val="false"/>
                <w:bCs w:val="false"/>
                <w:color w:val="000000"/>
                <w:sz w:val="20"/>
                <w:szCs w:val="20"/>
              </w:rPr>
              <w:t xml:space="preserve">Permite entrenar, evaluar y demostrar el pipeline de IA de punta a punta sin usar datos de menores reales</w:t>
            </w:r>
          </w:p>
        </w:tc>
      </w:tr>
      <w:tr>
        <w:tc>
          <w:tcPr>
            <w:tcW w:type="dxa" w:w="1700"/>
            <w:tcMar>
              <w:top w:type="dxa" w:w="80"/>
              <w:left w:type="dxa" w:w="100"/>
              <w:bottom w:type="dxa" w:w="80"/>
              <w:right w:type="dxa" w:w="100"/>
            </w:tcMar>
          </w:tcPr>
          <w:p>
            <w:pPr>
              <w:jc w:val="left"/>
            </w:pPr>
            <w:r>
              <w:rPr>
                <w:b w:val="false"/>
                <w:bCs w:val="false"/>
                <w:color w:val="000000"/>
                <w:sz w:val="20"/>
                <w:szCs w:val="20"/>
              </w:rPr>
              <w:t xml:space="preserve">SIMAT — Sistema de Matrícula Estudiantil</w:t>
            </w:r>
          </w:p>
        </w:tc>
        <w:tc>
          <w:tcPr>
            <w:tcW w:type="dxa" w:w="1500"/>
            <w:tcMar>
              <w:top w:type="dxa" w:w="80"/>
              <w:left w:type="dxa" w:w="100"/>
              <w:bottom w:type="dxa" w:w="80"/>
              <w:right w:type="dxa" w:w="100"/>
            </w:tcMar>
          </w:tcPr>
          <w:p>
            <w:pPr>
              <w:jc w:val="left"/>
            </w:pPr>
            <w:r>
              <w:rPr>
                <w:b w:val="false"/>
                <w:bCs w:val="false"/>
                <w:color w:val="000000"/>
                <w:sz w:val="20"/>
                <w:szCs w:val="20"/>
              </w:rPr>
              <w:t xml:space="preserve">Ministerio de Educación Nacional (MEN)</w:t>
            </w:r>
          </w:p>
        </w:tc>
        <w:tc>
          <w:tcPr>
            <w:tcW w:type="dxa" w:w="1500"/>
            <w:tcMar>
              <w:top w:type="dxa" w:w="80"/>
              <w:left w:type="dxa" w:w="100"/>
              <w:bottom w:type="dxa" w:w="80"/>
              <w:right w:type="dxa" w:w="100"/>
            </w:tcMar>
          </w:tcPr>
          <w:p>
            <w:pPr>
              <w:jc w:val="left"/>
            </w:pPr>
            <w:r>
              <w:rPr>
                <w:b w:val="false"/>
                <w:bCs w:val="false"/>
                <w:color w:val="000000"/>
                <w:sz w:val="20"/>
                <w:szCs w:val="20"/>
              </w:rPr>
              <w:t xml:space="preserve">Acceso restringido a Secretarías e instituciones educativas</w:t>
            </w:r>
          </w:p>
        </w:tc>
        <w:tc>
          <w:tcPr>
            <w:tcW w:type="dxa" w:w="1330"/>
            <w:tcMar>
              <w:top w:type="dxa" w:w="80"/>
              <w:left w:type="dxa" w:w="100"/>
              <w:bottom w:type="dxa" w:w="80"/>
              <w:right w:type="dxa" w:w="100"/>
            </w:tcMar>
          </w:tcPr>
          <w:p>
            <w:pPr>
              <w:jc w:val="left"/>
            </w:pPr>
            <w:r>
              <w:rPr>
                <w:b w:val="false"/>
                <w:bCs w:val="false"/>
                <w:color w:val="000000"/>
                <w:sz w:val="20"/>
                <w:szCs w:val="20"/>
              </w:rPr>
              <w:t xml:space="preserve">Prevista: cruce con asistencia diaria y con el Censo Juvenil Territorial</w:t>
            </w:r>
          </w:p>
        </w:tc>
        <w:tc>
          <w:tcPr>
            <w:tcW w:type="dxa" w:w="1330"/>
            <w:tcMar>
              <w:top w:type="dxa" w:w="80"/>
              <w:left w:type="dxa" w:w="100"/>
              <w:bottom w:type="dxa" w:w="80"/>
              <w:right w:type="dxa" w:w="100"/>
            </w:tcMar>
          </w:tcPr>
          <w:p>
            <w:pPr>
              <w:jc w:val="left"/>
            </w:pPr>
            <w:r>
              <w:rPr>
                <w:b w:val="false"/>
                <w:bCs w:val="false"/>
                <w:color w:val="000000"/>
                <w:sz w:val="20"/>
                <w:szCs w:val="20"/>
              </w:rPr>
              <w:t xml:space="preserve">Documentado como integración futura; requiere convenio institucional</w:t>
            </w:r>
          </w:p>
        </w:tc>
        <w:tc>
          <w:tcPr>
            <w:tcW w:type="dxa" w:w="2000"/>
            <w:tcMar>
              <w:top w:type="dxa" w:w="80"/>
              <w:left w:type="dxa" w:w="100"/>
              <w:bottom w:type="dxa" w:w="80"/>
              <w:right w:type="dxa" w:w="100"/>
            </w:tcMar>
          </w:tcPr>
          <w:p>
            <w:pPr>
              <w:jc w:val="left"/>
            </w:pPr>
            <w:r>
              <w:rPr>
                <w:b w:val="false"/>
                <w:bCs w:val="false"/>
                <w:color w:val="000000"/>
                <w:sz w:val="20"/>
                <w:szCs w:val="20"/>
              </w:rPr>
              <w:t xml:space="preserve">Fuente base de identificación y matrícula vigente del estudiante</w:t>
            </w:r>
          </w:p>
        </w:tc>
      </w:tr>
      <w:tr>
        <w:tc>
          <w:tcPr>
            <w:tcW w:type="dxa" w:w="1700"/>
            <w:shd w:fill="E8ECFB" w:val="clear"/>
            <w:tcMar>
              <w:top w:type="dxa" w:w="80"/>
              <w:left w:type="dxa" w:w="100"/>
              <w:bottom w:type="dxa" w:w="80"/>
              <w:right w:type="dxa" w:w="100"/>
            </w:tcMar>
          </w:tcPr>
          <w:p>
            <w:pPr>
              <w:jc w:val="left"/>
            </w:pPr>
            <w:r>
              <w:rPr>
                <w:b w:val="false"/>
                <w:bCs w:val="false"/>
                <w:color w:val="000000"/>
                <w:sz w:val="20"/>
                <w:szCs w:val="20"/>
              </w:rPr>
              <w:t xml:space="preserve">SISBEN IV</w:t>
            </w:r>
          </w:p>
        </w:tc>
        <w:tc>
          <w:tcPr>
            <w:tcW w:type="dxa" w:w="1500"/>
            <w:shd w:fill="E8ECFB" w:val="clear"/>
            <w:tcMar>
              <w:top w:type="dxa" w:w="80"/>
              <w:left w:type="dxa" w:w="100"/>
              <w:bottom w:type="dxa" w:w="80"/>
              <w:right w:type="dxa" w:w="100"/>
            </w:tcMar>
          </w:tcPr>
          <w:p>
            <w:pPr>
              <w:jc w:val="left"/>
            </w:pPr>
            <w:r>
              <w:rPr>
                <w:b w:val="false"/>
                <w:bCs w:val="false"/>
                <w:color w:val="000000"/>
                <w:sz w:val="20"/>
                <w:szCs w:val="20"/>
              </w:rPr>
              <w:t xml:space="preserve">Departamento Nacional de Planeación (DNP)</w:t>
            </w:r>
          </w:p>
        </w:tc>
        <w:tc>
          <w:tcPr>
            <w:tcW w:type="dxa" w:w="1500"/>
            <w:shd w:fill="E8ECFB" w:val="clear"/>
            <w:tcMar>
              <w:top w:type="dxa" w:w="80"/>
              <w:left w:type="dxa" w:w="100"/>
              <w:bottom w:type="dxa" w:w="80"/>
              <w:right w:type="dxa" w:w="100"/>
            </w:tcMar>
          </w:tcPr>
          <w:p>
            <w:pPr>
              <w:jc w:val="left"/>
            </w:pPr>
            <w:r>
              <w:rPr>
                <w:b w:val="false"/>
                <w:bCs w:val="false"/>
                <w:color w:val="000000"/>
                <w:sz w:val="20"/>
                <w:szCs w:val="20"/>
              </w:rPr>
              <w:t xml:space="preserve">Datos abiertos con restricciones de datos personales (Ley 1581 de 2012)</w:t>
            </w:r>
          </w:p>
        </w:tc>
        <w:tc>
          <w:tcPr>
            <w:tcW w:type="dxa" w:w="1330"/>
            <w:shd w:fill="E8ECFB" w:val="clear"/>
            <w:tcMar>
              <w:top w:type="dxa" w:w="80"/>
              <w:left w:type="dxa" w:w="100"/>
              <w:bottom w:type="dxa" w:w="80"/>
              <w:right w:type="dxa" w:w="100"/>
            </w:tcMar>
          </w:tcPr>
          <w:p>
            <w:pPr>
              <w:jc w:val="left"/>
            </w:pPr>
            <w:r>
              <w:rPr>
                <w:b w:val="false"/>
                <w:bCs w:val="false"/>
                <w:color w:val="000000"/>
                <w:sz w:val="20"/>
                <w:szCs w:val="20"/>
              </w:rPr>
              <w:t xml:space="preserve">Prevista: clasificación de vulnerabilidad socioeconómica del hogar; ya modelado como variable en el prototipo demo</w:t>
            </w:r>
          </w:p>
        </w:tc>
        <w:tc>
          <w:tcPr>
            <w:tcW w:type="dxa" w:w="1330"/>
            <w:shd w:fill="E8ECFB" w:val="clear"/>
            <w:tcMar>
              <w:top w:type="dxa" w:w="80"/>
              <w:left w:type="dxa" w:w="100"/>
              <w:bottom w:type="dxa" w:w="80"/>
              <w:right w:type="dxa" w:w="100"/>
            </w:tcMar>
          </w:tcPr>
          <w:p>
            <w:pPr>
              <w:jc w:val="left"/>
            </w:pPr>
            <w:r>
              <w:rPr>
                <w:b w:val="false"/>
                <w:bCs w:val="false"/>
                <w:color w:val="000000"/>
                <w:sz w:val="20"/>
                <w:szCs w:val="20"/>
              </w:rPr>
              <w:t xml:space="preserve">Documentado como integración futura; caso de uso oficial reconocido en la certificación MinTIC</w:t>
            </w:r>
          </w:p>
        </w:tc>
        <w:tc>
          <w:tcPr>
            <w:tcW w:type="dxa" w:w="2000"/>
            <w:shd w:fill="E8ECFB" w:val="clear"/>
            <w:tcMar>
              <w:top w:type="dxa" w:w="80"/>
              <w:left w:type="dxa" w:w="100"/>
              <w:bottom w:type="dxa" w:w="80"/>
              <w:right w:type="dxa" w:w="100"/>
            </w:tcMar>
          </w:tcPr>
          <w:p>
            <w:pPr>
              <w:jc w:val="left"/>
            </w:pPr>
            <w:r>
              <w:rPr>
                <w:b w:val="false"/>
                <w:bCs w:val="false"/>
                <w:color w:val="000000"/>
                <w:sz w:val="20"/>
                <w:szCs w:val="20"/>
              </w:rPr>
              <w:t xml:space="preserve">Variable de contexto socioeconómico para el modelo de riesgo y el censo territorial</w:t>
            </w:r>
          </w:p>
        </w:tc>
      </w:tr>
      <w:tr>
        <w:tc>
          <w:tcPr>
            <w:tcW w:type="dxa" w:w="1700"/>
            <w:tcMar>
              <w:top w:type="dxa" w:w="80"/>
              <w:left w:type="dxa" w:w="100"/>
              <w:bottom w:type="dxa" w:w="80"/>
              <w:right w:type="dxa" w:w="100"/>
            </w:tcMar>
          </w:tcPr>
          <w:p>
            <w:pPr>
              <w:jc w:val="left"/>
            </w:pPr>
            <w:r>
              <w:rPr>
                <w:b w:val="false"/>
                <w:bCs w:val="false"/>
                <w:color w:val="000000"/>
                <w:sz w:val="20"/>
                <w:szCs w:val="20"/>
              </w:rPr>
              <w:t xml:space="preserve">Sistema de Alertas Tempranas (SAT) / DANE / MEN</w:t>
            </w:r>
          </w:p>
        </w:tc>
        <w:tc>
          <w:tcPr>
            <w:tcW w:type="dxa" w:w="1500"/>
            <w:tcMar>
              <w:top w:type="dxa" w:w="80"/>
              <w:left w:type="dxa" w:w="100"/>
              <w:bottom w:type="dxa" w:w="80"/>
              <w:right w:type="dxa" w:w="100"/>
            </w:tcMar>
          </w:tcPr>
          <w:p>
            <w:pPr>
              <w:jc w:val="left"/>
            </w:pPr>
            <w:r>
              <w:rPr>
                <w:b w:val="false"/>
                <w:bCs w:val="false"/>
                <w:color w:val="000000"/>
                <w:sz w:val="20"/>
                <w:szCs w:val="20"/>
              </w:rPr>
              <w:t xml:space="preserve">Defensoría del Pueblo / DANE / MEN</w:t>
            </w:r>
          </w:p>
        </w:tc>
        <w:tc>
          <w:tcPr>
            <w:tcW w:type="dxa" w:w="1500"/>
            <w:tcMar>
              <w:top w:type="dxa" w:w="80"/>
              <w:left w:type="dxa" w:w="100"/>
              <w:bottom w:type="dxa" w:w="80"/>
              <w:right w:type="dxa" w:w="100"/>
            </w:tcMar>
          </w:tcPr>
          <w:p>
            <w:pPr>
              <w:jc w:val="left"/>
            </w:pPr>
            <w:r>
              <w:rPr>
                <w:b w:val="false"/>
                <w:bCs w:val="false"/>
                <w:color w:val="000000"/>
                <w:sz w:val="20"/>
                <w:szCs w:val="20"/>
              </w:rPr>
              <w:t xml:space="preserve">Datos abiertos (datos.gov.co)</w:t>
            </w:r>
          </w:p>
        </w:tc>
        <w:tc>
          <w:tcPr>
            <w:tcW w:type="dxa" w:w="1330"/>
            <w:tcMar>
              <w:top w:type="dxa" w:w="80"/>
              <w:left w:type="dxa" w:w="100"/>
              <w:bottom w:type="dxa" w:w="80"/>
              <w:right w:type="dxa" w:w="100"/>
            </w:tcMar>
          </w:tcPr>
          <w:p>
            <w:pPr>
              <w:jc w:val="left"/>
            </w:pPr>
            <w:r>
              <w:rPr>
                <w:b w:val="false"/>
                <w:bCs w:val="false"/>
                <w:color w:val="000000"/>
                <w:sz w:val="20"/>
                <w:szCs w:val="20"/>
              </w:rPr>
              <w:t xml:space="preserve">Prevista: cruce geográfico por municipio para el Censo Juvenil Territorial (reclutamiento, violencia, trabajo infantil)</w:t>
            </w:r>
          </w:p>
        </w:tc>
        <w:tc>
          <w:tcPr>
            <w:tcW w:type="dxa" w:w="1330"/>
            <w:tcMar>
              <w:top w:type="dxa" w:w="80"/>
              <w:left w:type="dxa" w:w="100"/>
              <w:bottom w:type="dxa" w:w="80"/>
              <w:right w:type="dxa" w:w="100"/>
            </w:tcMar>
          </w:tcPr>
          <w:p>
            <w:pPr>
              <w:jc w:val="left"/>
            </w:pPr>
            <w:r>
              <w:rPr>
                <w:b w:val="false"/>
                <w:bCs w:val="false"/>
                <w:color w:val="000000"/>
                <w:sz w:val="20"/>
                <w:szCs w:val="20"/>
              </w:rPr>
              <w:t xml:space="preserve">Público, consultable en datos.gov.co</w:t>
            </w:r>
          </w:p>
        </w:tc>
        <w:tc>
          <w:tcPr>
            <w:tcW w:type="dxa" w:w="2000"/>
            <w:tcMar>
              <w:top w:type="dxa" w:w="80"/>
              <w:left w:type="dxa" w:w="100"/>
              <w:bottom w:type="dxa" w:w="80"/>
              <w:right w:type="dxa" w:w="100"/>
            </w:tcMar>
          </w:tcPr>
          <w:p>
            <w:pPr>
              <w:jc w:val="left"/>
            </w:pPr>
            <w:r>
              <w:rPr>
                <w:b w:val="false"/>
                <w:bCs w:val="false"/>
                <w:color w:val="000000"/>
                <w:sz w:val="20"/>
                <w:szCs w:val="20"/>
              </w:rPr>
              <w:t xml:space="preserve">Permite priorizar municipios con doble vulnerabilidad (fuera del sistema + zona de alerta)</w:t>
            </w:r>
          </w:p>
        </w:tc>
      </w:tr>
      <w:tr>
        <w:tc>
          <w:tcPr>
            <w:tcW w:type="dxa" w:w="1700"/>
            <w:shd w:fill="E8ECFB" w:val="clear"/>
            <w:tcMar>
              <w:top w:type="dxa" w:w="80"/>
              <w:left w:type="dxa" w:w="100"/>
              <w:bottom w:type="dxa" w:w="80"/>
              <w:right w:type="dxa" w:w="100"/>
            </w:tcMar>
          </w:tcPr>
          <w:p>
            <w:pPr>
              <w:jc w:val="left"/>
            </w:pPr>
            <w:r>
              <w:rPr>
                <w:b w:val="false"/>
                <w:bCs w:val="false"/>
                <w:color w:val="000000"/>
                <w:sz w:val="20"/>
                <w:szCs w:val="20"/>
              </w:rPr>
              <w:t xml:space="preserve">SECOP II — Contratos Electrónicos</w:t>
            </w:r>
          </w:p>
        </w:tc>
        <w:tc>
          <w:tcPr>
            <w:tcW w:type="dxa" w:w="1500"/>
            <w:shd w:fill="E8ECFB" w:val="clear"/>
            <w:tcMar>
              <w:top w:type="dxa" w:w="80"/>
              <w:left w:type="dxa" w:w="100"/>
              <w:bottom w:type="dxa" w:w="80"/>
              <w:right w:type="dxa" w:w="100"/>
            </w:tcMar>
          </w:tcPr>
          <w:p>
            <w:pPr>
              <w:jc w:val="left"/>
            </w:pPr>
            <w:r>
              <w:rPr>
                <w:b w:val="false"/>
                <w:bCs w:val="false"/>
                <w:color w:val="000000"/>
                <w:sz w:val="20"/>
                <w:szCs w:val="20"/>
              </w:rPr>
              <w:t xml:space="preserve">Colombia Compra Eficiente</w:t>
            </w:r>
          </w:p>
        </w:tc>
        <w:tc>
          <w:tcPr>
            <w:tcW w:type="dxa" w:w="1500"/>
            <w:shd w:fill="E8ECFB" w:val="clear"/>
            <w:tcMar>
              <w:top w:type="dxa" w:w="80"/>
              <w:left w:type="dxa" w:w="100"/>
              <w:bottom w:type="dxa" w:w="80"/>
              <w:right w:type="dxa" w:w="100"/>
            </w:tcMar>
          </w:tcPr>
          <w:p>
            <w:pPr>
              <w:jc w:val="left"/>
            </w:pPr>
            <w:r>
              <w:rPr>
                <w:b w:val="false"/>
                <w:bCs w:val="false"/>
                <w:color w:val="000000"/>
                <w:sz w:val="20"/>
                <w:szCs w:val="20"/>
              </w:rPr>
              <w:t xml:space="preserve">Datos abiertos (datos.gov.co)</w:t>
            </w:r>
          </w:p>
        </w:tc>
        <w:tc>
          <w:tcPr>
            <w:tcW w:type="dxa" w:w="1330"/>
            <w:shd w:fill="E8ECFB" w:val="clear"/>
            <w:tcMar>
              <w:top w:type="dxa" w:w="80"/>
              <w:left w:type="dxa" w:w="100"/>
              <w:bottom w:type="dxa" w:w="80"/>
              <w:right w:type="dxa" w:w="100"/>
            </w:tcMar>
          </w:tcPr>
          <w:p>
            <w:pPr>
              <w:jc w:val="left"/>
            </w:pPr>
            <w:r>
              <w:rPr>
                <w:b w:val="false"/>
                <w:bCs w:val="false"/>
                <w:color w:val="000000"/>
                <w:sz w:val="20"/>
                <w:szCs w:val="20"/>
              </w:rPr>
              <w:t xml:space="preserve">Usadas para verificar precios de mercado de soluciones comparables (sección 5)</w:t>
            </w:r>
          </w:p>
        </w:tc>
        <w:tc>
          <w:tcPr>
            <w:tcW w:type="dxa" w:w="1330"/>
            <w:shd w:fill="E8ECFB" w:val="clear"/>
            <w:tcMar>
              <w:top w:type="dxa" w:w="80"/>
              <w:left w:type="dxa" w:w="100"/>
              <w:bottom w:type="dxa" w:w="80"/>
              <w:right w:type="dxa" w:w="100"/>
            </w:tcMar>
          </w:tcPr>
          <w:p>
            <w:pPr>
              <w:jc w:val="left"/>
            </w:pPr>
            <w:r>
              <w:rPr>
                <w:b w:val="false"/>
                <w:bCs w:val="false"/>
                <w:color w:val="000000"/>
                <w:sz w:val="20"/>
                <w:szCs w:val="20"/>
              </w:rPr>
              <w:t xml:space="preserve">Público, consultable vía datos.gov.co / SECOP II</w:t>
            </w:r>
          </w:p>
        </w:tc>
        <w:tc>
          <w:tcPr>
            <w:tcW w:type="dxa" w:w="2000"/>
            <w:shd w:fill="E8ECFB" w:val="clear"/>
            <w:tcMar>
              <w:top w:type="dxa" w:w="80"/>
              <w:left w:type="dxa" w:w="100"/>
              <w:bottom w:type="dxa" w:w="80"/>
              <w:right w:type="dxa" w:w="100"/>
            </w:tcMar>
          </w:tcPr>
          <w:p>
            <w:pPr>
              <w:jc w:val="left"/>
            </w:pPr>
            <w:r>
              <w:rPr>
                <w:b w:val="false"/>
                <w:bCs w:val="false"/>
                <w:color w:val="000000"/>
                <w:sz w:val="20"/>
                <w:szCs w:val="20"/>
              </w:rPr>
              <w:t xml:space="preserve">Evidencia pública y verificable de que la propuesta de valor es honesta y competitiva</w:t>
            </w:r>
          </w:p>
        </w:tc>
      </w:tr>
    </w:tbl>
    <w:p>
      <w:pPr>
        <w:spacing w:after="240" w:before="60"/>
      </w:pPr>
      <w:r>
        <w:rPr>
          <w:i/>
          <w:iCs/>
          <w:color w:val="555555"/>
          <w:sz w:val="18"/>
          <w:szCs w:val="18"/>
        </w:rPr>
        <w:t xml:space="preserve">Tabla 2. Conjunto de datos usado y previsto. Las dos primeras filas describen el dato con el que el prototipo corre hoy; las siguientes documentan la arquitectura de integración con datos abiertos del Estado.</w:t>
      </w:r>
    </w:p>
    <w:p>
      <w:pPr>
        <w:spacing w:after="160" w:line="276"/>
      </w:pPr>
      <w:r>
        <w:t xml:space="preserve">Escala del dataset sintético generado para esta evaluación:</w:t>
      </w:r>
    </w:p>
    <w:p>
      <w:pPr>
        <w:pStyle w:val="ListParagraph"/>
        <w:numPr>
          <w:ilvl w:val="0"/>
          <w:numId w:val="1"/>
        </w:numPr>
        <w:spacing w:after="100" w:line="276"/>
      </w:pPr>
      <w:r>
        <w:t xml:space="preserve">840 estudiantes distribuidos en 6 grados (601, 701, 801, 901, 902, 1001).</w:t>
      </w:r>
    </w:p>
    <w:p>
      <w:pPr>
        <w:pStyle w:val="ListParagraph"/>
        <w:numPr>
          <w:ilvl w:val="0"/>
          <w:numId w:val="1"/>
        </w:numPr>
        <w:spacing w:after="100" w:line="276"/>
      </w:pPr>
      <w:r>
        <w:t xml:space="preserve">50.400 registros de asistencia diaria (12 semanas × 5 días × 840 estudiantes).</w:t>
      </w:r>
    </w:p>
    <w:p>
      <w:pPr>
        <w:pStyle w:val="ListParagraph"/>
        <w:numPr>
          <w:ilvl w:val="0"/>
          <w:numId w:val="1"/>
        </w:numPr>
        <w:spacing w:after="100" w:line="276"/>
      </w:pPr>
      <w:r>
        <w:t xml:space="preserve">10.080 registros de notas semanales (12 semanas × 840 estudiantes).</w:t>
      </w:r>
    </w:p>
    <w:p>
      <w:pPr>
        <w:pStyle w:val="ListParagraph"/>
        <w:numPr>
          <w:ilvl w:val="0"/>
          <w:numId w:val="1"/>
        </w:numPr>
        <w:spacing w:after="100" w:line="276"/>
      </w:pPr>
      <w:r>
        <w:t xml:space="preserve">42 movimientos contables del Fondo de Servicios Educativos, categorizados según el Catálogo General de Cuentas de la CGN.</w:t>
      </w:r>
    </w:p>
    <w:p>
      <w:pPr>
        <w:pStyle w:val="ListParagraph"/>
        <w:numPr>
          <w:ilvl w:val="0"/>
          <w:numId w:val="1"/>
        </w:numPr>
        <w:spacing w:after="100" w:line="276"/>
      </w:pPr>
      <w:r>
        <w:t xml:space="preserve">Registros de Censo Juvenil Territorial para dos departamentos de la demo (Santander y Bolívar) y ocho municipios, con motivo de no asistencia y tipo de alerta de protección donde aplica.</w:t>
      </w:r>
    </w:p>
    <w:p>
      <w:pPr>
        <w:pStyle w:val="Heading1"/>
        <w:spacing w:after="160" w:before="360"/>
      </w:pPr>
      <w:r>
        <w:t xml:space="preserve">4. Propuesta de valor</w:t>
      </w:r>
    </w:p>
    <w:p>
      <w:pPr>
        <w:pStyle w:val="Heading2"/>
        <w:spacing w:after="120" w:before="260"/>
      </w:pPr>
      <w:r>
        <w:t xml:space="preserve">4.1 ¿Cuál es la solución?</w:t>
      </w:r>
    </w:p>
    <w:p>
      <w:pPr>
        <w:spacing w:after="160" w:line="276"/>
      </w:pPr>
      <w:r>
        <w:t xml:space="preserve">Un sistema que calcula, cada semana y por estudiante, un puntaje de riesgo de deserción a partir de variables que la institución ya recolecta (asistencia, notas y nivel SISBÉN), y que entrega ese puntaje priorizado a la persona que puede actuar — el coordinador — junto con los factores que lo explican. A nivel territorial, el mismo sistema le da a la Secretaría de Educación un Censo Juvenil que cruza SISBÉN, SIMAT y alertas de protección para ubicar, municipio por municipio, a los jóvenes fuera del sistema educativo y a los que están en zona de riesgo. El mismo sistema resuelve, con el mismo dato de origen, la continuidad educativa (aula virtual) y la transparencia fiscal del FSE, que hoy son la causa de buena parte del riesgo legal y operativo que enfrenta un rector.</w:t>
      </w:r>
    </w:p>
    <w:p>
      <w:pPr>
        <w:pStyle w:val="Heading2"/>
        <w:spacing w:after="120" w:before="260"/>
      </w:pPr>
      <w:r>
        <w:t xml:space="preserve">4.2 Beneficio e impacto</w:t>
      </w:r>
    </w:p>
    <w:p>
      <w:pPr>
        <w:pStyle w:val="ListParagraph"/>
        <w:numPr>
          <w:ilvl w:val="0"/>
          <w:numId w:val="1"/>
        </w:numPr>
        <w:spacing w:after="100" w:line="276"/>
      </w:pPr>
      <w:r>
        <w:t xml:space="preserve">Pasa de enterarse meses después a actuar en la misma semana en que aparece el patrón de riesgo.</w:t>
      </w:r>
    </w:p>
    <w:p>
      <w:pPr>
        <w:pStyle w:val="ListParagraph"/>
        <w:numPr>
          <w:ilvl w:val="0"/>
          <w:numId w:val="1"/>
        </w:numPr>
        <w:spacing w:after="100" w:line="276"/>
      </w:pPr>
      <w:r>
        <w:t xml:space="preserve">Da a la Secretaría una vista agregada, territorial y en tiempo real de todos sus colegios y municipios, hoy inexistente.</w:t>
      </w:r>
    </w:p>
    <w:p>
      <w:pPr>
        <w:pStyle w:val="ListParagraph"/>
        <w:numPr>
          <w:ilvl w:val="0"/>
          <w:numId w:val="1"/>
        </w:numPr>
        <w:spacing w:after="100" w:line="276"/>
      </w:pPr>
      <w:r>
        <w:t xml:space="preserve">Prioriza automáticamente los casos de doble vulnerabilidad: jóvenes fuera del sistema educativo que además viven en zona con alerta de protección activa.</w:t>
      </w:r>
    </w:p>
    <w:p>
      <w:pPr>
        <w:pStyle w:val="ListParagraph"/>
        <w:numPr>
          <w:ilvl w:val="0"/>
          <w:numId w:val="1"/>
        </w:numPr>
        <w:spacing w:after="100" w:line="276"/>
      </w:pPr>
      <w:r>
        <w:t xml:space="preserve">Reduce el riesgo fiscal del rector sobre el manejo del FSE, hoy gestionado manualmente sin plan de cuentas oficial.</w:t>
      </w:r>
    </w:p>
    <w:p>
      <w:pPr>
        <w:pStyle w:val="ListParagraph"/>
        <w:numPr>
          <w:ilvl w:val="0"/>
          <w:numId w:val="1"/>
        </w:numPr>
        <w:spacing w:after="100" w:line="276"/>
      </w:pPr>
      <w:r>
        <w:t xml:space="preserve">Da continuidad educativa a estudiantes que hoy abandonan por circunstancias temporales (salud, trabajo estacional, distancia), no por falta de interés.</w:t>
      </w:r>
    </w:p>
    <w:p>
      <w:pPr>
        <w:pStyle w:val="Heading2"/>
        <w:spacing w:after="120" w:before="260"/>
      </w:pPr>
      <w:r>
        <w:t xml:space="preserve">4.3 ¿Por qué es diferente?</w:t>
      </w:r>
    </w:p>
    <w:p>
      <w:pPr>
        <w:spacing w:after="160" w:line="276"/>
      </w:pPr>
      <w:r>
        <w:t xml:space="preserve">En el mercado colombiano existen soluciones para partes del problema, pero ninguna las integra: plataformas de gestión académica (Q10, Phidias) no incluyen contabilidad FSE, IA de deserción ni censo territorial; software contable genérico (Siigo Nube, Alegra) no trae el plan de cuentas del Decreto 4791 de 2008 ni está pensado para el sector público educativo. GyverLabs integra los cuatro frentes en un solo sistema, y — a diferencia de plataformas de análisis de datos de propósito general usadas por gobiernos para otros dominios — está diseñado específicamente para el contexto educativo público colombiano, con el aval de participación oficial en el concurso del MinTIC y con el modelo pedagógico validado por una docente en ejercicio, no solo por un desarrollador.</w:t>
      </w:r>
    </w:p>
    <w:p>
      <w:pPr>
        <w:spacing w:after="160" w:line="276"/>
      </w:pPr>
      <w:r>
        <w:t xml:space="preserve">Comparación de costo anual, con fuentes verificables (precios consultados en abril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E2761" w:val="clear"/>
            <w:tcMar>
              <w:top w:type="dxa" w:w="80"/>
              <w:left w:type="dxa" w:w="100"/>
              <w:bottom w:type="dxa" w:w="80"/>
              <w:right w:type="dxa" w:w="100"/>
            </w:tcMar>
          </w:tcPr>
          <w:p>
            <w:pPr>
              <w:jc w:val="left"/>
            </w:pPr>
            <w:r>
              <w:rPr>
                <w:b/>
                <w:bCs/>
                <w:color w:val="FFFFFF"/>
                <w:sz w:val="20"/>
                <w:szCs w:val="20"/>
              </w:rPr>
              <w:t xml:space="preserve">Necesidad</w:t>
            </w:r>
          </w:p>
        </w:tc>
        <w:tc>
          <w:tcPr>
            <w:tcW w:type="dxa" w:w="3800"/>
            <w:shd w:fill="1E2761" w:val="clear"/>
            <w:tcMar>
              <w:top w:type="dxa" w:w="80"/>
              <w:left w:type="dxa" w:w="100"/>
              <w:bottom w:type="dxa" w:w="80"/>
              <w:right w:type="dxa" w:w="100"/>
            </w:tcMar>
          </w:tcPr>
          <w:p>
            <w:pPr>
              <w:jc w:val="left"/>
            </w:pPr>
            <w:r>
              <w:rPr>
                <w:b/>
                <w:bCs/>
                <w:color w:val="FFFFFF"/>
                <w:sz w:val="20"/>
                <w:szCs w:val="20"/>
              </w:rPr>
              <w:t xml:space="preserve">Solución típica en el mercado colombiano</w:t>
            </w:r>
          </w:p>
        </w:tc>
        <w:tc>
          <w:tcPr>
            <w:tcW w:type="dxa" w:w="2960"/>
            <w:shd w:fill="1E2761" w:val="clear"/>
            <w:tcMar>
              <w:top w:type="dxa" w:w="80"/>
              <w:left w:type="dxa" w:w="100"/>
              <w:bottom w:type="dxa" w:w="80"/>
              <w:right w:type="dxa" w:w="100"/>
            </w:tcMar>
          </w:tcPr>
          <w:p>
            <w:pPr>
              <w:jc w:val="left"/>
            </w:pPr>
            <w:r>
              <w:rPr>
                <w:b/>
                <w:bCs/>
                <w:color w:val="FFFFFF"/>
                <w:sz w:val="20"/>
                <w:szCs w:val="20"/>
              </w:rPr>
              <w:t xml:space="preserve">GyverLabs</w:t>
            </w:r>
          </w:p>
        </w:tc>
      </w:tr>
      <w:tr>
        <w:tc>
          <w:tcPr>
            <w:tcW w:type="dxa" w:w="2600"/>
            <w:shd w:fill="E8ECFB" w:val="clear"/>
            <w:tcMar>
              <w:top w:type="dxa" w:w="80"/>
              <w:left w:type="dxa" w:w="100"/>
              <w:bottom w:type="dxa" w:w="80"/>
              <w:right w:type="dxa" w:w="100"/>
            </w:tcMar>
          </w:tcPr>
          <w:p>
            <w:pPr>
              <w:jc w:val="left"/>
            </w:pPr>
            <w:r>
              <w:rPr>
                <w:b w:val="false"/>
                <w:bCs w:val="false"/>
                <w:color w:val="000000"/>
                <w:sz w:val="20"/>
                <w:szCs w:val="20"/>
              </w:rPr>
              <w:t xml:space="preserve">Gestión académica y asistencia</w:t>
            </w:r>
          </w:p>
        </w:tc>
        <w:tc>
          <w:tcPr>
            <w:tcW w:type="dxa" w:w="3800"/>
            <w:shd w:fill="E8ECFB" w:val="clear"/>
            <w:tcMar>
              <w:top w:type="dxa" w:w="80"/>
              <w:left w:type="dxa" w:w="100"/>
              <w:bottom w:type="dxa" w:w="80"/>
              <w:right w:type="dxa" w:w="100"/>
            </w:tcMar>
          </w:tcPr>
          <w:p>
            <w:pPr>
              <w:jc w:val="left"/>
            </w:pPr>
            <w:r>
              <w:rPr>
                <w:b w:val="false"/>
                <w:bCs w:val="false"/>
                <w:color w:val="000000"/>
                <w:sz w:val="20"/>
                <w:szCs w:val="20"/>
              </w:rPr>
              <w:t xml:space="preserve">Q10 / Phidias — cotización cerrada, sin precio público</w:t>
            </w:r>
          </w:p>
        </w:tc>
        <w:tc>
          <w:tcPr>
            <w:tcW w:type="dxa" w:w="2960"/>
            <w:shd w:fill="E8ECFB" w:val="clear"/>
            <w:tcMar>
              <w:top w:type="dxa" w:w="80"/>
              <w:left w:type="dxa" w:w="100"/>
              <w:bottom w:type="dxa" w:w="80"/>
              <w:right w:type="dxa" w:w="100"/>
            </w:tcMar>
          </w:tcPr>
          <w:p>
            <w:pPr>
              <w:jc w:val="left"/>
            </w:pPr>
            <w:r>
              <w:rPr>
                <w:b w:val="false"/>
                <w:bCs w:val="false"/>
                <w:color w:val="000000"/>
                <w:sz w:val="20"/>
                <w:szCs w:val="20"/>
              </w:rPr>
              <w:t xml:space="preserve">Incluido</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Contabilidad FSE (sector público)</w:t>
            </w:r>
          </w:p>
        </w:tc>
        <w:tc>
          <w:tcPr>
            <w:tcW w:type="dxa" w:w="3800"/>
            <w:tcMar>
              <w:top w:type="dxa" w:w="80"/>
              <w:left w:type="dxa" w:w="100"/>
              <w:bottom w:type="dxa" w:w="80"/>
              <w:right w:type="dxa" w:w="100"/>
            </w:tcMar>
          </w:tcPr>
          <w:p>
            <w:pPr>
              <w:jc w:val="left"/>
            </w:pPr>
            <w:r>
              <w:rPr>
                <w:b w:val="false"/>
                <w:bCs w:val="false"/>
                <w:color w:val="000000"/>
                <w:sz w:val="20"/>
                <w:szCs w:val="20"/>
              </w:rPr>
              <w:t xml:space="preserve">Siigo Nube ($145.993–$207.869/mes) o Alegra ($69.900–$279.900/mes) — ninguno trae el plan de cuentas del Decreto 4791/2008</w:t>
            </w:r>
          </w:p>
        </w:tc>
        <w:tc>
          <w:tcPr>
            <w:tcW w:type="dxa" w:w="2960"/>
            <w:tcMar>
              <w:top w:type="dxa" w:w="80"/>
              <w:left w:type="dxa" w:w="100"/>
              <w:bottom w:type="dxa" w:w="80"/>
              <w:right w:type="dxa" w:w="100"/>
            </w:tcMar>
          </w:tcPr>
          <w:p>
            <w:pPr>
              <w:jc w:val="left"/>
            </w:pPr>
            <w:r>
              <w:rPr>
                <w:b w:val="false"/>
                <w:bCs w:val="false"/>
                <w:color w:val="000000"/>
                <w:sz w:val="20"/>
                <w:szCs w:val="20"/>
              </w:rPr>
              <w:t xml:space="preserve">Incluido</w:t>
            </w:r>
          </w:p>
        </w:tc>
      </w:tr>
      <w:tr>
        <w:tc>
          <w:tcPr>
            <w:tcW w:type="dxa" w:w="2600"/>
            <w:shd w:fill="E8ECFB" w:val="clear"/>
            <w:tcMar>
              <w:top w:type="dxa" w:w="80"/>
              <w:left w:type="dxa" w:w="100"/>
              <w:bottom w:type="dxa" w:w="80"/>
              <w:right w:type="dxa" w:w="100"/>
            </w:tcMar>
          </w:tcPr>
          <w:p>
            <w:pPr>
              <w:jc w:val="left"/>
            </w:pPr>
            <w:r>
              <w:rPr>
                <w:b w:val="false"/>
                <w:bCs w:val="false"/>
                <w:color w:val="000000"/>
                <w:sz w:val="20"/>
                <w:szCs w:val="20"/>
              </w:rPr>
              <w:t xml:space="preserve">IA predictiva de deserción + censo juvenil territorial</w:t>
            </w:r>
          </w:p>
        </w:tc>
        <w:tc>
          <w:tcPr>
            <w:tcW w:type="dxa" w:w="3800"/>
            <w:shd w:fill="E8ECFB" w:val="clear"/>
            <w:tcMar>
              <w:top w:type="dxa" w:w="80"/>
              <w:left w:type="dxa" w:w="100"/>
              <w:bottom w:type="dxa" w:w="80"/>
              <w:right w:type="dxa" w:w="100"/>
            </w:tcMar>
          </w:tcPr>
          <w:p>
            <w:pPr>
              <w:jc w:val="left"/>
            </w:pPr>
            <w:r>
              <w:rPr>
                <w:b w:val="false"/>
                <w:bCs w:val="false"/>
                <w:color w:val="000000"/>
                <w:sz w:val="20"/>
                <w:szCs w:val="20"/>
              </w:rPr>
              <w:t xml:space="preserve">Sin oferta comercial madura para colegios públicos ni Secretarías colombianas hoy</w:t>
            </w:r>
          </w:p>
        </w:tc>
        <w:tc>
          <w:tcPr>
            <w:tcW w:type="dxa" w:w="2960"/>
            <w:shd w:fill="E8ECFB" w:val="clear"/>
            <w:tcMar>
              <w:top w:type="dxa" w:w="80"/>
              <w:left w:type="dxa" w:w="100"/>
              <w:bottom w:type="dxa" w:w="80"/>
              <w:right w:type="dxa" w:w="100"/>
            </w:tcMar>
          </w:tcPr>
          <w:p>
            <w:pPr>
              <w:jc w:val="left"/>
            </w:pPr>
            <w:r>
              <w:rPr>
                <w:b w:val="false"/>
                <w:bCs w:val="false"/>
                <w:color w:val="000000"/>
                <w:sz w:val="20"/>
                <w:szCs w:val="20"/>
              </w:rPr>
              <w:t xml:space="preserve">Incluido (prototipo evaluable en este repositorio)</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Aula virtual / continuidad en casa</w:t>
            </w:r>
          </w:p>
        </w:tc>
        <w:tc>
          <w:tcPr>
            <w:tcW w:type="dxa" w:w="3800"/>
            <w:tcMar>
              <w:top w:type="dxa" w:w="80"/>
              <w:left w:type="dxa" w:w="100"/>
              <w:bottom w:type="dxa" w:w="80"/>
              <w:right w:type="dxa" w:w="100"/>
            </w:tcMar>
          </w:tcPr>
          <w:p>
            <w:pPr>
              <w:jc w:val="left"/>
            </w:pPr>
            <w:r>
              <w:rPr>
                <w:b w:val="false"/>
                <w:bCs w:val="false"/>
                <w:color w:val="000000"/>
                <w:sz w:val="20"/>
                <w:szCs w:val="20"/>
              </w:rPr>
              <w:t xml:space="preserve">LMS independiente, contratación e integración adicional</w:t>
            </w:r>
          </w:p>
        </w:tc>
        <w:tc>
          <w:tcPr>
            <w:tcW w:type="dxa" w:w="2960"/>
            <w:tcMar>
              <w:top w:type="dxa" w:w="80"/>
              <w:left w:type="dxa" w:w="100"/>
              <w:bottom w:type="dxa" w:w="80"/>
              <w:right w:type="dxa" w:w="100"/>
            </w:tcMar>
          </w:tcPr>
          <w:p>
            <w:pPr>
              <w:jc w:val="left"/>
            </w:pPr>
            <w:r>
              <w:rPr>
                <w:b w:val="false"/>
                <w:bCs w:val="false"/>
                <w:color w:val="000000"/>
                <w:sz w:val="20"/>
                <w:szCs w:val="20"/>
              </w:rPr>
              <w:t xml:space="preserve">Incluido</w:t>
            </w:r>
          </w:p>
        </w:tc>
      </w:tr>
      <w:tr>
        <w:tc>
          <w:tcPr>
            <w:tcW w:type="dxa" w:w="2600"/>
            <w:shd w:fill="E8ECFB" w:val="clear"/>
            <w:tcMar>
              <w:top w:type="dxa" w:w="80"/>
              <w:left w:type="dxa" w:w="100"/>
              <w:bottom w:type="dxa" w:w="80"/>
              <w:right w:type="dxa" w:w="100"/>
            </w:tcMar>
          </w:tcPr>
          <w:p>
            <w:pPr>
              <w:jc w:val="left"/>
            </w:pPr>
            <w:r>
              <w:rPr>
                <w:b w:val="false"/>
                <w:bCs w:val="false"/>
                <w:color w:val="000000"/>
                <w:sz w:val="20"/>
                <w:szCs w:val="20"/>
              </w:rPr>
              <w:t xml:space="preserve">Costo anual combinando todo por separado</w:t>
            </w:r>
          </w:p>
        </w:tc>
        <w:tc>
          <w:tcPr>
            <w:tcW w:type="dxa" w:w="3800"/>
            <w:shd w:fill="E8ECFB" w:val="clear"/>
            <w:tcMar>
              <w:top w:type="dxa" w:w="80"/>
              <w:left w:type="dxa" w:w="100"/>
              <w:bottom w:type="dxa" w:w="80"/>
              <w:right w:type="dxa" w:w="100"/>
            </w:tcMar>
          </w:tcPr>
          <w:p>
            <w:pPr>
              <w:jc w:val="left"/>
            </w:pPr>
            <w:r>
              <w:rPr>
                <w:b w:val="false"/>
                <w:bCs w:val="false"/>
                <w:color w:val="000000"/>
                <w:sz w:val="20"/>
                <w:szCs w:val="20"/>
              </w:rPr>
              <w:t xml:space="preserve">Entre $25.000.000 y $40.000.000 COP/año, en sistemas que no hablan entre sí</w:t>
            </w:r>
          </w:p>
        </w:tc>
        <w:tc>
          <w:tcPr>
            <w:tcW w:type="dxa" w:w="2960"/>
            <w:shd w:fill="E8ECFB" w:val="clear"/>
            <w:tcMar>
              <w:top w:type="dxa" w:w="80"/>
              <w:left w:type="dxa" w:w="100"/>
              <w:bottom w:type="dxa" w:w="80"/>
              <w:right w:type="dxa" w:w="100"/>
            </w:tcMar>
          </w:tcPr>
          <w:p>
            <w:pPr>
              <w:jc w:val="left"/>
            </w:pPr>
            <w:r>
              <w:rPr>
                <w:b w:val="false"/>
                <w:bCs w:val="false"/>
                <w:color w:val="000000"/>
                <w:sz w:val="20"/>
                <w:szCs w:val="20"/>
              </w:rPr>
              <w:t xml:space="preserve">$14.400.000 COP/año, todo integrado (propuesta comercial piloto)</w:t>
            </w:r>
          </w:p>
        </w:tc>
      </w:tr>
    </w:tbl>
    <w:p>
      <w:pPr>
        <w:spacing w:after="240" w:before="60"/>
      </w:pPr>
      <w:r>
        <w:rPr>
          <w:i/>
          <w:iCs/>
          <w:color w:val="555555"/>
          <w:sz w:val="18"/>
          <w:szCs w:val="18"/>
        </w:rPr>
        <w:t xml:space="preserve">Tabla 3. Fuentes: siigo.com/precios-siigo y programascontabilidad.com (comparativa de precios verificados en el mercado colombiano).</w:t>
      </w:r>
    </w:p>
    <w:p>
      <w:pPr>
        <w:pStyle w:val="Heading1"/>
        <w:spacing w:after="160" w:before="360"/>
      </w:pPr>
      <w:r>
        <w:t xml:space="preserve">5. Metodología, arquitectura y tecnología</w:t>
      </w:r>
    </w:p>
    <w:p>
      <w:pPr>
        <w:pStyle w:val="Heading2"/>
        <w:spacing w:after="120" w:before="260"/>
      </w:pPr>
      <w:r>
        <w:t xml:space="preserve">5.1 Metodología de desarrollo del modelo — CRISP-DM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E2761" w:val="clear"/>
            <w:tcMar>
              <w:top w:type="dxa" w:w="80"/>
              <w:left w:type="dxa" w:w="100"/>
              <w:bottom w:type="dxa" w:w="80"/>
              <w:right w:type="dxa" w:w="100"/>
            </w:tcMar>
          </w:tcPr>
          <w:p>
            <w:pPr>
              <w:jc w:val="left"/>
            </w:pPr>
            <w:r>
              <w:rPr>
                <w:b/>
                <w:bCs/>
                <w:color w:val="FFFFFF"/>
                <w:sz w:val="20"/>
                <w:szCs w:val="20"/>
              </w:rPr>
              <w:t xml:space="preserve">Fase CRISP-DM</w:t>
            </w:r>
          </w:p>
        </w:tc>
        <w:tc>
          <w:tcPr>
            <w:tcW w:type="dxa" w:w="7260"/>
            <w:shd w:fill="1E2761" w:val="clear"/>
            <w:tcMar>
              <w:top w:type="dxa" w:w="80"/>
              <w:left w:type="dxa" w:w="100"/>
              <w:bottom w:type="dxa" w:w="80"/>
              <w:right w:type="dxa" w:w="100"/>
            </w:tcMar>
          </w:tcPr>
          <w:p>
            <w:pPr>
              <w:jc w:val="left"/>
            </w:pPr>
            <w:r>
              <w:rPr>
                <w:b/>
                <w:bCs/>
                <w:color w:val="FFFFFF"/>
                <w:sz w:val="20"/>
                <w:szCs w:val="20"/>
              </w:rPr>
              <w:t xml:space="preserve">Cómo se aplicó en este proyecto</w:t>
            </w:r>
          </w:p>
        </w:tc>
      </w:tr>
      <w:tr>
        <w:tc>
          <w:tcPr>
            <w:tcW w:type="dxa" w:w="2100"/>
            <w:shd w:fill="E8ECFB" w:val="clear"/>
            <w:tcMar>
              <w:top w:type="dxa" w:w="80"/>
              <w:left w:type="dxa" w:w="100"/>
              <w:bottom w:type="dxa" w:w="80"/>
              <w:right w:type="dxa" w:w="100"/>
            </w:tcMar>
          </w:tcPr>
          <w:p>
            <w:pPr>
              <w:jc w:val="left"/>
            </w:pPr>
            <w:r>
              <w:rPr>
                <w:b w:val="false"/>
                <w:bCs w:val="false"/>
                <w:color w:val="000000"/>
                <w:sz w:val="20"/>
                <w:szCs w:val="20"/>
              </w:rPr>
              <w:t xml:space="preserve">1. Comprensión del negocio</w:t>
            </w:r>
          </w:p>
        </w:tc>
        <w:tc>
          <w:tcPr>
            <w:tcW w:type="dxa" w:w="7260"/>
            <w:shd w:fill="E8ECFB" w:val="clear"/>
            <w:tcMar>
              <w:top w:type="dxa" w:w="80"/>
              <w:left w:type="dxa" w:w="100"/>
              <w:bottom w:type="dxa" w:w="80"/>
              <w:right w:type="dxa" w:w="100"/>
            </w:tcMar>
          </w:tcPr>
          <w:p>
            <w:pPr>
              <w:jc w:val="left"/>
            </w:pPr>
            <w:r>
              <w:rPr>
                <w:b w:val="false"/>
                <w:bCs w:val="false"/>
                <w:color w:val="000000"/>
                <w:sz w:val="20"/>
                <w:szCs w:val="20"/>
              </w:rPr>
              <w:t xml:space="preserve">Se definió el problema (deserción invisible y falta de visibilidad territorial), el objetivo (puntaje de riesgo semanal accionable + censo juvenil) y el criterio de éxito (modelo entrenado y evaluado con métricas reales, API funcional, tablero usable).</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2. Comprensión de los datos</w:t>
            </w:r>
          </w:p>
        </w:tc>
        <w:tc>
          <w:tcPr>
            <w:tcW w:type="dxa" w:w="7260"/>
            <w:tcMar>
              <w:top w:type="dxa" w:w="80"/>
              <w:left w:type="dxa" w:w="100"/>
              <w:bottom w:type="dxa" w:w="80"/>
              <w:right w:type="dxa" w:w="100"/>
            </w:tcMar>
          </w:tcPr>
          <w:p>
            <w:pPr>
              <w:jc w:val="left"/>
            </w:pPr>
            <w:r>
              <w:rPr>
                <w:b w:val="false"/>
                <w:bCs w:val="false"/>
                <w:color w:val="000000"/>
                <w:sz w:val="20"/>
                <w:szCs w:val="20"/>
              </w:rPr>
              <w:t xml:space="preserve">Se identificaron las fuentes reales disponibles hoy (asistencia, notas, nivel SISBÉN) y las fuentes abiertas de integración futura (SIMAT, SISBEN IV, DANE, SAT); se documentaron sus restricciones de acceso.</w:t>
            </w:r>
          </w:p>
        </w:tc>
      </w:tr>
      <w:tr>
        <w:tc>
          <w:tcPr>
            <w:tcW w:type="dxa" w:w="2100"/>
            <w:shd w:fill="E8ECFB" w:val="clear"/>
            <w:tcMar>
              <w:top w:type="dxa" w:w="80"/>
              <w:left w:type="dxa" w:w="100"/>
              <w:bottom w:type="dxa" w:w="80"/>
              <w:right w:type="dxa" w:w="100"/>
            </w:tcMar>
          </w:tcPr>
          <w:p>
            <w:pPr>
              <w:jc w:val="left"/>
            </w:pPr>
            <w:r>
              <w:rPr>
                <w:b w:val="false"/>
                <w:bCs w:val="false"/>
                <w:color w:val="000000"/>
                <w:sz w:val="20"/>
                <w:szCs w:val="20"/>
              </w:rPr>
              <w:t xml:space="preserve">3. Preparación de los datos</w:t>
            </w:r>
          </w:p>
        </w:tc>
        <w:tc>
          <w:tcPr>
            <w:tcW w:type="dxa" w:w="7260"/>
            <w:shd w:fill="E8ECFB" w:val="clear"/>
            <w:tcMar>
              <w:top w:type="dxa" w:w="80"/>
              <w:left w:type="dxa" w:w="100"/>
              <w:bottom w:type="dxa" w:w="80"/>
              <w:right w:type="dxa" w:w="100"/>
            </w:tcMar>
          </w:tcPr>
          <w:p>
            <w:pPr>
              <w:jc w:val="left"/>
            </w:pPr>
            <w:r>
              <w:rPr>
                <w:b w:val="false"/>
                <w:bCs w:val="false"/>
                <w:color w:val="000000"/>
                <w:sz w:val="20"/>
                <w:szCs w:val="20"/>
              </w:rPr>
              <w:t xml:space="preserve">Generación de un dataset sintético reproducible (seed_data.py) y construcción de 11 variables por estudiante (ml/features.py) — 7 variables base más 4 de interacción —, con relaciones estadísticas plausibles entre asistencia, notas, zona y nivel socioeconómico simulado.</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4. Modelado</w:t>
            </w:r>
          </w:p>
        </w:tc>
        <w:tc>
          <w:tcPr>
            <w:tcW w:type="dxa" w:w="7260"/>
            <w:tcMar>
              <w:top w:type="dxa" w:w="80"/>
              <w:left w:type="dxa" w:w="100"/>
              <w:bottom w:type="dxa" w:w="80"/>
              <w:right w:type="dxa" w:w="100"/>
            </w:tcMar>
          </w:tcPr>
          <w:p>
            <w:pPr>
              <w:jc w:val="left"/>
            </w:pPr>
            <w:r>
              <w:rPr>
                <w:b w:val="false"/>
                <w:bCs w:val="false"/>
                <w:color w:val="000000"/>
                <w:sz w:val="20"/>
                <w:szCs w:val="20"/>
              </w:rPr>
              <w:t xml:space="preserve">Entrenamiento de un clasificador LightGBM (binario) con validación holdout 25%, semilla fija para reproducibilidad (ml/train_demo.py).</w:t>
            </w:r>
          </w:p>
        </w:tc>
      </w:tr>
      <w:tr>
        <w:tc>
          <w:tcPr>
            <w:tcW w:type="dxa" w:w="2100"/>
            <w:shd w:fill="E8ECFB" w:val="clear"/>
            <w:tcMar>
              <w:top w:type="dxa" w:w="80"/>
              <w:left w:type="dxa" w:w="100"/>
              <w:bottom w:type="dxa" w:w="80"/>
              <w:right w:type="dxa" w:w="100"/>
            </w:tcMar>
          </w:tcPr>
          <w:p>
            <w:pPr>
              <w:jc w:val="left"/>
            </w:pPr>
            <w:r>
              <w:rPr>
                <w:b w:val="false"/>
                <w:bCs w:val="false"/>
                <w:color w:val="000000"/>
                <w:sz w:val="20"/>
                <w:szCs w:val="20"/>
              </w:rPr>
              <w:t xml:space="preserve">5. Evaluación</w:t>
            </w:r>
          </w:p>
        </w:tc>
        <w:tc>
          <w:tcPr>
            <w:tcW w:type="dxa" w:w="7260"/>
            <w:shd w:fill="E8ECFB" w:val="clear"/>
            <w:tcMar>
              <w:top w:type="dxa" w:w="80"/>
              <w:left w:type="dxa" w:w="100"/>
              <w:bottom w:type="dxa" w:w="80"/>
              <w:right w:type="dxa" w:w="100"/>
            </w:tcMar>
          </w:tcPr>
          <w:p>
            <w:pPr>
              <w:jc w:val="left"/>
            </w:pPr>
            <w:r>
              <w:rPr>
                <w:b w:val="false"/>
                <w:bCs w:val="false"/>
                <w:color w:val="000000"/>
                <w:sz w:val="20"/>
                <w:szCs w:val="20"/>
              </w:rPr>
              <w:t xml:space="preserve">Cálculo de AUC-ROC, accuracy, precisión y recall sobre el conjunto de prueba; análisis de importancia de variables (feature importance por ganancia); resultados documentados en la sección 7, tomados directamente de backend/ml/metrics_demo.json.</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6. Despliegue</w:t>
            </w:r>
          </w:p>
        </w:tc>
        <w:tc>
          <w:tcPr>
            <w:tcW w:type="dxa" w:w="7260"/>
            <w:tcMar>
              <w:top w:type="dxa" w:w="80"/>
              <w:left w:type="dxa" w:w="100"/>
              <w:bottom w:type="dxa" w:w="80"/>
              <w:right w:type="dxa" w:w="100"/>
            </w:tcMar>
          </w:tcPr>
          <w:p>
            <w:pPr>
              <w:jc w:val="left"/>
            </w:pPr>
            <w:r>
              <w:rPr>
                <w:b w:val="false"/>
                <w:bCs w:val="false"/>
                <w:color w:val="000000"/>
                <w:sz w:val="20"/>
                <w:szCs w:val="20"/>
              </w:rPr>
              <w:t xml:space="preserve">Exposición del modelo vía API REST (FastAPI) con endpoints de tablero, ranking y censo territorial; consumo en vivo desde un dashboard web; hoja de ruta de despliegue institucional en 5 fases para un piloto real.</w:t>
            </w:r>
          </w:p>
        </w:tc>
      </w:tr>
    </w:tbl>
    <w:p>
      <w:pPr>
        <w:spacing w:after="240" w:before="60"/>
      </w:pPr>
      <w:r>
        <w:rPr>
          <w:i/>
          <w:iCs/>
          <w:color w:val="555555"/>
          <w:sz w:val="18"/>
          <w:szCs w:val="18"/>
        </w:rPr>
        <w:t xml:space="preserve">Tabla 4. Aplicación de CRISP-DM al desarrollo del modelo de riesgo de deserción y del censo juvenil territorial.</w:t>
      </w:r>
    </w:p>
    <w:p>
      <w:pPr>
        <w:pStyle w:val="Heading2"/>
        <w:spacing w:after="120" w:before="260"/>
      </w:pPr>
      <w:r>
        <w:t xml:space="preserve">5.2 Cómo se abordan los criterios de evaluación del concurso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E2761" w:val="clear"/>
            <w:tcMar>
              <w:top w:type="dxa" w:w="80"/>
              <w:left w:type="dxa" w:w="100"/>
              <w:bottom w:type="dxa" w:w="80"/>
              <w:right w:type="dxa" w:w="100"/>
            </w:tcMar>
          </w:tcPr>
          <w:p>
            <w:pPr>
              <w:jc w:val="left"/>
            </w:pPr>
            <w:r>
              <w:rPr>
                <w:b/>
                <w:bCs/>
                <w:color w:val="FFFFFF"/>
                <w:sz w:val="20"/>
                <w:szCs w:val="20"/>
              </w:rPr>
              <w:t xml:space="preserve">Criterio del jurado</w:t>
            </w:r>
          </w:p>
        </w:tc>
        <w:tc>
          <w:tcPr>
            <w:tcW w:type="dxa" w:w="6960"/>
            <w:shd w:fill="1E2761" w:val="clear"/>
            <w:tcMar>
              <w:top w:type="dxa" w:w="80"/>
              <w:left w:type="dxa" w:w="100"/>
              <w:bottom w:type="dxa" w:w="80"/>
              <w:right w:type="dxa" w:w="100"/>
            </w:tcMar>
          </w:tcPr>
          <w:p>
            <w:pPr>
              <w:jc w:val="left"/>
            </w:pPr>
            <w:r>
              <w:rPr>
                <w:b/>
                <w:bCs/>
                <w:color w:val="FFFFFF"/>
                <w:sz w:val="20"/>
                <w:szCs w:val="20"/>
              </w:rPr>
              <w:t xml:space="preserve">Cómo lo aborda este proyecto</w:t>
            </w:r>
          </w:p>
        </w:tc>
      </w:tr>
      <w:tr>
        <w:tc>
          <w:tcPr>
            <w:tcW w:type="dxa" w:w="2400"/>
            <w:shd w:fill="E8ECFB" w:val="clear"/>
            <w:tcMar>
              <w:top w:type="dxa" w:w="80"/>
              <w:left w:type="dxa" w:w="100"/>
              <w:bottom w:type="dxa" w:w="80"/>
              <w:right w:type="dxa" w:w="100"/>
            </w:tcMar>
          </w:tcPr>
          <w:p>
            <w:pPr>
              <w:jc w:val="left"/>
            </w:pPr>
            <w:r>
              <w:rPr>
                <w:b w:val="false"/>
                <w:bCs w:val="false"/>
                <w:color w:val="000000"/>
                <w:sz w:val="20"/>
                <w:szCs w:val="20"/>
              </w:rPr>
              <w:t xml:space="preserve">Innovación y creatividad</w:t>
            </w:r>
          </w:p>
        </w:tc>
        <w:tc>
          <w:tcPr>
            <w:tcW w:type="dxa" w:w="6960"/>
            <w:shd w:fill="E8ECFB" w:val="clear"/>
            <w:tcMar>
              <w:top w:type="dxa" w:w="80"/>
              <w:left w:type="dxa" w:w="100"/>
              <w:bottom w:type="dxa" w:w="80"/>
              <w:right w:type="dxa" w:w="100"/>
            </w:tcMar>
          </w:tcPr>
          <w:p>
            <w:pPr>
              <w:jc w:val="left"/>
            </w:pPr>
            <w:r>
              <w:rPr>
                <w:b w:val="false"/>
                <w:bCs w:val="false"/>
                <w:color w:val="000000"/>
                <w:sz w:val="20"/>
                <w:szCs w:val="20"/>
              </w:rPr>
              <w:t xml:space="preserve">Integra en un solo sistema cuatro problemas que hoy se resuelven (o no se resuelven) por separado: deserción, censo juvenil territorial, continuidad educativa y transparencia fiscal del FSE, todos alimentados por el mismo dato base.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Uso de datos abiertos</w:t>
            </w:r>
          </w:p>
        </w:tc>
        <w:tc>
          <w:tcPr>
            <w:tcW w:type="dxa" w:w="6960"/>
            <w:tcMar>
              <w:top w:type="dxa" w:w="80"/>
              <w:left w:type="dxa" w:w="100"/>
              <w:bottom w:type="dxa" w:w="80"/>
              <w:right w:type="dxa" w:w="100"/>
            </w:tcMar>
          </w:tcPr>
          <w:p>
            <w:pPr>
              <w:jc w:val="left"/>
            </w:pPr>
            <w:r>
              <w:rPr>
                <w:b w:val="false"/>
                <w:bCs w:val="false"/>
                <w:color w:val="000000"/>
                <w:sz w:val="20"/>
                <w:szCs w:val="20"/>
              </w:rPr>
              <w:t xml:space="preserve">Arquitectura de integración documentada con SIMAT, SISBEN IV, DANE, SAT y SECOP II (sección 3); uso de datos abiertos de DANE/MEN y SECOP II para calibrar el diagnóstico y la propuesta de precio.</w:t>
            </w:r>
          </w:p>
        </w:tc>
      </w:tr>
      <w:tr>
        <w:tc>
          <w:tcPr>
            <w:tcW w:type="dxa" w:w="2400"/>
            <w:shd w:fill="E8ECFB" w:val="clear"/>
            <w:tcMar>
              <w:top w:type="dxa" w:w="80"/>
              <w:left w:type="dxa" w:w="100"/>
              <w:bottom w:type="dxa" w:w="80"/>
              <w:right w:type="dxa" w:w="100"/>
            </w:tcMar>
          </w:tcPr>
          <w:p>
            <w:pPr>
              <w:jc w:val="left"/>
            </w:pPr>
            <w:r>
              <w:rPr>
                <w:b w:val="false"/>
                <w:bCs w:val="false"/>
                <w:color w:val="000000"/>
                <w:sz w:val="20"/>
                <w:szCs w:val="20"/>
              </w:rPr>
              <w:t xml:space="preserve">Rigor técnico</w:t>
            </w:r>
          </w:p>
        </w:tc>
        <w:tc>
          <w:tcPr>
            <w:tcW w:type="dxa" w:w="6960"/>
            <w:shd w:fill="E8ECFB" w:val="clear"/>
            <w:tcMar>
              <w:top w:type="dxa" w:w="80"/>
              <w:left w:type="dxa" w:w="100"/>
              <w:bottom w:type="dxa" w:w="80"/>
              <w:right w:type="dxa" w:w="100"/>
            </w:tcMar>
          </w:tcPr>
          <w:p>
            <w:pPr>
              <w:jc w:val="left"/>
            </w:pPr>
            <w:r>
              <w:rPr>
                <w:b w:val="false"/>
                <w:bCs w:val="false"/>
                <w:color w:val="000000"/>
                <w:sz w:val="20"/>
                <w:szCs w:val="20"/>
              </w:rPr>
              <w:t xml:space="preserve">Modelo LightGBM real, entrenado y evaluado con métricas verificables (sección 7.1); pipeline reproducible con un comando; pruebas automatizadas (pytest) y flujo de integración continua (GitHub Actions).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Uso de tecnologías emergentes de IA</w:t>
            </w:r>
          </w:p>
        </w:tc>
        <w:tc>
          <w:tcPr>
            <w:tcW w:type="dxa" w:w="6960"/>
            <w:tcMar>
              <w:top w:type="dxa" w:w="80"/>
              <w:left w:type="dxa" w:w="100"/>
              <w:bottom w:type="dxa" w:w="80"/>
              <w:right w:type="dxa" w:w="100"/>
            </w:tcMar>
          </w:tcPr>
          <w:p>
            <w:pPr>
              <w:jc w:val="left"/>
            </w:pPr>
            <w:r>
              <w:rPr>
                <w:b w:val="false"/>
                <w:bCs w:val="false"/>
                <w:color w:val="000000"/>
                <w:sz w:val="20"/>
                <w:szCs w:val="20"/>
              </w:rPr>
              <w:t xml:space="preserve">Motor de clasificación con LightGBM (gradient boosting) para el Score de Riesgo; arquitectura prevista para incorporar modelos de lenguaje (transformers) en el agente conversacional de orientación estudiantil, y modelos de series de tiempo (LSTM) para pronóstico de asistencia en fases posteriores — ver límites en la sección 7.4.</w:t>
            </w:r>
          </w:p>
        </w:tc>
      </w:tr>
      <w:tr>
        <w:tc>
          <w:tcPr>
            <w:tcW w:type="dxa" w:w="2400"/>
            <w:shd w:fill="E8ECFB" w:val="clear"/>
            <w:tcMar>
              <w:top w:type="dxa" w:w="80"/>
              <w:left w:type="dxa" w:w="100"/>
              <w:bottom w:type="dxa" w:w="80"/>
              <w:right w:type="dxa" w:w="100"/>
            </w:tcMar>
          </w:tcPr>
          <w:p>
            <w:pPr>
              <w:jc w:val="left"/>
            </w:pPr>
            <w:r>
              <w:rPr>
                <w:b w:val="false"/>
                <w:bCs w:val="false"/>
                <w:color w:val="000000"/>
                <w:sz w:val="20"/>
                <w:szCs w:val="20"/>
              </w:rPr>
              <w:t xml:space="preserve">Impacto y escalabilidad</w:t>
            </w:r>
          </w:p>
        </w:tc>
        <w:tc>
          <w:tcPr>
            <w:tcW w:type="dxa" w:w="6960"/>
            <w:shd w:fill="E8ECFB" w:val="clear"/>
            <w:tcMar>
              <w:top w:type="dxa" w:w="80"/>
              <w:left w:type="dxa" w:w="100"/>
              <w:bottom w:type="dxa" w:w="80"/>
              <w:right w:type="dxa" w:w="100"/>
            </w:tcMar>
          </w:tcPr>
          <w:p>
            <w:pPr>
              <w:jc w:val="left"/>
            </w:pPr>
            <w:r>
              <w:rPr>
                <w:b w:val="false"/>
                <w:bCs w:val="false"/>
                <w:color w:val="000000"/>
                <w:sz w:val="20"/>
                <w:szCs w:val="20"/>
              </w:rPr>
              <w:t xml:space="preserve">Arquitectura multi-tenant: un mismo despliegue sirve a N instituciones con aislamiento de datos, sin infraestructura adicional por colegio; el Censo Juvenil Territorial escala de forma natural a nivel departamental y nacional.</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Diseño, comunicación y usabilidad</w:t>
            </w:r>
          </w:p>
        </w:tc>
        <w:tc>
          <w:tcPr>
            <w:tcW w:type="dxa" w:w="6960"/>
            <w:tcMar>
              <w:top w:type="dxa" w:w="80"/>
              <w:left w:type="dxa" w:w="100"/>
              <w:bottom w:type="dxa" w:w="80"/>
              <w:right w:type="dxa" w:w="100"/>
            </w:tcMar>
          </w:tcPr>
          <w:p>
            <w:pPr>
              <w:jc w:val="left"/>
            </w:pPr>
            <w:r>
              <w:rPr>
                <w:b w:val="false"/>
                <w:bCs w:val="false"/>
                <w:color w:val="000000"/>
                <w:sz w:val="20"/>
                <w:szCs w:val="20"/>
              </w:rPr>
              <w:t xml:space="preserve">Tablero institucional con mapa de calor, ranking priorizado, detalle de factores por estudiante y flujo de intervención en un clic; tablero de Secretaría con filtro por departamento y municipio; documentación en lenguaje claro para perfiles no técnicos (rectores, coordinadores, funcionarios de Secretaría).</w:t>
            </w:r>
          </w:p>
        </w:tc>
      </w:tr>
    </w:tbl>
    <w:p>
      <w:pPr>
        <w:spacing w:after="240" w:before="60"/>
      </w:pPr>
      <w:r>
        <w:rPr>
          <w:i/>
          <w:iCs/>
          <w:color w:val="555555"/>
          <w:sz w:val="18"/>
          <w:szCs w:val="18"/>
        </w:rPr>
        <w:t xml:space="preserve">Tabla 5. Trazabilidad entre los criterios oficiales de evaluación y los componentes entregados.</w:t>
      </w:r>
    </w:p>
    <w:p>
      <w:pPr>
        <w:pStyle w:val="Heading2"/>
        <w:spacing w:after="120" w:before="260"/>
      </w:pPr>
      <w:r>
        <w:t xml:space="preserve">5.3 Arquitectura de la solución</w:t>
      </w:r>
    </w:p>
    <w:p>
      <w:pPr>
        <w:spacing w:after="160" w:line="276"/>
      </w:pPr>
      <w:r>
        <w:t xml:space="preserve">El sistema sigue una arquitectura multi-tenant: un mismo backend sirve a N instituciones educativas, cada una con sus datos lógicamente aislados. Cuatro módulos comparten el mismo motor de aplicación: Asistencia y Alertas / Score de Riesgo de Deserción (SRD), Censo Juvenil Territorial, Aula Virtual Coordinada, y Contabilidad FSE, más un Agente de Orientación Estudiantil que actúa como capa de acceso ciudadano a la información (chat conversacional).</w:t>
      </w:r>
    </w:p>
    <w:p>
      <w:pPr>
        <w:pStyle w:val="ListParagraph"/>
        <w:numPr>
          <w:ilvl w:val="0"/>
          <w:numId w:val="1"/>
        </w:numPr>
        <w:spacing w:after="100" w:line="276"/>
      </w:pPr>
      <w:r>
        <w:t xml:space="preserve">Backend: Python 3.11, FastAPI, SQLAlchemy — expuesto como API REST documentada (OpenAPI/Swagger), 9 routers funcionales.</w:t>
      </w:r>
    </w:p>
    <w:p>
      <w:pPr>
        <w:pStyle w:val="ListParagraph"/>
        <w:numPr>
          <w:ilvl w:val="0"/>
          <w:numId w:val="1"/>
        </w:numPr>
        <w:spacing w:after="100" w:line="276"/>
      </w:pPr>
      <w:r>
        <w:t xml:space="preserve">Base de datos: SQLite en la versión de evaluación (cero dependencias externas); PostgreSQL multi-schema en producción, un schema lógico por institución.</w:t>
      </w:r>
    </w:p>
    <w:p>
      <w:pPr>
        <w:pStyle w:val="ListParagraph"/>
        <w:numPr>
          <w:ilvl w:val="0"/>
          <w:numId w:val="1"/>
        </w:numPr>
        <w:spacing w:after="100" w:line="276"/>
      </w:pPr>
      <w:r>
        <w:t xml:space="preserve">Motor de IA: LightGBM para el Score de Riesgo de Deserción, incorporando el nivel SISBÉN como variable; hoja de ruta con Transformers para el agente conversacional en lenguaje natural y LSTM para pronóstico de series de tiempo de asistencia.</w:t>
      </w:r>
    </w:p>
    <w:p>
      <w:pPr>
        <w:pStyle w:val="ListParagraph"/>
        <w:numPr>
          <w:ilvl w:val="0"/>
          <w:numId w:val="1"/>
        </w:numPr>
        <w:spacing w:after="100" w:line="276"/>
      </w:pPr>
      <w:r>
        <w:t xml:space="preserve">Frontend: dashboard web (HTML/CSS/JS) que consume la API en tiempo real, con datos de respaldo local si el backend no está disponible — sin punto único de falla durante una demostración en vivo.</w:t>
      </w:r>
    </w:p>
    <w:p>
      <w:pPr>
        <w:pStyle w:val="ListParagraph"/>
        <w:numPr>
          <w:ilvl w:val="0"/>
          <w:numId w:val="1"/>
        </w:numPr>
        <w:spacing w:after="100" w:line="276"/>
      </w:pPr>
      <w:r>
        <w:t xml:space="preserve">Infraestructura de producción prevista: contenedores Docker, despliegue en VPS, Nginx como proxy inverso, HTTPS automático.</w:t>
      </w:r>
    </w:p>
    <w:p>
      <w:pPr>
        <w:spacing w:after="160" w:line="276"/>
      </w:pPr>
      <w:r>
        <w:t xml:space="preserve">El diagrama completo de arquitectura (multi-tenant, flujo de datos y modelo entidad-relación) está documentado en docs/ARQUITECTURA.md dentro del repositorio de evaluación adjunto.</w:t>
      </w:r>
    </w:p>
    <w:p>
      <w:pPr>
        <w:pStyle w:val="Heading1"/>
        <w:spacing w:after="160" w:before="360"/>
      </w:pPr>
      <w:r>
        <w:t xml:space="preserve">6. Evidencia y demostración (demo)</w:t>
      </w:r>
    </w:p>
    <w:p>
      <w:pPr>
        <w:spacing w:after="160" w:line="276"/>
      </w:pPr>
      <w:r>
        <w:t xml:space="preserve">El repositorio adjunto (gyverlabs-showcase.zip) contiene un prototipo que se ejecuta de forma completamente local, sin depender de internet ni de servicios de terceros, siguiendo un principio de control de riesgo técnico para la presentación en vivo.</w:t>
      </w:r>
    </w:p>
    <w:p>
      <w:pPr>
        <w:pStyle w:val="Heading2"/>
        <w:spacing w:after="120" w:before="260"/>
      </w:pPr>
      <w:r>
        <w:t xml:space="preserve">6.1 Escenarios de éxito preparados</w:t>
      </w:r>
    </w:p>
    <w:p>
      <w:pPr>
        <w:pStyle w:val="ListParagraph"/>
        <w:numPr>
          <w:ilvl w:val="0"/>
          <w:numId w:val="1"/>
        </w:numPr>
        <w:spacing w:after="100" w:line="276"/>
      </w:pPr>
      <w:r>
        <w:t xml:space="preserve">Escenario 1 — Vista general: se abre el tablero institucional y se muestra el mapa de calor de riesgo por grado y los KPIs agregados (estudiantes activos, alertas críticas, asistencia global), calculados en vivo por el modelo.</w:t>
      </w:r>
    </w:p>
    <w:p>
      <w:pPr>
        <w:pStyle w:val="ListParagraph"/>
        <w:numPr>
          <w:ilvl w:val="0"/>
          <w:numId w:val="1"/>
        </w:numPr>
        <w:spacing w:after="100" w:line="276"/>
      </w:pPr>
      <w:r>
        <w:t xml:space="preserve">Escenario 2 — Detalle accionable: se hace clic sobre un estudiante en la parte alta del ranking de riesgo, se muestran los factores que explican su puntaje — incluido el nivel SISBÉN —, y se activa el protocolo de intervención simulado.</w:t>
      </w:r>
    </w:p>
    <w:p>
      <w:pPr>
        <w:pStyle w:val="ListParagraph"/>
        <w:numPr>
          <w:ilvl w:val="0"/>
          <w:numId w:val="1"/>
        </w:numPr>
        <w:spacing w:after="100" w:line="276"/>
      </w:pPr>
      <w:r>
        <w:t xml:space="preserve">Escenario 3 — Censo Juvenil Territorial: se filtra por departamento y municipio y se muestran los jóvenes fuera del sistema educativo y los que están en zona de alerta, con los casos de doble vulnerabilidad resaltados.</w:t>
      </w:r>
    </w:p>
    <w:p>
      <w:pPr>
        <w:pStyle w:val="ListParagraph"/>
        <w:numPr>
          <w:ilvl w:val="0"/>
          <w:numId w:val="1"/>
        </w:numPr>
        <w:spacing w:after="100" w:line="276"/>
      </w:pPr>
      <w:r>
        <w:t xml:space="preserve">Escenario 4 — Verificación técnica: se abre la documentación interactiva de la API (http://localhost:8000/docs) y se ejecuta en vivo una llamada real a /srd/ranking o /censo/resumen, mostrando al jurado que la respuesta proviene del modelo entrenado, no de datos estáticos escritos a mano.</w:t>
      </w:r>
    </w:p>
    <w:p>
      <w:pPr>
        <w:pStyle w:val="Heading2"/>
        <w:spacing w:after="120" w:before="260"/>
      </w:pPr>
      <w:r>
        <w:t xml:space="preserve">6.2 Regla de oro de la demo — control de riesgo técnico</w:t>
      </w:r>
    </w:p>
    <w:p>
      <w:pPr>
        <w:pStyle w:val="ListParagraph"/>
        <w:numPr>
          <w:ilvl w:val="0"/>
          <w:numId w:val="1"/>
        </w:numPr>
        <w:spacing w:after="100" w:line="276"/>
      </w:pPr>
      <w:r>
        <w:t xml:space="preserve">Entorno 100% local: el backend corre en localhost y el dashboard puede abrirse como archivo local; no depende de conexión a internet durante la presentación.</w:t>
      </w:r>
    </w:p>
    <w:p>
      <w:pPr>
        <w:pStyle w:val="ListParagraph"/>
        <w:numPr>
          <w:ilvl w:val="0"/>
          <w:numId w:val="1"/>
        </w:numPr>
        <w:spacing w:after="100" w:line="276"/>
      </w:pPr>
      <w:r>
        <w:t xml:space="preserve">Datos estables: la base de datos de demostración es sintética, generada con semilla fija — nunca se usa una base de datos de producción ni información real de menores.</w:t>
      </w:r>
    </w:p>
    <w:p>
      <w:pPr>
        <w:pStyle w:val="ListParagraph"/>
        <w:numPr>
          <w:ilvl w:val="0"/>
          <w:numId w:val="1"/>
        </w:numPr>
        <w:spacing w:after="100" w:line="276"/>
      </w:pPr>
      <w:r>
        <w:t xml:space="preserve">Plan de contingencia de hardware: se recomienda tener un segundo computador con el entorno ya instalado y probado como respaldo inmediato.</w:t>
      </w:r>
    </w:p>
    <w:p>
      <w:pPr>
        <w:pStyle w:val="ListParagraph"/>
        <w:numPr>
          <w:ilvl w:val="0"/>
          <w:numId w:val="1"/>
        </w:numPr>
        <w:spacing w:after="100" w:line="276"/>
      </w:pPr>
      <w:r>
        <w:t xml:space="preserve">Respaldo sin vivo: el dashboard está diseñado para seguir funcionando con datos de respaldo embebidos si el backend llegara a fallar en el momento de la presentación — no depende de un solo punto de falla.</w:t>
      </w:r>
    </w:p>
    <w:p>
      <w:pPr>
        <w:pStyle w:val="ListParagraph"/>
        <w:numPr>
          <w:ilvl w:val="0"/>
          <w:numId w:val="1"/>
        </w:numPr>
        <w:spacing w:after="100" w:line="276"/>
      </w:pPr>
      <w:r>
        <w:t xml:space="preserve">Grabación de respaldo: se recomienda grabar un video de la demostración completa antes del día de la presentación, como respaldo ante cualquier imprevisto de última hora.</w:t>
      </w:r>
    </w:p>
    <w:p>
      <w:pPr>
        <w:pStyle w:val="Heading2"/>
        <w:spacing w:after="120" w:before="260"/>
      </w:pPr>
      <w:r>
        <w:t xml:space="preserve">6.3 Cómo ejecutar la demo</w:t>
      </w:r>
    </w:p>
    <w:p>
      <w:pPr>
        <w:spacing w:after="160" w:line="276"/>
      </w:pPr>
      <w:r>
        <w:t xml:space="preserve">Instrucciones completas, paso a paso, en el archivo COMO_EJECUTAR_HOY.md del repositorio adjunto. En resumen: crear un entorno virtual (myenv), instalar dependencias con pip, generar el dataset sintético (seed_data.py), entrenar el modelo (ml/train_demo.py), levantar el servidor (uvicorn) y abrir frontend/index.html en el navegador.</w:t>
      </w:r>
    </w:p>
    <w:p>
      <w:pPr>
        <w:pStyle w:val="Heading1"/>
        <w:spacing w:after="160" w:before="360"/>
      </w:pPr>
      <w:r>
        <w:t xml:space="preserve">7. Resultados</w:t>
      </w:r>
    </w:p>
    <w:p>
      <w:pPr>
        <w:pStyle w:val="Heading2"/>
        <w:spacing w:after="120" w:before="260"/>
      </w:pPr>
      <w:r>
        <w:t xml:space="preserve">7.1 Resultados cuantitativos</w:t>
      </w:r>
    </w:p>
    <w:p>
      <w:pPr>
        <w:spacing w:after="160" w:line="276"/>
      </w:pPr>
      <w:r>
        <w:t xml:space="preserve">Métricas del modelo demo (LightGBM), calculadas sobre el conjunto de prueba del dataset sintético descrito en la sección 3. Estas métricas son reales — se recalculan cada vez que se ejecuta ml/train_demo.py y provienen directamente de backend/ml/metrics_demo.json; no representan el desempeño del modelo de producción, que se entrena y calibra con datos reales por institución y con el conjunto completo de ~30 variables.</w:t>
      </w:r>
    </w:p>
    <w:p>
      <w:pPr>
        <w:spacing w:after="160" w:line="276"/>
      </w:pPr>
      <w:r>
        <w:t xml:space="preserve">La métrica que reportamos como principal es el recall, no la precisión — y esto es una decisión de diseño, no un intento de mostrar el número más favorable. En un sistema de alerta temprana, el costo de no detectar a un estudiante que sí está en riesgo real (falso negativo) es mucho más alto que el costo de que un coordinador revise a un estudiante que finalmente no lo estaba (falso positivo): el primero significa una deserción que se pudo evitar y no se detectó a tiempo; el segundo significa cinco minutos de una conversación de seguimiento de más. Por eso el umbral de operación se calibra automáticamente maximizando F1 sobre el holdout, lo que en un problema con solo 14% de casos positivos empuja naturalmente hacia un punto de alto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2761" w:val="clear"/>
            <w:tcMar>
              <w:top w:type="dxa" w:w="80"/>
              <w:left w:type="dxa" w:w="100"/>
              <w:bottom w:type="dxa" w:w="80"/>
              <w:right w:type="dxa" w:w="100"/>
            </w:tcMar>
          </w:tcPr>
          <w:p>
            <w:pPr>
              <w:jc w:val="left"/>
            </w:pPr>
            <w:r>
              <w:rPr>
                <w:b/>
                <w:bCs/>
                <w:color w:val="FFFFFF"/>
                <w:sz w:val="20"/>
                <w:szCs w:val="20"/>
              </w:rPr>
              <w:t xml:space="preserve">Métrica</w:t>
            </w:r>
          </w:p>
        </w:tc>
        <w:tc>
          <w:tcPr>
            <w:tcW w:type="dxa" w:w="4680"/>
            <w:shd w:fill="1E2761" w:val="clear"/>
            <w:tcMar>
              <w:top w:type="dxa" w:w="80"/>
              <w:left w:type="dxa" w:w="100"/>
              <w:bottom w:type="dxa" w:w="80"/>
              <w:right w:type="dxa" w:w="100"/>
            </w:tcMar>
          </w:tcPr>
          <w:p>
            <w:pPr>
              <w:jc w:val="left"/>
            </w:pPr>
            <w:r>
              <w:rPr>
                <w:b/>
                <w:bCs/>
                <w:color w:val="FFFFFF"/>
                <w:sz w:val="20"/>
                <w:szCs w:val="20"/>
              </w:rPr>
              <w:t xml:space="preserve">Resultado obtenido</w:t>
            </w:r>
          </w:p>
        </w:tc>
      </w:tr>
      <w:tr>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AUC-ROC</w:t>
            </w:r>
          </w:p>
        </w:tc>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0,70</w:t>
            </w:r>
          </w:p>
        </w:tc>
      </w:tr>
      <w:tr>
        <w:tc>
          <w:tcPr>
            <w:tcW w:type="dxa" w:w="4680"/>
            <w:tcMar>
              <w:top w:type="dxa" w:w="80"/>
              <w:left w:type="dxa" w:w="100"/>
              <w:bottom w:type="dxa" w:w="80"/>
              <w:right w:type="dxa" w:w="100"/>
            </w:tcMar>
          </w:tcPr>
          <w:p>
            <w:pPr>
              <w:jc w:val="left"/>
            </w:pPr>
            <w:r>
              <w:rPr>
                <w:b w:val="false"/>
                <w:bCs w:val="false"/>
                <w:color w:val="000000"/>
                <w:sz w:val="20"/>
                <w:szCs w:val="20"/>
              </w:rPr>
              <w:t xml:space="preserve">Recall / Sensibilidad (umbral de operación 0,14)</w:t>
            </w:r>
          </w:p>
        </w:tc>
        <w:tc>
          <w:tcPr>
            <w:tcW w:type="dxa" w:w="4680"/>
            <w:tcMar>
              <w:top w:type="dxa" w:w="80"/>
              <w:left w:type="dxa" w:w="100"/>
              <w:bottom w:type="dxa" w:w="80"/>
              <w:right w:type="dxa" w:w="100"/>
            </w:tcMar>
          </w:tcPr>
          <w:p>
            <w:pPr>
              <w:jc w:val="left"/>
            </w:pPr>
            <w:r>
              <w:rPr>
                <w:b w:val="false"/>
                <w:bCs w:val="false"/>
                <w:color w:val="000000"/>
                <w:sz w:val="20"/>
                <w:szCs w:val="20"/>
              </w:rPr>
              <w:t xml:space="preserve">79,2%</w:t>
            </w:r>
          </w:p>
        </w:tc>
      </w:tr>
      <w:tr>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Accuracy</w:t>
            </w:r>
          </w:p>
        </w:tc>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66,9%</w:t>
            </w:r>
          </w:p>
        </w:tc>
      </w:tr>
      <w:tr>
        <w:tc>
          <w:tcPr>
            <w:tcW w:type="dxa" w:w="4680"/>
            <w:tcMar>
              <w:top w:type="dxa" w:w="80"/>
              <w:left w:type="dxa" w:w="100"/>
              <w:bottom w:type="dxa" w:w="80"/>
              <w:right w:type="dxa" w:w="100"/>
            </w:tcMar>
          </w:tcPr>
          <w:p>
            <w:pPr>
              <w:jc w:val="left"/>
            </w:pPr>
            <w:r>
              <w:rPr>
                <w:b w:val="false"/>
                <w:bCs w:val="false"/>
                <w:color w:val="000000"/>
                <w:sz w:val="20"/>
                <w:szCs w:val="20"/>
              </w:rPr>
              <w:t xml:space="preserve">Precisión (umbral de operación 0,14)</w:t>
            </w:r>
          </w:p>
        </w:tc>
        <w:tc>
          <w:tcPr>
            <w:tcW w:type="dxa" w:w="4680"/>
            <w:tcMar>
              <w:top w:type="dxa" w:w="80"/>
              <w:left w:type="dxa" w:w="100"/>
              <w:bottom w:type="dxa" w:w="80"/>
              <w:right w:type="dxa" w:w="100"/>
            </w:tcMar>
          </w:tcPr>
          <w:p>
            <w:pPr>
              <w:jc w:val="left"/>
            </w:pPr>
            <w:r>
              <w:rPr>
                <w:b w:val="false"/>
                <w:bCs w:val="false"/>
                <w:color w:val="000000"/>
                <w:sz w:val="20"/>
                <w:szCs w:val="20"/>
              </w:rPr>
              <w:t xml:space="preserve">27,1%</w:t>
            </w:r>
          </w:p>
        </w:tc>
      </w:tr>
      <w:tr>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Estudiantes de entrenamiento</w:t>
            </w:r>
          </w:p>
        </w:tc>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507</w:t>
            </w:r>
          </w:p>
        </w:tc>
      </w:tr>
      <w:tr>
        <w:tc>
          <w:tcPr>
            <w:tcW w:type="dxa" w:w="4680"/>
            <w:tcMar>
              <w:top w:type="dxa" w:w="80"/>
              <w:left w:type="dxa" w:w="100"/>
              <w:bottom w:type="dxa" w:w="80"/>
              <w:right w:type="dxa" w:w="100"/>
            </w:tcMar>
          </w:tcPr>
          <w:p>
            <w:pPr>
              <w:jc w:val="left"/>
            </w:pPr>
            <w:r>
              <w:rPr>
                <w:b w:val="false"/>
                <w:bCs w:val="false"/>
                <w:color w:val="000000"/>
                <w:sz w:val="20"/>
                <w:szCs w:val="20"/>
              </w:rPr>
              <w:t xml:space="preserve">Estudiantes de prueba (holdout)</w:t>
            </w:r>
          </w:p>
        </w:tc>
        <w:tc>
          <w:tcPr>
            <w:tcW w:type="dxa" w:w="4680"/>
            <w:tcMar>
              <w:top w:type="dxa" w:w="80"/>
              <w:left w:type="dxa" w:w="100"/>
              <w:bottom w:type="dxa" w:w="80"/>
              <w:right w:type="dxa" w:w="100"/>
            </w:tcMar>
          </w:tcPr>
          <w:p>
            <w:pPr>
              <w:jc w:val="left"/>
            </w:pPr>
            <w:r>
              <w:rPr>
                <w:b w:val="false"/>
                <w:bCs w:val="false"/>
                <w:color w:val="000000"/>
                <w:sz w:val="20"/>
                <w:szCs w:val="20"/>
              </w:rPr>
              <w:t xml:space="preserve">169</w:t>
            </w:r>
          </w:p>
        </w:tc>
      </w:tr>
      <w:tr>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Variables con mayor importancia (gain)</w:t>
            </w:r>
          </w:p>
        </w:tc>
        <w:tc>
          <w:tcPr>
            <w:tcW w:type="dxa" w:w="4680"/>
            <w:shd w:fill="E8ECFB" w:val="clear"/>
            <w:tcMar>
              <w:top w:type="dxa" w:w="80"/>
              <w:left w:type="dxa" w:w="100"/>
              <w:bottom w:type="dxa" w:w="80"/>
              <w:right w:type="dxa" w:w="100"/>
            </w:tcMar>
          </w:tcPr>
          <w:p>
            <w:pPr>
              <w:jc w:val="left"/>
            </w:pPr>
            <w:r>
              <w:rPr>
                <w:b w:val="false"/>
                <w:bCs w:val="false"/>
                <w:color w:val="000000"/>
                <w:sz w:val="20"/>
                <w:szCs w:val="20"/>
              </w:rPr>
              <w:t xml:space="preserve">Asistencia de las últimas 4 semanas, caída de asistencia (variable de interacción), promedio académico actual, tendencia de notas</w:t>
            </w:r>
          </w:p>
        </w:tc>
      </w:tr>
    </w:tbl>
    <w:p>
      <w:pPr>
        <w:spacing w:after="240" w:before="60"/>
      </w:pPr>
      <w:r>
        <w:rPr>
          <w:i/>
          <w:iCs/>
          <w:color w:val="555555"/>
          <w:sz w:val="18"/>
          <w:szCs w:val="18"/>
        </w:rPr>
        <w:t xml:space="preserve">Tabla 6. Resultados reproducibles ejecutando `python ml/train_demo.py` — ver backend/ml/metrics_demo.json en el repositorio. Con el umbral de operación (0,14), el modelo identifica correctamente a 8 de cada 10 estudiantes que sí están en riesgo real (recall 79,2%), señalando para revisión al 41% de los estudiantes del curso — casi el doble de frecuencia que una selección al azar frente a la tasa base de casos reales (14,2%). La precisión de 27,1% es el costo honesto de ese recall alto, y es consistente con lo esperado en un problema con clases desbalanceadas (86%/14%) sobre un dataset sintético de 7 variables base.</w:t>
      </w:r>
    </w:p>
    <w:p>
      <w:pPr>
        <w:pStyle w:val="Heading2"/>
        <w:spacing w:after="120" w:before="260"/>
      </w:pPr>
      <w:r>
        <w:t xml:space="preserve">7.2 Productos entregables (evidencia física)</w:t>
      </w:r>
    </w:p>
    <w:p>
      <w:pPr>
        <w:pStyle w:val="ListParagraph"/>
        <w:numPr>
          <w:ilvl w:val="0"/>
          <w:numId w:val="1"/>
        </w:numPr>
        <w:spacing w:after="100" w:line="276"/>
      </w:pPr>
      <w:r>
        <w:t xml:space="preserve">Repositorio de código (backend FastAPI + frontend + modelo entrenado + pruebas automatizadas).</w:t>
      </w:r>
    </w:p>
    <w:p>
      <w:pPr>
        <w:pStyle w:val="ListParagraph"/>
        <w:numPr>
          <w:ilvl w:val="0"/>
          <w:numId w:val="1"/>
        </w:numPr>
        <w:spacing w:after="100" w:line="276"/>
      </w:pPr>
      <w:r>
        <w:t xml:space="preserve">API REST documentada, con especificación OpenAPI navegable (Swagger UI).</w:t>
      </w:r>
    </w:p>
    <w:p>
      <w:pPr>
        <w:pStyle w:val="ListParagraph"/>
        <w:numPr>
          <w:ilvl w:val="0"/>
          <w:numId w:val="1"/>
        </w:numPr>
        <w:spacing w:after="100" w:line="276"/>
      </w:pPr>
      <w:r>
        <w:t xml:space="preserve">Dashboard institucional funcional, conectado en vivo a la API, incluido el módulo de Censo Juvenil Territorial.</w:t>
      </w:r>
    </w:p>
    <w:p>
      <w:pPr>
        <w:pStyle w:val="ListParagraph"/>
        <w:numPr>
          <w:ilvl w:val="0"/>
          <w:numId w:val="1"/>
        </w:numPr>
        <w:spacing w:after="100" w:line="276"/>
      </w:pPr>
      <w:r>
        <w:t xml:space="preserve">Este documento técnico y la presentación ejecutiva para el jurado.</w:t>
      </w:r>
    </w:p>
    <w:p>
      <w:pPr>
        <w:pStyle w:val="ListParagraph"/>
        <w:numPr>
          <w:ilvl w:val="0"/>
          <w:numId w:val="1"/>
        </w:numPr>
        <w:spacing w:after="100" w:line="276"/>
      </w:pPr>
      <w:r>
        <w:t xml:space="preserve">Certificación oficial de inscripción al concurso, expedida por el MinTIC el 10 de junio de 2026.</w:t>
      </w:r>
    </w:p>
    <w:p>
      <w:pPr>
        <w:pStyle w:val="Heading2"/>
        <w:spacing w:after="120" w:before="260"/>
      </w:pPr>
      <w:r>
        <w:t xml:space="preserve">7.3 Transparencia y reproducibilidad</w:t>
      </w:r>
    </w:p>
    <w:p>
      <w:pPr>
        <w:spacing w:after="160" w:line="276"/>
      </w:pPr>
      <w:r>
        <w:t xml:space="preserve">Todo el pipeline de datos y de modelo es reproducible con comandos documentados y una semilla aleatoria fija. El repositorio incluye pruebas automatizadas (pytest) que validan los endpoints principales de la API, y un flujo de integración continua (GitHub Actions) que reentrena y prueba el sistema en cada cambio. La licencia del repositorio (LICENSE, ver también sección 8 de este documento) autoriza expresamente al jurado y a los evaluadores del MinTIC la clonación local y ejecución del código con fines de evaluación — y no concede ningún otro derecho de uso, copia o distribución.</w:t>
      </w:r>
    </w:p>
    <w:p>
      <w:pPr>
        <w:pStyle w:val="Heading2"/>
        <w:spacing w:after="120" w:before="260"/>
      </w:pPr>
      <w:r>
        <w:t xml:space="preserve">7.4 Límites de la solución</w:t>
      </w:r>
    </w:p>
    <w:p>
      <w:pPr>
        <w:pStyle w:val="ListParagraph"/>
        <w:numPr>
          <w:ilvl w:val="0"/>
          <w:numId w:val="1"/>
        </w:numPr>
        <w:spacing w:after="100" w:line="276"/>
      </w:pPr>
      <w:r>
        <w:t xml:space="preserve">Calidad y origen de los datos: el prototipo corre hoy sobre datos sintéticos; la integración con datos reales (SIMAT, SISBEN IV, SAT) requiere convenio institucional formal, como señala la propia certificación del MinTIC.</w:t>
      </w:r>
    </w:p>
    <w:p>
      <w:pPr>
        <w:pStyle w:val="ListParagraph"/>
        <w:numPr>
          <w:ilvl w:val="0"/>
          <w:numId w:val="1"/>
        </w:numPr>
        <w:spacing w:after="100" w:line="276"/>
      </w:pPr>
      <w:r>
        <w:t xml:space="preserve">Actualización: en producción el modelo se re-entrena semanalmente; esta versión de evaluación no incluye ese proceso incremental automatizado.</w:t>
      </w:r>
    </w:p>
    <w:p>
      <w:pPr>
        <w:pStyle w:val="ListParagraph"/>
        <w:numPr>
          <w:ilvl w:val="0"/>
          <w:numId w:val="1"/>
        </w:numPr>
        <w:spacing w:after="100" w:line="276"/>
      </w:pPr>
      <w:r>
        <w:t xml:space="preserve">Conectividad: los módulos de alerta por WhatsApp y el agente conversacional requieren conexión a internet en producción; el módulo de aula virtual está diseñado offline-first para mitigar este límite en zonas rurales de baja conectividad.</w:t>
      </w:r>
    </w:p>
    <w:p>
      <w:pPr>
        <w:pStyle w:val="ListParagraph"/>
        <w:numPr>
          <w:ilvl w:val="0"/>
          <w:numId w:val="1"/>
        </w:numPr>
        <w:spacing w:after="100" w:line="276"/>
      </w:pPr>
      <w:r>
        <w:t xml:space="preserve">Adopción institucional: el impacto real depende de un piloto formal con al menos una Secretaría de Educación; este documento presenta un prototipo evaluable, no un despliegue institucional en curso.</w:t>
      </w:r>
    </w:p>
    <w:p>
      <w:pPr>
        <w:pStyle w:val="ListParagraph"/>
        <w:numPr>
          <w:ilvl w:val="0"/>
          <w:numId w:val="1"/>
        </w:numPr>
        <w:spacing w:after="100" w:line="276"/>
      </w:pPr>
      <w:r>
        <w:t xml:space="preserve">Tecnologías emergentes: el uso de Transformers (agente conversacional) y LSTM (pronóstico de series de tiempo) está en la hoja de ruta técnica del producto; el prototipo evaluado hoy implementa el motor de riesgo con LightGBM, el componente de mayor rigor y madurez para datos tabulares de este tamaño y naturaleza.</w:t>
      </w:r>
    </w:p>
    <w:p>
      <w:pPr>
        <w:pStyle w:val="Heading2"/>
        <w:spacing w:after="120" w:before="260"/>
      </w:pPr>
      <w:r>
        <w:t xml:space="preserve">7.5 Impacto esperado — social, económico y ambiental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E2761" w:val="clear"/>
            <w:tcMar>
              <w:top w:type="dxa" w:w="80"/>
              <w:left w:type="dxa" w:w="100"/>
              <w:bottom w:type="dxa" w:w="80"/>
              <w:right w:type="dxa" w:w="100"/>
            </w:tcMar>
          </w:tcPr>
          <w:p>
            <w:pPr>
              <w:jc w:val="left"/>
            </w:pPr>
            <w:r>
              <w:rPr>
                <w:b/>
                <w:bCs/>
                <w:color w:val="FFFFFF"/>
                <w:sz w:val="20"/>
                <w:szCs w:val="20"/>
              </w:rPr>
              <w:t xml:space="preserve">Dimensión</w:t>
            </w:r>
          </w:p>
        </w:tc>
        <w:tc>
          <w:tcPr>
            <w:tcW w:type="dxa" w:w="7560"/>
            <w:shd w:fill="1E2761" w:val="clear"/>
            <w:tcMar>
              <w:top w:type="dxa" w:w="80"/>
              <w:left w:type="dxa" w:w="100"/>
              <w:bottom w:type="dxa" w:w="80"/>
              <w:right w:type="dxa" w:w="100"/>
            </w:tcMar>
          </w:tcPr>
          <w:p>
            <w:pPr>
              <w:jc w:val="left"/>
            </w:pPr>
            <w:r>
              <w:rPr>
                <w:b/>
                <w:bCs/>
                <w:color w:val="FFFFFF"/>
                <w:sz w:val="20"/>
                <w:szCs w:val="20"/>
              </w:rPr>
              <w:t xml:space="preserve">Impacto esperado</w:t>
            </w:r>
          </w:p>
        </w:tc>
      </w:tr>
      <w:tr>
        <w:tc>
          <w:tcPr>
            <w:tcW w:type="dxa" w:w="1800"/>
            <w:shd w:fill="E8ECFB" w:val="clear"/>
            <w:tcMar>
              <w:top w:type="dxa" w:w="80"/>
              <w:left w:type="dxa" w:w="100"/>
              <w:bottom w:type="dxa" w:w="80"/>
              <w:right w:type="dxa" w:w="100"/>
            </w:tcMar>
          </w:tcPr>
          <w:p>
            <w:pPr>
              <w:jc w:val="left"/>
            </w:pPr>
            <w:r>
              <w:rPr>
                <w:b w:val="false"/>
                <w:bCs w:val="false"/>
                <w:color w:val="000000"/>
                <w:sz w:val="20"/>
                <w:szCs w:val="20"/>
              </w:rPr>
              <w:t xml:space="preserve">Social</w:t>
            </w:r>
          </w:p>
        </w:tc>
        <w:tc>
          <w:tcPr>
            <w:tcW w:type="dxa" w:w="7560"/>
            <w:shd w:fill="E8ECFB" w:val="clear"/>
            <w:tcMar>
              <w:top w:type="dxa" w:w="80"/>
              <w:left w:type="dxa" w:w="100"/>
              <w:bottom w:type="dxa" w:w="80"/>
              <w:right w:type="dxa" w:w="100"/>
            </w:tcMar>
          </w:tcPr>
          <w:p>
            <w:pPr>
              <w:jc w:val="left"/>
            </w:pPr>
            <w:r>
              <w:rPr>
                <w:b w:val="false"/>
                <w:bCs w:val="false"/>
                <w:color w:val="000000"/>
                <w:sz w:val="20"/>
                <w:szCs w:val="20"/>
              </w:rPr>
              <w:t xml:space="preserve">Continuidad educativa para estudiantes en riesgo por causas temporales; visibilidad territorial de jóvenes fuera del sistema educativo o en zona de alerta de protección; reducción de la brecha de seguimiento entre zonas urbanas y rurales dispersas; manejo de datos de menores conforme a la Ley 1581 de 2012.</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Económico</w:t>
            </w:r>
          </w:p>
        </w:tc>
        <w:tc>
          <w:tcPr>
            <w:tcW w:type="dxa" w:w="7560"/>
            <w:tcMar>
              <w:top w:type="dxa" w:w="80"/>
              <w:left w:type="dxa" w:w="100"/>
              <w:bottom w:type="dxa" w:w="80"/>
              <w:right w:type="dxa" w:w="100"/>
            </w:tcMar>
          </w:tcPr>
          <w:p>
            <w:pPr>
              <w:jc w:val="left"/>
            </w:pPr>
            <w:r>
              <w:rPr>
                <w:b w:val="false"/>
                <w:bCs w:val="false"/>
                <w:color w:val="000000"/>
                <w:sz w:val="20"/>
                <w:szCs w:val="20"/>
              </w:rPr>
              <w:t xml:space="preserve">Costo total de propiedad significativamente menor que contratar módulos por separado (sección 4.3); retención de matrícula asociada a mayor estabilidad de los recursos de Sistema General de Participaciones (Ley 715 de 2001) para la institución.</w:t>
            </w:r>
          </w:p>
        </w:tc>
      </w:tr>
      <w:tr>
        <w:tc>
          <w:tcPr>
            <w:tcW w:type="dxa" w:w="1800"/>
            <w:shd w:fill="E8ECFB" w:val="clear"/>
            <w:tcMar>
              <w:top w:type="dxa" w:w="80"/>
              <w:left w:type="dxa" w:w="100"/>
              <w:bottom w:type="dxa" w:w="80"/>
              <w:right w:type="dxa" w:w="100"/>
            </w:tcMar>
          </w:tcPr>
          <w:p>
            <w:pPr>
              <w:jc w:val="left"/>
            </w:pPr>
            <w:r>
              <w:rPr>
                <w:b w:val="false"/>
                <w:bCs w:val="false"/>
                <w:color w:val="000000"/>
                <w:sz w:val="20"/>
                <w:szCs w:val="20"/>
              </w:rPr>
              <w:t xml:space="preserve">Ambiental</w:t>
            </w:r>
          </w:p>
        </w:tc>
        <w:tc>
          <w:tcPr>
            <w:tcW w:type="dxa" w:w="7560"/>
            <w:shd w:fill="E8ECFB" w:val="clear"/>
            <w:tcMar>
              <w:top w:type="dxa" w:w="80"/>
              <w:left w:type="dxa" w:w="100"/>
              <w:bottom w:type="dxa" w:w="80"/>
              <w:right w:type="dxa" w:w="100"/>
            </w:tcMar>
          </w:tcPr>
          <w:p>
            <w:pPr>
              <w:jc w:val="left"/>
            </w:pPr>
            <w:r>
              <w:rPr>
                <w:b w:val="false"/>
                <w:bCs w:val="false"/>
                <w:color w:val="000000"/>
                <w:sz w:val="20"/>
                <w:szCs w:val="20"/>
              </w:rPr>
              <w:t xml:space="preserve">Reducción del uso de papel en el registro de asistencia y boletines; menor necesidad de desplazamientos físicos para trámites administrativos entre colegios y la Secretaría, relevante en zonas rurales dispersas del sur de Bolívar.</w:t>
            </w:r>
          </w:p>
        </w:tc>
      </w:tr>
    </w:tbl>
    <w:p>
      <w:pPr>
        <w:spacing w:after="240" w:before="60"/>
      </w:pPr>
      <w:r>
        <w:rPr>
          <w:i/>
          <w:iCs/>
          <w:color w:val="555555"/>
          <w:sz w:val="18"/>
          <w:szCs w:val="18"/>
        </w:rPr>
        <w:t xml:space="preserve">Tabla 7. El impacto social y económico se sustenta en cifras y normativa verificable citada en este documento; el impacto ambiental es una consecuencia esperada y razonable del cambio de proceso, no una métrica medida directamente en este prototipo.</w:t>
      </w:r>
    </w:p>
    <w:p>
      <w:pPr>
        <w:pStyle w:val="Heading1"/>
        <w:spacing w:after="160" w:before="360"/>
      </w:pPr>
      <w:r>
        <w:t xml:space="preserve">8. Propiedad intelectual y licencia de uso</w:t>
      </w:r>
    </w:p>
    <w:p>
      <w:pPr>
        <w:spacing w:after="160" w:line="276"/>
      </w:pPr>
      <w:r>
        <w:t xml:space="preserve">Esta sección deja constancia formal, para el jurado y para cualquier tercero que acceda al repositorio de evaluación, de la titularidad y las condiciones de uso del proyecto GyverLabs.</w:t>
      </w:r>
    </w:p>
    <w:p>
      <w:pPr>
        <w:pStyle w:val="Heading2"/>
        <w:spacing w:after="120" w:before="260"/>
      </w:pPr>
      <w:r>
        <w:t xml:space="preserve">8.1 Titularidad</w:t>
      </w:r>
    </w:p>
    <w:p>
      <w:pPr>
        <w:spacing w:after="160" w:line="276"/>
      </w:pPr>
      <w:r>
        <w:t xml:space="preserve">Juan David Quesada Barrera, identificado con cédula de ciudadanía No. 1.095.822.385, es el único propietario intelectual del sistema GyverLabs en su totalidad: código fuente, arquitectura, modelos de inteligencia artificial, esquemas de base de datos, documentación, diagramas, nombre y marca. El sistema completo — incluyendo los módulos de cálculo del Score de Riesgo de Deserción, las reglas de negocio de scoring, el Censo Juvenil Territorial, los pipelines de entrenamiento de modelos y las integraciones con fuentes de datos institucionales — existe en su versión completa en un repositorio privado del autor, con evidencia de autoría y fecha anterior a la publicación del repositorio de evaluación entregado al concurso.</w:t>
      </w:r>
    </w:p>
    <w:p>
      <w:pPr>
        <w:spacing w:after="160" w:line="276"/>
      </w:pPr>
      <w:r>
        <w:t xml:space="preserve">Katy Álvarez participa como co-equipera del proyecto en el diseño pedagógico, la validación de necesidades institucionales y la estrategia comercial, sin que ello constituya cesión ni cotitularidad de los derechos patrimoniales de autor sobre el software, que permanecen en cabeza exclusiva de Juan David Quesada Barrera.</w:t>
      </w:r>
    </w:p>
    <w:p>
      <w:pPr>
        <w:pStyle w:val="Heading2"/>
        <w:spacing w:after="120" w:before="260"/>
      </w:pPr>
      <w:r>
        <w:t xml:space="preserve">8.2 Repositorio de evaluación — qué se protege</w:t>
      </w:r>
    </w:p>
    <w:p>
      <w:pPr>
        <w:spacing w:after="160" w:line="276"/>
      </w:pPr>
      <w:r>
        <w:t xml:space="preserve">El repositorio entregado al jurado (gyverlabs-showcase.zip) es un repositorio de evaluación, no el código de producción completo. Se publica bajo la LICENCIA DE EVALUACIÓN GYVERLABS v1.0, incluida como archivo LICENSE en la raíz del repositorio, la cual establece expresamente que:</w:t>
      </w:r>
    </w:p>
    <w:p>
      <w:pPr>
        <w:pStyle w:val="ListParagraph"/>
        <w:numPr>
          <w:ilvl w:val="0"/>
          <w:numId w:val="1"/>
        </w:numPr>
        <w:spacing w:after="100" w:line="276"/>
      </w:pPr>
      <w:r>
        <w:t xml:space="preserve">La visibilidad del repositorio NO constituye una licencia de código abierto ni una cesión de derechos de autor.</w:t>
      </w:r>
    </w:p>
    <w:p>
      <w:pPr>
        <w:pStyle w:val="ListParagraph"/>
        <w:numPr>
          <w:ilvl w:val="0"/>
          <w:numId w:val="1"/>
        </w:numPr>
        <w:spacing w:after="100" w:line="276"/>
      </w:pPr>
      <w:r>
        <w:t xml:space="preserve">Queda prohibido copiar, reproducir, redistribuir, modificar, crear obras derivadas, o usar el material con fines comerciales o institucionales, dentro o fuera de Colombia, sin autorización previa y por escrito del autor.</w:t>
      </w:r>
    </w:p>
    <w:p>
      <w:pPr>
        <w:pStyle w:val="ListParagraph"/>
        <w:numPr>
          <w:ilvl w:val="0"/>
          <w:numId w:val="1"/>
        </w:numPr>
        <w:spacing w:after="100" w:line="276"/>
      </w:pPr>
      <w:r>
        <w:t xml:space="preserve">Se autoriza expresamente al jurado, evaluadores técnicos y funcionarios designados por el Ministerio TIC en el marco de este concurso, la lectura, clonación local y ejecución del repositorio con el único fin de evaluar la propuesta.</w:t>
      </w:r>
    </w:p>
    <w:p>
      <w:pPr>
        <w:pStyle w:val="ListParagraph"/>
        <w:numPr>
          <w:ilvl w:val="0"/>
          <w:numId w:val="1"/>
        </w:numPr>
        <w:spacing w:after="100" w:line="276"/>
      </w:pPr>
      <w:r>
        <w:t xml:space="preserve">Los componentes de mayor valor diferencial — el conjunto completo de variables de producción, la calibración de umbral por institución, la explicabilidad del modelo y la lógica exacta de cruce con fuentes de datos abiertas — se mantienen como stubs documentados fuera de este repositorio, según se indica en los comentarios `# IMPLEMENTACIÓN PROTEGIDA` del código.</w:t>
      </w:r>
    </w:p>
    <w:p>
      <w:pPr>
        <w:pStyle w:val="Heading2"/>
        <w:spacing w:after="120" w:before="260"/>
      </w:pPr>
      <w:r>
        <w:t xml:space="preserve">8.3 Uso, réplica o implementación por terceros</w:t>
      </w:r>
    </w:p>
    <w:p>
      <w:pPr>
        <w:spacing w:after="160" w:line="276"/>
      </w:pPr>
      <w:r>
        <w:t xml:space="preserve">Cualquier réplica, adaptación, implementación institucional o uso comercial del sistema GyverLabs — total o parcial, incluyendo el modelo de Score de Riesgo de Deserción, el Censo Juvenil Territorial, la arquitectura multi-tenant o cualquier otro componente aquí documentado — requiere autorización escrita previa de Juan David Quesada Barrera y está sujeta a las condiciones comerciales y contractuales que el autor defina, incluyendo el pago de licenciamiento correspondiente. Esta condición aplica igualmente a cualquier entidad pública o privada, incluidas las instituciones educativas, Secretarías de Educación o el propio Ministerio TIC, para cualquier uso más allá de la evaluación del presente concurso.</w:t>
      </w:r>
    </w:p>
    <w:p>
      <w:pPr>
        <w:spacing w:after="160" w:line="276"/>
      </w:pPr>
      <w:r>
        <w:t xml:space="preserve">Esta licencia se rige por las leyes de la República de Colombia, incluida la Ley 23 de 1982 sobre derechos de autor y la Decisión Andina 351 de 1993. Para solicitar autorización de uso ampliado, licenciamiento o implementación institucional, contactar directamente al autor: Juan David Quesada Barrera — CEO GyverLabs — San Pablo, Sur de Bolívar, Colombia.</w:t>
      </w:r>
    </w:p>
    <w:p>
      <w:pPr>
        <w:spacing w:before="400"/>
        <w:jc w:val="center"/>
      </w:pPr>
      <w:r>
        <w:rPr>
          <w:i/>
          <w:iCs/>
          <w:color w:val="555555"/>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Calibri" w:cs="Calibri" w:eastAsia="Calibri" w:hAnsi="Calibri"/>
      <w:b/>
      <w:bCs/>
      <w:color w:val="1E2761"/>
      <w:sz w:val="28"/>
      <w:szCs w:val="28"/>
    </w:rPr>
  </w:style>
  <w:style w:type="paragraph" w:styleId="Heading2">
    <w:name w:val="Heading 2"/>
    <w:basedOn w:val="Normal"/>
    <w:next w:val="Normal"/>
    <w:pPr>
      <w:spacing w:after="120" w:before="260"/>
    </w:pPr>
    <w:rPr>
      <w:rFonts w:ascii="Calibri" w:cs="Calibri" w:eastAsia="Calibri" w:hAnsi="Calibri"/>
      <w:b/>
      <w:bCs/>
      <w:color w:val="1E2761"/>
      <w:sz w:val="24"/>
      <w:szCs w:val="24"/>
    </w:rPr>
  </w:style>
  <w:style w:type="paragraph" w:styleId="Heading3">
    <w:name w:val="Heading 3"/>
    <w:basedOn w:val="Normal"/>
    <w:next w:val="Normal"/>
    <w:pPr>
      <w:spacing w:after="100" w:before="200"/>
    </w:pPr>
    <w:rPr>
      <w:rFonts w:ascii="Calibri" w:cs="Calibri" w:eastAsia="Calibri" w:hAnsi="Calibri"/>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2026-07-31T03:54:30.212Z</dcterms:created>
  <dcterms:modified xsi:type="dcterms:W3CDTF">2026-07-31T03:54:30.223Z</dcterms:modified>
</cp:coreProperties>
</file>

<file path=docProps/custom.xml><?xml version="1.0" encoding="utf-8"?>
<Properties xmlns="http://schemas.openxmlformats.org/officeDocument/2006/custom-properties" xmlns:vt="http://schemas.openxmlformats.org/officeDocument/2006/docPropsVTypes"/>
</file>