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atividade consiste em resolver os exercícios abaixo utilizando o paradigma funcional, na linguagem Haskell. Lembre-se: sempre que for necessário, crie funções auxiliares para resolver a tarefa.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Descubra o que faz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Declare uma função que retorne </w:t>
      </w: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últimos</w:t>
      </w:r>
      <w:r w:rsidDel="00000000" w:rsidR="00000000" w:rsidRPr="00000000">
        <w:rPr>
          <w:rtl w:val="0"/>
        </w:rPr>
        <w:t xml:space="preserve"> elementos de uma lista.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uma função que retorne a interseção entre duas listas sem os elementos repetidos.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uma função que receba um inteiro e converta para binário. Utilize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para representar o binário.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uma função que receba como argumento uma lista de duplas e retorne uma lista contendo as duplas cujo primeiro elemento é um número par.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 declare um comando que receba uma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elimine os caracteres que representam dígitos.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Declare uma função que receba uma lista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concatene cada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com o próprio tamanho. Ex: entrada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[“Joao”, “Maria”, “oi”]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saída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Joao4”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“Maria5”, “oi2”]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) Resolver utilizando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zipWith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zipWith</w:t>
      </w:r>
      <w:r w:rsidDel="00000000" w:rsidR="00000000" w:rsidRPr="00000000">
        <w:rPr>
          <w:rtl w:val="0"/>
        </w:rPr>
        <w:t xml:space="preserve">, declare uma função que retorne uma lista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dobrada. Ex: entrada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[“Joao”, “Maria”, “oi”]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saída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[“JoaoJoao”, “MariaMaria”, “oioi”]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) Declare uma função que liste infinitamente os números primos. Interrompa a execução (CTRL+C) quando encontrar o primeiro número primo com seis dígitos (100003).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Pesquise e crie um exemplo que </w:t>
      </w: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</w:t>
      </w:r>
      <w:r w:rsidDel="00000000" w:rsidR="00000000" w:rsidRPr="00000000">
        <w:rPr>
          <w:rtl w:val="0"/>
        </w:rPr>
        <w:t xml:space="preserve"> substituindo</w:t>
      </w:r>
      <w:r w:rsidDel="00000000" w:rsidR="00000000" w:rsidRPr="00000000">
        <w:rPr>
          <w:rtl w:val="0"/>
        </w:rPr>
        <w:t xml:space="preserve"> o uso de parênteses.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Revise suas respostas! Faça este exercício por último.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PESO DA AVALIAÇÃO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Notas de aula.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Plágio = </w:t>
      </w:r>
      <w:r w:rsidDel="00000000" w:rsidR="00000000" w:rsidRPr="00000000">
        <w:rPr>
          <w:b w:val="1"/>
          <w:color w:val="ff0000"/>
          <w:rtl w:val="0"/>
        </w:rPr>
        <w:t xml:space="preserve">ZERO</w:t>
      </w:r>
      <w:r w:rsidDel="00000000" w:rsidR="00000000" w:rsidRPr="00000000">
        <w:rPr>
          <w:b w:val="1"/>
          <w:rtl w:val="0"/>
        </w:rPr>
        <w:t xml:space="preserve"> (inclui cópia ou simples alteração de trabalho de colegas)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Instituto Federal Catarinense – IFC. Campus Blumenau</w:t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Rua Bernardino José de Oliveira - nº 81 - CEP 89070-270 - Blumenau - SC - Fone (47) 3702-1700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</w:rPr>
    </w:pPr>
    <w:r w:rsidDel="00000000" w:rsidR="00000000" w:rsidRPr="00000000">
      <w:rPr>
        <w:rtl w:val="0"/>
      </w:rPr>
    </w:r>
  </w:p>
  <w:tbl>
    <w:tblPr>
      <w:tblStyle w:val="Table1"/>
      <w:tblW w:w="10470.0" w:type="dxa"/>
      <w:jc w:val="left"/>
      <w:tblInd w:w="-1110.0" w:type="dxa"/>
      <w:tblLayout w:type="fixed"/>
      <w:tblLook w:val="0600"/>
    </w:tblPr>
    <w:tblGrid>
      <w:gridCol w:w="3330"/>
      <w:gridCol w:w="7140"/>
      <w:tblGridChange w:id="0">
        <w:tblGrid>
          <w:gridCol w:w="3330"/>
          <w:gridCol w:w="714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2033337" cy="557213"/>
                <wp:effectExtent b="0" l="0" r="0" t="0"/>
                <wp:docPr descr="logo-ifc.png" id="1" name="image1.png"/>
                <a:graphic>
                  <a:graphicData uri="http://schemas.openxmlformats.org/drawingml/2006/picture">
                    <pic:pic>
                      <pic:nvPicPr>
                        <pic:cNvPr descr="logo-ifc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BACHARELADO EM CIÊNCIA DA COMPUTAÇÃO</w:t>
          </w:r>
        </w:p>
        <w:p w:rsidR="00000000" w:rsidDel="00000000" w:rsidP="00000000" w:rsidRDefault="00000000" w:rsidRPr="00000000" w14:paraId="00000019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PARADIGMAS DE PROGRAMAÇÃO</w:t>
          </w:r>
        </w:p>
        <w:p w:rsidR="00000000" w:rsidDel="00000000" w:rsidP="00000000" w:rsidRDefault="00000000" w:rsidRPr="00000000" w14:paraId="0000001A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LISTA DE EXERCÍCIOS</w:t>
          </w:r>
        </w:p>
      </w:tc>
    </w:tr>
  </w:tbl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