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1F4E79"/>
          <w:sz w:val="40"/>
        </w:rPr>
        <w:t>方法四训练版：随机森林软测量前馈 + 串级 PID</w:t>
        <w:br/>
        <w:t>污水曝气溶解氧控制仿真实验报告</w:t>
      </w:r>
    </w:p>
    <w:p>
      <w:pPr>
        <w:jc w:val="center"/>
      </w:pPr>
      <w:r>
        <w:rPr>
          <w:rFonts w:ascii="宋体" w:hAnsi="宋体" w:eastAsia="宋体"/>
          <w:color w:val="5A5A5A"/>
          <w:sz w:val="21"/>
        </w:rPr>
        <w:t>过程控制课程仿真实验 | 随机森林回归软测量 | 前馈-反馈复合控制</w:t>
      </w:r>
    </w:p>
    <w:p>
      <w:pPr>
        <w:pStyle w:val="Heading1"/>
      </w:pPr>
      <w:r>
        <w:t>1 实验目的</w:t>
      </w:r>
    </w:p>
    <w:p>
      <w:pPr>
        <w:spacing w:line="300" w:lineRule="auto"/>
        <w:ind w:firstLine="420"/>
      </w:pPr>
      <w:r>
        <w:rPr>
          <w:rFonts w:ascii="宋体" w:hAnsi="宋体" w:eastAsia="宋体"/>
          <w:sz w:val="21"/>
        </w:rPr>
        <w:t>本实验在普通前馈 + 串级 PID 的基础上，引入真正训练得到的机器学习软测量模型。由于课程设计缺少实际污水厂 SCADA 历史数据，本文基于前文建立的曝气 DO 机理模型构造多工况仿真历史样本，训练随机森林回归模型预测当前耗氧负荷，并将预测结果作为前馈信号接入串级 PID 控制系统。</w:t>
      </w:r>
    </w:p>
    <w:p>
      <w:pPr>
        <w:spacing w:line="300" w:lineRule="auto"/>
        <w:ind w:firstLine="420"/>
      </w:pPr>
      <w:r>
        <w:rPr>
          <w:rFonts w:ascii="宋体" w:hAnsi="宋体" w:eastAsia="宋体"/>
          <w:sz w:val="21"/>
        </w:rPr>
        <w:t>该版本与直接手写前馈模型不同，包含训练数据生成、模型训练、测试集评价和控制系统验证四个环节，因此能够更完整地说明机器学习前馈在提升 DO 控制快速性方面的作用。</w:t>
      </w:r>
    </w:p>
    <w:p>
      <w:pPr>
        <w:pStyle w:val="Heading1"/>
      </w:pPr>
      <w:r>
        <w:t>2 与前面方法的关系</w:t>
      </w:r>
    </w:p>
    <w:p>
      <w:pPr>
        <w:spacing w:line="300" w:lineRule="auto"/>
        <w:ind w:firstLine="420"/>
      </w:pPr>
      <w:r>
        <w:rPr>
          <w:rFonts w:ascii="宋体" w:hAnsi="宋体" w:eastAsia="宋体"/>
          <w:sz w:val="21"/>
        </w:rPr>
        <w:t>方法四训练版仍沿用前面方法的基础被控对象：供气侧对象为一阶惯性环节，DO 主对象为一阶惯性加 30 s 纯滞后。控制目标仍为将 DO 稳定在 2.0 mg/L 附近。与方法三相比，方法四不直接依赖慢速 COD 在线测量，而是用随机森林模型根据实时易测变量预测耗氧负荷。</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center"/>
            </w:pPr>
            <w:r/>
            <w:r>
              <w:rPr>
                <w:rFonts w:ascii="宋体" w:hAnsi="宋体" w:eastAsia="宋体"/>
                <w:b/>
                <w:sz w:val="19"/>
              </w:rPr>
              <w:t>项目</w:t>
            </w:r>
          </w:p>
        </w:tc>
        <w:tc>
          <w:tcPr>
            <w:tcW w:type="dxa" w:w="3264"/>
            <w:shd w:fill="D9EAF7"/>
            <w:vAlign w:val="center"/>
          </w:tcPr>
          <w:p>
            <w:pPr>
              <w:jc w:val="center"/>
            </w:pPr>
            <w:r/>
            <w:r>
              <w:rPr>
                <w:rFonts w:ascii="宋体" w:hAnsi="宋体" w:eastAsia="宋体"/>
                <w:b/>
                <w:sz w:val="19"/>
              </w:rPr>
              <w:t>方法三</w:t>
            </w:r>
          </w:p>
        </w:tc>
        <w:tc>
          <w:tcPr>
            <w:tcW w:type="dxa" w:w="3264"/>
            <w:shd w:fill="D9EAF7"/>
            <w:vAlign w:val="center"/>
          </w:tcPr>
          <w:p>
            <w:pPr>
              <w:jc w:val="center"/>
            </w:pPr>
            <w:r/>
            <w:r>
              <w:rPr>
                <w:rFonts w:ascii="宋体" w:hAnsi="宋体" w:eastAsia="宋体"/>
                <w:b/>
                <w:sz w:val="19"/>
              </w:rPr>
              <w:t>方法四训练版</w:t>
            </w:r>
          </w:p>
        </w:tc>
      </w:tr>
      <w:tr>
        <w:tc>
          <w:tcPr>
            <w:tcW w:type="dxa" w:w="3264"/>
            <w:vAlign w:val="center"/>
          </w:tcPr>
          <w:p>
            <w:pPr>
              <w:jc w:val="center"/>
            </w:pPr>
            <w:r/>
            <w:r>
              <w:rPr>
                <w:rFonts w:ascii="宋体" w:hAnsi="宋体" w:eastAsia="宋体"/>
                <w:b w:val="0"/>
                <w:sz w:val="19"/>
              </w:rPr>
              <w:t>前馈输入</w:t>
            </w:r>
          </w:p>
        </w:tc>
        <w:tc>
          <w:tcPr>
            <w:tcW w:type="dxa" w:w="3264"/>
            <w:vAlign w:val="center"/>
          </w:tcPr>
          <w:p>
            <w:pPr>
              <w:jc w:val="center"/>
            </w:pPr>
            <w:r/>
            <w:r>
              <w:rPr>
                <w:rFonts w:ascii="宋体" w:hAnsi="宋体" w:eastAsia="宋体"/>
                <w:b w:val="0"/>
                <w:sz w:val="19"/>
              </w:rPr>
              <w:t>进水流量 Q、慢速污染物浓度 C</w:t>
            </w:r>
          </w:p>
        </w:tc>
        <w:tc>
          <w:tcPr>
            <w:tcW w:type="dxa" w:w="3264"/>
            <w:vAlign w:val="center"/>
          </w:tcPr>
          <w:p>
            <w:pPr>
              <w:jc w:val="center"/>
            </w:pPr>
            <w:r/>
            <w:r>
              <w:rPr>
                <w:rFonts w:ascii="宋体" w:hAnsi="宋体" w:eastAsia="宋体"/>
                <w:b w:val="0"/>
                <w:sz w:val="19"/>
              </w:rPr>
              <w:t>Q、pH、电导率、温度、ORP、时间特征</w:t>
            </w:r>
          </w:p>
        </w:tc>
      </w:tr>
      <w:tr>
        <w:tc>
          <w:tcPr>
            <w:tcW w:type="dxa" w:w="3264"/>
            <w:vAlign w:val="center"/>
          </w:tcPr>
          <w:p>
            <w:pPr>
              <w:jc w:val="center"/>
            </w:pPr>
            <w:r/>
            <w:r>
              <w:rPr>
                <w:rFonts w:ascii="宋体" w:hAnsi="宋体" w:eastAsia="宋体"/>
                <w:b w:val="0"/>
                <w:sz w:val="19"/>
              </w:rPr>
              <w:t>前馈模型</w:t>
            </w:r>
          </w:p>
        </w:tc>
        <w:tc>
          <w:tcPr>
            <w:tcW w:type="dxa" w:w="3264"/>
            <w:vAlign w:val="center"/>
          </w:tcPr>
          <w:p>
            <w:pPr>
              <w:jc w:val="center"/>
            </w:pPr>
            <w:r/>
            <w:r>
              <w:rPr>
                <w:rFonts w:ascii="宋体" w:hAnsi="宋体" w:eastAsia="宋体"/>
                <w:b w:val="0"/>
                <w:sz w:val="19"/>
              </w:rPr>
              <w:t>人工设定耗氧量模型</w:t>
            </w:r>
          </w:p>
        </w:tc>
        <w:tc>
          <w:tcPr>
            <w:tcW w:type="dxa" w:w="3264"/>
            <w:vAlign w:val="center"/>
          </w:tcPr>
          <w:p>
            <w:pPr>
              <w:jc w:val="center"/>
            </w:pPr>
            <w:r/>
            <w:r>
              <w:rPr>
                <w:rFonts w:ascii="宋体" w:hAnsi="宋体" w:eastAsia="宋体"/>
                <w:b w:val="0"/>
                <w:sz w:val="19"/>
              </w:rPr>
              <w:t>训练得到的随机森林回归模型</w:t>
            </w:r>
          </w:p>
        </w:tc>
      </w:tr>
      <w:tr>
        <w:tc>
          <w:tcPr>
            <w:tcW w:type="dxa" w:w="3264"/>
            <w:vAlign w:val="center"/>
          </w:tcPr>
          <w:p>
            <w:pPr>
              <w:jc w:val="center"/>
            </w:pPr>
            <w:r/>
            <w:r>
              <w:rPr>
                <w:rFonts w:ascii="宋体" w:hAnsi="宋体" w:eastAsia="宋体"/>
                <w:b w:val="0"/>
                <w:sz w:val="19"/>
              </w:rPr>
              <w:t>控制结构</w:t>
            </w:r>
          </w:p>
        </w:tc>
        <w:tc>
          <w:tcPr>
            <w:tcW w:type="dxa" w:w="3264"/>
            <w:vAlign w:val="center"/>
          </w:tcPr>
          <w:p>
            <w:pPr>
              <w:jc w:val="center"/>
            </w:pPr>
            <w:r/>
            <w:r>
              <w:rPr>
                <w:rFonts w:ascii="宋体" w:hAnsi="宋体" w:eastAsia="宋体"/>
                <w:b w:val="0"/>
                <w:sz w:val="19"/>
              </w:rPr>
              <w:t>普通前馈 + DO 外环 + 供气内环</w:t>
            </w:r>
          </w:p>
        </w:tc>
        <w:tc>
          <w:tcPr>
            <w:tcW w:type="dxa" w:w="3264"/>
            <w:vAlign w:val="center"/>
          </w:tcPr>
          <w:p>
            <w:pPr>
              <w:jc w:val="center"/>
            </w:pPr>
            <w:r/>
            <w:r>
              <w:rPr>
                <w:rFonts w:ascii="宋体" w:hAnsi="宋体" w:eastAsia="宋体"/>
                <w:b w:val="0"/>
                <w:sz w:val="19"/>
              </w:rPr>
              <w:t>RF 软测量前馈 + DO 外环 + 供气内环</w:t>
            </w:r>
          </w:p>
        </w:tc>
      </w:tr>
      <w:tr>
        <w:tc>
          <w:tcPr>
            <w:tcW w:type="dxa" w:w="3264"/>
            <w:vAlign w:val="center"/>
          </w:tcPr>
          <w:p>
            <w:pPr>
              <w:jc w:val="center"/>
            </w:pPr>
            <w:r/>
            <w:r>
              <w:rPr>
                <w:rFonts w:ascii="宋体" w:hAnsi="宋体" w:eastAsia="宋体"/>
                <w:b w:val="0"/>
                <w:sz w:val="19"/>
              </w:rPr>
              <w:t>主要目的</w:t>
            </w:r>
          </w:p>
        </w:tc>
        <w:tc>
          <w:tcPr>
            <w:tcW w:type="dxa" w:w="3264"/>
            <w:vAlign w:val="center"/>
          </w:tcPr>
          <w:p>
            <w:pPr>
              <w:jc w:val="center"/>
            </w:pPr>
            <w:r/>
            <w:r>
              <w:rPr>
                <w:rFonts w:ascii="宋体" w:hAnsi="宋体" w:eastAsia="宋体"/>
                <w:b w:val="0"/>
                <w:sz w:val="19"/>
              </w:rPr>
              <w:t>提前补偿进水负荷扰动</w:t>
            </w:r>
          </w:p>
        </w:tc>
        <w:tc>
          <w:tcPr>
            <w:tcW w:type="dxa" w:w="3264"/>
            <w:vAlign w:val="center"/>
          </w:tcPr>
          <w:p>
            <w:pPr>
              <w:jc w:val="center"/>
            </w:pPr>
            <w:r/>
            <w:r>
              <w:rPr>
                <w:rFonts w:ascii="宋体" w:hAnsi="宋体" w:eastAsia="宋体"/>
                <w:b w:val="0"/>
                <w:sz w:val="19"/>
              </w:rPr>
              <w:t>在污染物测量慢时更早估计负荷并补偿</w:t>
            </w:r>
          </w:p>
        </w:tc>
      </w:tr>
    </w:tbl>
    <w:p>
      <w:pPr>
        <w:pStyle w:val="Heading1"/>
      </w:pPr>
      <w:r>
        <w:t>3 训练数据与模型</w:t>
      </w:r>
    </w:p>
    <w:p>
      <w:pPr>
        <w:spacing w:line="300" w:lineRule="auto"/>
        <w:ind w:firstLine="420"/>
      </w:pPr>
      <w:r>
        <w:rPr>
          <w:rFonts w:ascii="宋体" w:hAnsi="宋体" w:eastAsia="宋体"/>
          <w:sz w:val="21"/>
        </w:rPr>
        <w:t>训练样本由仿真程序生成，共 8000 条。每条样本包含进水流量、pH、电导率、温度、ORP 以及时间周期特征，标签为由机理关系计算得到的真实耗氧负荷。样本中加入了随机工况变化和测量噪声，用于模拟污水厂 SCADA 数据的波动。</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center"/>
            </w:pPr>
            <w:r/>
            <w:r>
              <w:rPr>
                <w:rFonts w:ascii="宋体" w:hAnsi="宋体" w:eastAsia="宋体"/>
                <w:b/>
                <w:sz w:val="19"/>
              </w:rPr>
              <w:t>输入变量</w:t>
            </w:r>
          </w:p>
        </w:tc>
        <w:tc>
          <w:tcPr>
            <w:tcW w:type="dxa" w:w="4896"/>
            <w:shd w:fill="D9EAF7"/>
            <w:vAlign w:val="center"/>
          </w:tcPr>
          <w:p>
            <w:pPr>
              <w:jc w:val="center"/>
            </w:pPr>
            <w:r/>
            <w:r>
              <w:rPr>
                <w:rFonts w:ascii="宋体" w:hAnsi="宋体" w:eastAsia="宋体"/>
                <w:b/>
                <w:sz w:val="19"/>
              </w:rPr>
              <w:t>物理含义</w:t>
            </w:r>
          </w:p>
        </w:tc>
      </w:tr>
      <w:tr>
        <w:tc>
          <w:tcPr>
            <w:tcW w:type="dxa" w:w="4896"/>
            <w:vAlign w:val="center"/>
          </w:tcPr>
          <w:p>
            <w:pPr>
              <w:jc w:val="center"/>
            </w:pPr>
            <w:r/>
            <w:r>
              <w:rPr>
                <w:rFonts w:ascii="宋体" w:hAnsi="宋体" w:eastAsia="宋体"/>
                <w:b w:val="0"/>
                <w:sz w:val="19"/>
              </w:rPr>
              <w:t>q_in</w:t>
            </w:r>
          </w:p>
        </w:tc>
        <w:tc>
          <w:tcPr>
            <w:tcW w:type="dxa" w:w="4896"/>
            <w:vAlign w:val="center"/>
          </w:tcPr>
          <w:p>
            <w:pPr>
              <w:jc w:val="center"/>
            </w:pPr>
            <w:r/>
            <w:r>
              <w:rPr>
                <w:rFonts w:ascii="宋体" w:hAnsi="宋体" w:eastAsia="宋体"/>
                <w:b w:val="0"/>
                <w:sz w:val="19"/>
              </w:rPr>
              <w:t>归一化进水流量</w:t>
            </w:r>
          </w:p>
        </w:tc>
      </w:tr>
      <w:tr>
        <w:tc>
          <w:tcPr>
            <w:tcW w:type="dxa" w:w="4896"/>
            <w:vAlign w:val="center"/>
          </w:tcPr>
          <w:p>
            <w:pPr>
              <w:jc w:val="center"/>
            </w:pPr>
            <w:r/>
            <w:r>
              <w:rPr>
                <w:rFonts w:ascii="宋体" w:hAnsi="宋体" w:eastAsia="宋体"/>
                <w:b w:val="0"/>
                <w:sz w:val="19"/>
              </w:rPr>
              <w:t>pH</w:t>
            </w:r>
          </w:p>
        </w:tc>
        <w:tc>
          <w:tcPr>
            <w:tcW w:type="dxa" w:w="4896"/>
            <w:vAlign w:val="center"/>
          </w:tcPr>
          <w:p>
            <w:pPr>
              <w:jc w:val="center"/>
            </w:pPr>
            <w:r/>
            <w:r>
              <w:rPr>
                <w:rFonts w:ascii="宋体" w:hAnsi="宋体" w:eastAsia="宋体"/>
                <w:b w:val="0"/>
                <w:sz w:val="19"/>
              </w:rPr>
              <w:t>进水酸碱度，污染负荷升高时可能下降</w:t>
            </w:r>
          </w:p>
        </w:tc>
      </w:tr>
      <w:tr>
        <w:tc>
          <w:tcPr>
            <w:tcW w:type="dxa" w:w="4896"/>
            <w:vAlign w:val="center"/>
          </w:tcPr>
          <w:p>
            <w:pPr>
              <w:jc w:val="center"/>
            </w:pPr>
            <w:r/>
            <w:r>
              <w:rPr>
                <w:rFonts w:ascii="宋体" w:hAnsi="宋体" w:eastAsia="宋体"/>
                <w:b w:val="0"/>
                <w:sz w:val="19"/>
              </w:rPr>
              <w:t>conductivity</w:t>
            </w:r>
          </w:p>
        </w:tc>
        <w:tc>
          <w:tcPr>
            <w:tcW w:type="dxa" w:w="4896"/>
            <w:vAlign w:val="center"/>
          </w:tcPr>
          <w:p>
            <w:pPr>
              <w:jc w:val="center"/>
            </w:pPr>
            <w:r/>
            <w:r>
              <w:rPr>
                <w:rFonts w:ascii="宋体" w:hAnsi="宋体" w:eastAsia="宋体"/>
                <w:b w:val="0"/>
                <w:sz w:val="19"/>
              </w:rPr>
              <w:t>电导率，反映溶解性污染物变化</w:t>
            </w:r>
          </w:p>
        </w:tc>
      </w:tr>
      <w:tr>
        <w:tc>
          <w:tcPr>
            <w:tcW w:type="dxa" w:w="4896"/>
            <w:vAlign w:val="center"/>
          </w:tcPr>
          <w:p>
            <w:pPr>
              <w:jc w:val="center"/>
            </w:pPr>
            <w:r/>
            <w:r>
              <w:rPr>
                <w:rFonts w:ascii="宋体" w:hAnsi="宋体" w:eastAsia="宋体"/>
                <w:b w:val="0"/>
                <w:sz w:val="19"/>
              </w:rPr>
              <w:t>temperature</w:t>
            </w:r>
          </w:p>
        </w:tc>
        <w:tc>
          <w:tcPr>
            <w:tcW w:type="dxa" w:w="4896"/>
            <w:vAlign w:val="center"/>
          </w:tcPr>
          <w:p>
            <w:pPr>
              <w:jc w:val="center"/>
            </w:pPr>
            <w:r/>
            <w:r>
              <w:rPr>
                <w:rFonts w:ascii="宋体" w:hAnsi="宋体" w:eastAsia="宋体"/>
                <w:b w:val="0"/>
                <w:sz w:val="19"/>
              </w:rPr>
              <w:t>水温，影响微生物耗氧与传质</w:t>
            </w:r>
          </w:p>
        </w:tc>
      </w:tr>
      <w:tr>
        <w:tc>
          <w:tcPr>
            <w:tcW w:type="dxa" w:w="4896"/>
            <w:vAlign w:val="center"/>
          </w:tcPr>
          <w:p>
            <w:pPr>
              <w:jc w:val="center"/>
            </w:pPr>
            <w:r/>
            <w:r>
              <w:rPr>
                <w:rFonts w:ascii="宋体" w:hAnsi="宋体" w:eastAsia="宋体"/>
                <w:b w:val="0"/>
                <w:sz w:val="19"/>
              </w:rPr>
              <w:t>orp</w:t>
            </w:r>
          </w:p>
        </w:tc>
        <w:tc>
          <w:tcPr>
            <w:tcW w:type="dxa" w:w="4896"/>
            <w:vAlign w:val="center"/>
          </w:tcPr>
          <w:p>
            <w:pPr>
              <w:jc w:val="center"/>
            </w:pPr>
            <w:r/>
            <w:r>
              <w:rPr>
                <w:rFonts w:ascii="宋体" w:hAnsi="宋体" w:eastAsia="宋体"/>
                <w:b w:val="0"/>
                <w:sz w:val="19"/>
              </w:rPr>
              <w:t>氧化还原电位，反映水质氧化还原状态</w:t>
            </w:r>
          </w:p>
        </w:tc>
      </w:tr>
      <w:tr>
        <w:tc>
          <w:tcPr>
            <w:tcW w:type="dxa" w:w="4896"/>
            <w:vAlign w:val="center"/>
          </w:tcPr>
          <w:p>
            <w:pPr>
              <w:jc w:val="center"/>
            </w:pPr>
            <w:r/>
            <w:r>
              <w:rPr>
                <w:rFonts w:ascii="宋体" w:hAnsi="宋体" w:eastAsia="宋体"/>
                <w:b w:val="0"/>
                <w:sz w:val="19"/>
              </w:rPr>
              <w:t>time_sin/time_cos</w:t>
            </w:r>
          </w:p>
        </w:tc>
        <w:tc>
          <w:tcPr>
            <w:tcW w:type="dxa" w:w="4896"/>
            <w:vAlign w:val="center"/>
          </w:tcPr>
          <w:p>
            <w:pPr>
              <w:jc w:val="center"/>
            </w:pPr>
            <w:r/>
            <w:r>
              <w:rPr>
                <w:rFonts w:ascii="宋体" w:hAnsi="宋体" w:eastAsia="宋体"/>
                <w:b w:val="0"/>
                <w:sz w:val="19"/>
              </w:rPr>
              <w:t>时间周期特征，反映日周期运行规律</w:t>
            </w:r>
          </w:p>
        </w:tc>
      </w:tr>
    </w:tbl>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center"/>
            </w:pPr>
            <w:r/>
            <w:r>
              <w:rPr>
                <w:rFonts w:ascii="宋体" w:hAnsi="宋体" w:eastAsia="宋体"/>
                <w:b/>
                <w:sz w:val="19"/>
              </w:rPr>
              <w:t>模型指标</w:t>
            </w:r>
          </w:p>
        </w:tc>
        <w:tc>
          <w:tcPr>
            <w:tcW w:type="dxa" w:w="4896"/>
            <w:shd w:fill="D9EAF7"/>
            <w:vAlign w:val="center"/>
          </w:tcPr>
          <w:p>
            <w:pPr>
              <w:jc w:val="center"/>
            </w:pPr>
            <w:r/>
            <w:r>
              <w:rPr>
                <w:rFonts w:ascii="宋体" w:hAnsi="宋体" w:eastAsia="宋体"/>
                <w:b/>
                <w:sz w:val="19"/>
              </w:rPr>
              <w:t>数值</w:t>
            </w:r>
          </w:p>
        </w:tc>
      </w:tr>
      <w:tr>
        <w:tc>
          <w:tcPr>
            <w:tcW w:type="dxa" w:w="4896"/>
            <w:vAlign w:val="center"/>
          </w:tcPr>
          <w:p>
            <w:pPr>
              <w:jc w:val="center"/>
            </w:pPr>
            <w:r/>
            <w:r>
              <w:rPr>
                <w:rFonts w:ascii="宋体" w:hAnsi="宋体" w:eastAsia="宋体"/>
                <w:b w:val="0"/>
                <w:sz w:val="19"/>
              </w:rPr>
              <w:t>训练样本数</w:t>
            </w:r>
          </w:p>
        </w:tc>
        <w:tc>
          <w:tcPr>
            <w:tcW w:type="dxa" w:w="4896"/>
            <w:vAlign w:val="center"/>
          </w:tcPr>
          <w:p>
            <w:pPr>
              <w:jc w:val="center"/>
            </w:pPr>
            <w:r/>
            <w:r>
              <w:rPr>
                <w:rFonts w:ascii="宋体" w:hAnsi="宋体" w:eastAsia="宋体"/>
                <w:b w:val="0"/>
                <w:sz w:val="19"/>
              </w:rPr>
              <w:t>6000</w:t>
            </w:r>
          </w:p>
        </w:tc>
      </w:tr>
      <w:tr>
        <w:tc>
          <w:tcPr>
            <w:tcW w:type="dxa" w:w="4896"/>
            <w:vAlign w:val="center"/>
          </w:tcPr>
          <w:p>
            <w:pPr>
              <w:jc w:val="center"/>
            </w:pPr>
            <w:r/>
            <w:r>
              <w:rPr>
                <w:rFonts w:ascii="宋体" w:hAnsi="宋体" w:eastAsia="宋体"/>
                <w:b w:val="0"/>
                <w:sz w:val="19"/>
              </w:rPr>
              <w:t>测试样本数</w:t>
            </w:r>
          </w:p>
        </w:tc>
        <w:tc>
          <w:tcPr>
            <w:tcW w:type="dxa" w:w="4896"/>
            <w:vAlign w:val="center"/>
          </w:tcPr>
          <w:p>
            <w:pPr>
              <w:jc w:val="center"/>
            </w:pPr>
            <w:r/>
            <w:r>
              <w:rPr>
                <w:rFonts w:ascii="宋体" w:hAnsi="宋体" w:eastAsia="宋体"/>
                <w:b w:val="0"/>
                <w:sz w:val="19"/>
              </w:rPr>
              <w:t>2000</w:t>
            </w:r>
          </w:p>
        </w:tc>
      </w:tr>
      <w:tr>
        <w:tc>
          <w:tcPr>
            <w:tcW w:type="dxa" w:w="4896"/>
            <w:vAlign w:val="center"/>
          </w:tcPr>
          <w:p>
            <w:pPr>
              <w:jc w:val="center"/>
            </w:pPr>
            <w:r/>
            <w:r>
              <w:rPr>
                <w:rFonts w:ascii="宋体" w:hAnsi="宋体" w:eastAsia="宋体"/>
                <w:b w:val="0"/>
                <w:sz w:val="19"/>
              </w:rPr>
              <w:t>MAE</w:t>
            </w:r>
          </w:p>
        </w:tc>
        <w:tc>
          <w:tcPr>
            <w:tcW w:type="dxa" w:w="4896"/>
            <w:vAlign w:val="center"/>
          </w:tcPr>
          <w:p>
            <w:pPr>
              <w:jc w:val="center"/>
            </w:pPr>
            <w:r/>
            <w:r>
              <w:rPr>
                <w:rFonts w:ascii="宋体" w:hAnsi="宋体" w:eastAsia="宋体"/>
                <w:b w:val="0"/>
                <w:sz w:val="19"/>
              </w:rPr>
              <w:t>0.0590</w:t>
            </w:r>
          </w:p>
        </w:tc>
      </w:tr>
      <w:tr>
        <w:tc>
          <w:tcPr>
            <w:tcW w:type="dxa" w:w="4896"/>
            <w:vAlign w:val="center"/>
          </w:tcPr>
          <w:p>
            <w:pPr>
              <w:jc w:val="center"/>
            </w:pPr>
            <w:r/>
            <w:r>
              <w:rPr>
                <w:rFonts w:ascii="宋体" w:hAnsi="宋体" w:eastAsia="宋体"/>
                <w:b w:val="0"/>
                <w:sz w:val="19"/>
              </w:rPr>
              <w:t>RMSE</w:t>
            </w:r>
          </w:p>
        </w:tc>
        <w:tc>
          <w:tcPr>
            <w:tcW w:type="dxa" w:w="4896"/>
            <w:vAlign w:val="center"/>
          </w:tcPr>
          <w:p>
            <w:pPr>
              <w:jc w:val="center"/>
            </w:pPr>
            <w:r/>
            <w:r>
              <w:rPr>
                <w:rFonts w:ascii="宋体" w:hAnsi="宋体" w:eastAsia="宋体"/>
                <w:b w:val="0"/>
                <w:sz w:val="19"/>
              </w:rPr>
              <w:t>0.0737</w:t>
            </w:r>
          </w:p>
        </w:tc>
      </w:tr>
      <w:tr>
        <w:tc>
          <w:tcPr>
            <w:tcW w:type="dxa" w:w="4896"/>
            <w:vAlign w:val="center"/>
          </w:tcPr>
          <w:p>
            <w:pPr>
              <w:jc w:val="center"/>
            </w:pPr>
            <w:r/>
            <w:r>
              <w:rPr>
                <w:rFonts w:ascii="宋体" w:hAnsi="宋体" w:eastAsia="宋体"/>
                <w:b w:val="0"/>
                <w:sz w:val="19"/>
              </w:rPr>
              <w:t>R2</w:t>
            </w:r>
          </w:p>
        </w:tc>
        <w:tc>
          <w:tcPr>
            <w:tcW w:type="dxa" w:w="4896"/>
            <w:vAlign w:val="center"/>
          </w:tcPr>
          <w:p>
            <w:pPr>
              <w:jc w:val="center"/>
            </w:pPr>
            <w:r/>
            <w:r>
              <w:rPr>
                <w:rFonts w:ascii="宋体" w:hAnsi="宋体" w:eastAsia="宋体"/>
                <w:b w:val="0"/>
                <w:sz w:val="19"/>
              </w:rPr>
              <w:t>0.9744</w:t>
            </w:r>
          </w:p>
        </w:tc>
      </w:tr>
    </w:tbl>
    <w:p>
      <w:pPr>
        <w:spacing w:line="300" w:lineRule="auto"/>
        <w:ind w:firstLine="420"/>
      </w:pPr>
      <w:r>
        <w:rPr>
          <w:rFonts w:ascii="宋体" w:hAnsi="宋体" w:eastAsia="宋体"/>
          <w:sz w:val="21"/>
        </w:rPr>
        <w:t>随机森林模型的测试集 R2 接近 1，说明模型能够较好地从实时易测变量中恢复耗氧负荷信息。需要说明的是，该结果基于仿真构造数据，不应等同于真实污水厂数据上的泛化性能。</w:t>
      </w:r>
    </w:p>
    <w:p>
      <w:pPr>
        <w:pStyle w:val="Heading1"/>
      </w:pPr>
      <w:r>
        <w:t>4 控制仿真设计</w:t>
      </w:r>
    </w:p>
    <w:p>
      <w:pPr>
        <w:spacing w:line="300" w:lineRule="auto"/>
        <w:ind w:firstLine="420"/>
      </w:pPr>
      <w:r>
        <w:rPr>
          <w:rFonts w:ascii="宋体" w:hAnsi="宋体" w:eastAsia="宋体"/>
          <w:sz w:val="21"/>
        </w:rPr>
        <w:t>控制仿真沿用方法三的进水负荷阶跃工况：t = 1200 s 时，进水流量由 1.00 增至 1.20，真实污染物浓度由 1.00 增至 1.40。普通前馈使用慢速污染物浓度测量，随机森林前馈使用训练好的模型预测耗氧负荷。</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center"/>
            </w:pPr>
            <w:r/>
            <w:r>
              <w:rPr>
                <w:rFonts w:ascii="宋体" w:hAnsi="宋体" w:eastAsia="宋体"/>
                <w:b/>
                <w:sz w:val="19"/>
              </w:rPr>
              <w:t>控制方法</w:t>
            </w:r>
          </w:p>
        </w:tc>
        <w:tc>
          <w:tcPr>
            <w:tcW w:type="dxa" w:w="4896"/>
            <w:shd w:fill="D9EAF7"/>
            <w:vAlign w:val="center"/>
          </w:tcPr>
          <w:p>
            <w:pPr>
              <w:jc w:val="center"/>
            </w:pPr>
            <w:r/>
            <w:r>
              <w:rPr>
                <w:rFonts w:ascii="宋体" w:hAnsi="宋体" w:eastAsia="宋体"/>
                <w:b/>
                <w:sz w:val="19"/>
              </w:rPr>
              <w:t>说明</w:t>
            </w:r>
          </w:p>
        </w:tc>
      </w:tr>
      <w:tr>
        <w:tc>
          <w:tcPr>
            <w:tcW w:type="dxa" w:w="4896"/>
            <w:vAlign w:val="center"/>
          </w:tcPr>
          <w:p>
            <w:pPr>
              <w:jc w:val="center"/>
            </w:pPr>
            <w:r/>
            <w:r>
              <w:rPr>
                <w:rFonts w:ascii="宋体" w:hAnsi="宋体" w:eastAsia="宋体"/>
                <w:b w:val="0"/>
                <w:sz w:val="19"/>
              </w:rPr>
              <w:t>串级 PID</w:t>
            </w:r>
          </w:p>
        </w:tc>
        <w:tc>
          <w:tcPr>
            <w:tcW w:type="dxa" w:w="4896"/>
            <w:vAlign w:val="center"/>
          </w:tcPr>
          <w:p>
            <w:pPr>
              <w:jc w:val="center"/>
            </w:pPr>
            <w:r/>
            <w:r>
              <w:rPr>
                <w:rFonts w:ascii="宋体" w:hAnsi="宋体" w:eastAsia="宋体"/>
                <w:b w:val="0"/>
                <w:sz w:val="19"/>
              </w:rPr>
              <w:t>仅依靠 DO 外环和供气流量内环反馈调节</w:t>
            </w:r>
          </w:p>
        </w:tc>
      </w:tr>
      <w:tr>
        <w:tc>
          <w:tcPr>
            <w:tcW w:type="dxa" w:w="4896"/>
            <w:vAlign w:val="center"/>
          </w:tcPr>
          <w:p>
            <w:pPr>
              <w:jc w:val="center"/>
            </w:pPr>
            <w:r/>
            <w:r>
              <w:rPr>
                <w:rFonts w:ascii="宋体" w:hAnsi="宋体" w:eastAsia="宋体"/>
                <w:b w:val="0"/>
                <w:sz w:val="19"/>
              </w:rPr>
              <w:t>普通前馈 + 串级 PID</w:t>
            </w:r>
          </w:p>
        </w:tc>
        <w:tc>
          <w:tcPr>
            <w:tcW w:type="dxa" w:w="4896"/>
            <w:vAlign w:val="center"/>
          </w:tcPr>
          <w:p>
            <w:pPr>
              <w:jc w:val="center"/>
            </w:pPr>
            <w:r/>
            <w:r>
              <w:rPr>
                <w:rFonts w:ascii="宋体" w:hAnsi="宋体" w:eastAsia="宋体"/>
                <w:b w:val="0"/>
                <w:sz w:val="19"/>
              </w:rPr>
              <w:t>使用 Q 与慢速 C 测量值计算前馈补偿</w:t>
            </w:r>
          </w:p>
        </w:tc>
      </w:tr>
      <w:tr>
        <w:tc>
          <w:tcPr>
            <w:tcW w:type="dxa" w:w="4896"/>
            <w:vAlign w:val="center"/>
          </w:tcPr>
          <w:p>
            <w:pPr>
              <w:jc w:val="center"/>
            </w:pPr>
            <w:r/>
            <w:r>
              <w:rPr>
                <w:rFonts w:ascii="宋体" w:hAnsi="宋体" w:eastAsia="宋体"/>
                <w:b w:val="0"/>
                <w:sz w:val="19"/>
              </w:rPr>
              <w:t>随机森林前馈 + 串级 PID</w:t>
            </w:r>
          </w:p>
        </w:tc>
        <w:tc>
          <w:tcPr>
            <w:tcW w:type="dxa" w:w="4896"/>
            <w:vAlign w:val="center"/>
          </w:tcPr>
          <w:p>
            <w:pPr>
              <w:jc w:val="center"/>
            </w:pPr>
            <w:r/>
            <w:r>
              <w:rPr>
                <w:rFonts w:ascii="宋体" w:hAnsi="宋体" w:eastAsia="宋体"/>
                <w:b w:val="0"/>
                <w:sz w:val="19"/>
              </w:rPr>
              <w:t>使用 RF 预测负荷计算前馈补偿，并保留 PID 反馈修正</w:t>
            </w:r>
          </w:p>
        </w:tc>
      </w:tr>
    </w:tbl>
    <w:p>
      <w:pPr>
        <w:pStyle w:val="Heading1"/>
      </w:pPr>
      <w:r>
        <w:t>5 仿真结果分析</w:t>
      </w:r>
    </w:p>
    <w:p>
      <w:pPr>
        <w:jc w:val="center"/>
      </w:pPr>
      <w:r>
        <w:drawing>
          <wp:inline xmlns:a="http://schemas.openxmlformats.org/drawingml/2006/main" xmlns:pic="http://schemas.openxmlformats.org/drawingml/2006/picture">
            <wp:extent cx="5760720" cy="3229909"/>
            <wp:docPr id="1" name="Picture 1"/>
            <wp:cNvGraphicFramePr>
              <a:graphicFrameLocks noChangeAspect="1"/>
            </wp:cNvGraphicFramePr>
            <a:graphic>
              <a:graphicData uri="http://schemas.openxmlformats.org/drawingml/2006/picture">
                <pic:pic>
                  <pic:nvPicPr>
                    <pic:cNvPr id="0" name="trained_fig1_rf_prediction.png"/>
                    <pic:cNvPicPr/>
                  </pic:nvPicPr>
                  <pic:blipFill>
                    <a:blip r:embed="rId9"/>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图1 随机森林软测量负荷预测效果</w:t>
      </w:r>
    </w:p>
    <w:p>
      <w:pPr>
        <w:spacing w:line="300" w:lineRule="auto"/>
        <w:ind w:firstLine="420"/>
      </w:pPr>
      <w:r>
        <w:rPr>
          <w:rFonts w:ascii="宋体" w:hAnsi="宋体" w:eastAsia="宋体"/>
          <w:sz w:val="21"/>
        </w:rPr>
        <w:t>图1表明，随机森林预测负荷能够在进水扰动发生后快速接近真实耗氧负荷，为前馈通道提供更及时的补偿依据。</w:t>
      </w:r>
    </w:p>
    <w:p>
      <w:pPr>
        <w:jc w:val="center"/>
      </w:pPr>
      <w:r>
        <w:drawing>
          <wp:inline xmlns:a="http://schemas.openxmlformats.org/drawingml/2006/main" xmlns:pic="http://schemas.openxmlformats.org/drawingml/2006/picture">
            <wp:extent cx="5760720" cy="3229909"/>
            <wp:docPr id="2" name="Picture 2"/>
            <wp:cNvGraphicFramePr>
              <a:graphicFrameLocks noChangeAspect="1"/>
            </wp:cNvGraphicFramePr>
            <a:graphic>
              <a:graphicData uri="http://schemas.openxmlformats.org/drawingml/2006/picture">
                <pic:pic>
                  <pic:nvPicPr>
                    <pic:cNvPr id="0" name="trained_fig2_do_response.png"/>
                    <pic:cNvPicPr/>
                  </pic:nvPicPr>
                  <pic:blipFill>
                    <a:blip r:embed="rId10"/>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图2 三种控制方法的 DO 响应对比</w:t>
      </w:r>
    </w:p>
    <w:p>
      <w:pPr>
        <w:spacing w:line="300" w:lineRule="auto"/>
        <w:ind w:firstLine="420"/>
      </w:pPr>
      <w:r>
        <w:rPr>
          <w:rFonts w:ascii="宋体" w:hAnsi="宋体" w:eastAsia="宋体"/>
          <w:sz w:val="21"/>
        </w:rPr>
        <w:t>图2显示，随机森林前馈 + 串级 PID 的 DO 下跌幅度最小，且恢复速度明显快于普通前馈和单纯串级 PID。</w:t>
      </w:r>
    </w:p>
    <w:p>
      <w:pPr>
        <w:jc w:val="center"/>
      </w:pPr>
      <w:r>
        <w:drawing>
          <wp:inline xmlns:a="http://schemas.openxmlformats.org/drawingml/2006/main" xmlns:pic="http://schemas.openxmlformats.org/drawingml/2006/picture">
            <wp:extent cx="5760720" cy="3229909"/>
            <wp:docPr id="3" name="Picture 3"/>
            <wp:cNvGraphicFramePr>
              <a:graphicFrameLocks noChangeAspect="1"/>
            </wp:cNvGraphicFramePr>
            <a:graphic>
              <a:graphicData uri="http://schemas.openxmlformats.org/drawingml/2006/picture">
                <pic:pic>
                  <pic:nvPicPr>
                    <pic:cNvPr id="0" name="trained_fig3_air_setpoint.png"/>
                    <pic:cNvPicPr/>
                  </pic:nvPicPr>
                  <pic:blipFill>
                    <a:blip r:embed="rId11"/>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图3 目标供气量对比</w:t>
      </w:r>
    </w:p>
    <w:p>
      <w:pPr>
        <w:spacing w:line="300" w:lineRule="auto"/>
        <w:ind w:firstLine="420"/>
      </w:pPr>
      <w:r>
        <w:rPr>
          <w:rFonts w:ascii="宋体" w:hAnsi="宋体" w:eastAsia="宋体"/>
          <w:sz w:val="21"/>
        </w:rPr>
        <w:t>图3说明随机森林前馈在扰动发生后更早提高目标供气量，使供气内环提前动作。</w:t>
      </w:r>
    </w:p>
    <w:p>
      <w:pPr>
        <w:jc w:val="center"/>
      </w:pPr>
      <w:r>
        <w:drawing>
          <wp:inline xmlns:a="http://schemas.openxmlformats.org/drawingml/2006/main" xmlns:pic="http://schemas.openxmlformats.org/drawingml/2006/picture">
            <wp:extent cx="5760720" cy="3229909"/>
            <wp:docPr id="4" name="Picture 4"/>
            <wp:cNvGraphicFramePr>
              <a:graphicFrameLocks noChangeAspect="1"/>
            </wp:cNvGraphicFramePr>
            <a:graphic>
              <a:graphicData uri="http://schemas.openxmlformats.org/drawingml/2006/picture">
                <pic:pic>
                  <pic:nvPicPr>
                    <pic:cNvPr id="0" name="trained_fig4_control_signal.png"/>
                    <pic:cNvPicPr/>
                  </pic:nvPicPr>
                  <pic:blipFill>
                    <a:blip r:embed="rId12"/>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图4 鼓风机控制指令对比</w:t>
      </w:r>
    </w:p>
    <w:p>
      <w:pPr>
        <w:spacing w:line="300" w:lineRule="auto"/>
        <w:ind w:firstLine="420"/>
      </w:pPr>
      <w:r>
        <w:rPr>
          <w:rFonts w:ascii="宋体" w:hAnsi="宋体" w:eastAsia="宋体"/>
          <w:sz w:val="21"/>
        </w:rPr>
        <w:t>图4显示随机森林前馈方案在扰动初期给出更积极的鼓风机控制指令，从而换取更快的 DO 恢复。</w:t>
      </w:r>
    </w:p>
    <w:p>
      <w:pPr>
        <w:jc w:val="center"/>
      </w:pPr>
      <w:r>
        <w:drawing>
          <wp:inline xmlns:a="http://schemas.openxmlformats.org/drawingml/2006/main" xmlns:pic="http://schemas.openxmlformats.org/drawingml/2006/picture">
            <wp:extent cx="5760720" cy="2631483"/>
            <wp:docPr id="5" name="Picture 5"/>
            <wp:cNvGraphicFramePr>
              <a:graphicFrameLocks noChangeAspect="1"/>
            </wp:cNvGraphicFramePr>
            <a:graphic>
              <a:graphicData uri="http://schemas.openxmlformats.org/drawingml/2006/picture">
                <pic:pic>
                  <pic:nvPicPr>
                    <pic:cNvPr id="0" name="trained_fig5_performance_bar.png"/>
                    <pic:cNvPicPr/>
                  </pic:nvPicPr>
                  <pic:blipFill>
                    <a:blip r:embed="rId13"/>
                    <a:stretch>
                      <a:fillRect/>
                    </a:stretch>
                  </pic:blipFill>
                  <pic:spPr>
                    <a:xfrm>
                      <a:off x="0" y="0"/>
                      <a:ext cx="5760720" cy="2631483"/>
                    </a:xfrm>
                    <a:prstGeom prst="rect"/>
                  </pic:spPr>
                </pic:pic>
              </a:graphicData>
            </a:graphic>
          </wp:inline>
        </w:drawing>
      </w:r>
    </w:p>
    <w:p>
      <w:pPr>
        <w:jc w:val="center"/>
      </w:pPr>
      <w:r>
        <w:rPr>
          <w:rFonts w:ascii="宋体" w:hAnsi="宋体" w:eastAsia="宋体"/>
          <w:i/>
          <w:sz w:val="18"/>
        </w:rPr>
        <w:t>图5 抗扰动性能指标相对对比</w:t>
      </w:r>
    </w:p>
    <w:p>
      <w:pPr>
        <w:spacing w:line="300" w:lineRule="auto"/>
        <w:ind w:firstLine="420"/>
      </w:pPr>
      <w:r>
        <w:rPr>
          <w:rFonts w:ascii="宋体" w:hAnsi="宋体" w:eastAsia="宋体"/>
          <w:sz w:val="21"/>
        </w:rPr>
        <w:t>图5将各指标按串级 PID 归一化为 100%。随机森林前馈方案在最大偏差、恢复时间和 IAE 上均最低，说明其快速性和抗扰动性能更好。</w:t>
      </w:r>
    </w:p>
    <w:p>
      <w:pPr>
        <w:pStyle w:val="Heading1"/>
      </w:pPr>
      <w:r>
        <w:t>6 定量指标</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F7"/>
            <w:vAlign w:val="center"/>
          </w:tcPr>
          <w:p>
            <w:pPr>
              <w:jc w:val="center"/>
            </w:pPr>
            <w:r/>
            <w:r>
              <w:rPr>
                <w:rFonts w:ascii="宋体" w:hAnsi="宋体" w:eastAsia="宋体"/>
                <w:b/>
                <w:sz w:val="19"/>
              </w:rPr>
              <w:t>控制方法</w:t>
            </w:r>
          </w:p>
        </w:tc>
        <w:tc>
          <w:tcPr>
            <w:tcW w:type="dxa" w:w="1632"/>
            <w:shd w:fill="D9EAF7"/>
            <w:vAlign w:val="center"/>
          </w:tcPr>
          <w:p>
            <w:pPr>
              <w:jc w:val="center"/>
            </w:pPr>
            <w:r/>
            <w:r>
              <w:rPr>
                <w:rFonts w:ascii="宋体" w:hAnsi="宋体" w:eastAsia="宋体"/>
                <w:b/>
                <w:sz w:val="19"/>
              </w:rPr>
              <w:t>最低 DO / mg/L</w:t>
            </w:r>
          </w:p>
        </w:tc>
        <w:tc>
          <w:tcPr>
            <w:tcW w:type="dxa" w:w="1632"/>
            <w:shd w:fill="D9EAF7"/>
            <w:vAlign w:val="center"/>
          </w:tcPr>
          <w:p>
            <w:pPr>
              <w:jc w:val="center"/>
            </w:pPr>
            <w:r/>
            <w:r>
              <w:rPr>
                <w:rFonts w:ascii="宋体" w:hAnsi="宋体" w:eastAsia="宋体"/>
                <w:b/>
                <w:sz w:val="19"/>
              </w:rPr>
              <w:t>最大偏差 / mg/L</w:t>
            </w:r>
          </w:p>
        </w:tc>
        <w:tc>
          <w:tcPr>
            <w:tcW w:type="dxa" w:w="1632"/>
            <w:shd w:fill="D9EAF7"/>
            <w:vAlign w:val="center"/>
          </w:tcPr>
          <w:p>
            <w:pPr>
              <w:jc w:val="center"/>
            </w:pPr>
            <w:r/>
            <w:r>
              <w:rPr>
                <w:rFonts w:ascii="宋体" w:hAnsi="宋体" w:eastAsia="宋体"/>
                <w:b/>
                <w:sz w:val="19"/>
              </w:rPr>
              <w:t>恢复时间 / s</w:t>
            </w:r>
          </w:p>
        </w:tc>
        <w:tc>
          <w:tcPr>
            <w:tcW w:type="dxa" w:w="1632"/>
            <w:shd w:fill="D9EAF7"/>
            <w:vAlign w:val="center"/>
          </w:tcPr>
          <w:p>
            <w:pPr>
              <w:jc w:val="center"/>
            </w:pPr>
            <w:r/>
            <w:r>
              <w:rPr>
                <w:rFonts w:ascii="宋体" w:hAnsi="宋体" w:eastAsia="宋体"/>
                <w:b/>
                <w:sz w:val="19"/>
              </w:rPr>
              <w:t>IAE</w:t>
            </w:r>
          </w:p>
        </w:tc>
        <w:tc>
          <w:tcPr>
            <w:tcW w:type="dxa" w:w="1632"/>
            <w:shd w:fill="D9EAF7"/>
            <w:vAlign w:val="center"/>
          </w:tcPr>
          <w:p>
            <w:pPr>
              <w:jc w:val="center"/>
            </w:pPr>
            <w:r/>
            <w:r>
              <w:rPr>
                <w:rFonts w:ascii="宋体" w:hAnsi="宋体" w:eastAsia="宋体"/>
                <w:b/>
                <w:sz w:val="19"/>
              </w:rPr>
              <w:t>控制能量</w:t>
            </w:r>
          </w:p>
        </w:tc>
      </w:tr>
      <w:tr>
        <w:tc>
          <w:tcPr>
            <w:tcW w:type="dxa" w:w="1632"/>
            <w:vAlign w:val="center"/>
          </w:tcPr>
          <w:p>
            <w:pPr>
              <w:jc w:val="center"/>
            </w:pPr>
            <w:r/>
            <w:r>
              <w:rPr>
                <w:rFonts w:ascii="宋体" w:hAnsi="宋体" w:eastAsia="宋体"/>
                <w:b w:val="0"/>
                <w:sz w:val="19"/>
              </w:rPr>
              <w:t>串级 PID</w:t>
            </w:r>
          </w:p>
        </w:tc>
        <w:tc>
          <w:tcPr>
            <w:tcW w:type="dxa" w:w="1632"/>
            <w:vAlign w:val="center"/>
          </w:tcPr>
          <w:p>
            <w:pPr>
              <w:jc w:val="center"/>
            </w:pPr>
            <w:r/>
            <w:r>
              <w:rPr>
                <w:rFonts w:ascii="宋体" w:hAnsi="宋体" w:eastAsia="宋体"/>
                <w:b w:val="0"/>
                <w:sz w:val="19"/>
              </w:rPr>
              <w:t>1.777</w:t>
            </w:r>
          </w:p>
        </w:tc>
        <w:tc>
          <w:tcPr>
            <w:tcW w:type="dxa" w:w="1632"/>
            <w:vAlign w:val="center"/>
          </w:tcPr>
          <w:p>
            <w:pPr>
              <w:jc w:val="center"/>
            </w:pPr>
            <w:r/>
            <w:r>
              <w:rPr>
                <w:rFonts w:ascii="宋体" w:hAnsi="宋体" w:eastAsia="宋体"/>
                <w:b w:val="0"/>
                <w:sz w:val="19"/>
              </w:rPr>
              <w:t>0.223</w:t>
            </w:r>
          </w:p>
        </w:tc>
        <w:tc>
          <w:tcPr>
            <w:tcW w:type="dxa" w:w="1632"/>
            <w:vAlign w:val="center"/>
          </w:tcPr>
          <w:p>
            <w:pPr>
              <w:jc w:val="center"/>
            </w:pPr>
            <w:r/>
            <w:r>
              <w:rPr>
                <w:rFonts w:ascii="宋体" w:hAnsi="宋体" w:eastAsia="宋体"/>
                <w:b w:val="0"/>
                <w:sz w:val="19"/>
              </w:rPr>
              <w:t>449.0</w:t>
            </w:r>
          </w:p>
        </w:tc>
        <w:tc>
          <w:tcPr>
            <w:tcW w:type="dxa" w:w="1632"/>
            <w:vAlign w:val="center"/>
          </w:tcPr>
          <w:p>
            <w:pPr>
              <w:jc w:val="center"/>
            </w:pPr>
            <w:r/>
            <w:r>
              <w:rPr>
                <w:rFonts w:ascii="宋体" w:hAnsi="宋体" w:eastAsia="宋体"/>
                <w:b w:val="0"/>
                <w:sz w:val="19"/>
              </w:rPr>
              <w:t>68.29</w:t>
            </w:r>
          </w:p>
        </w:tc>
        <w:tc>
          <w:tcPr>
            <w:tcW w:type="dxa" w:w="1632"/>
            <w:vAlign w:val="center"/>
          </w:tcPr>
          <w:p>
            <w:pPr>
              <w:jc w:val="center"/>
            </w:pPr>
            <w:r/>
            <w:r>
              <w:rPr>
                <w:rFonts w:ascii="宋体" w:hAnsi="宋体" w:eastAsia="宋体"/>
                <w:b w:val="0"/>
                <w:sz w:val="19"/>
              </w:rPr>
              <w:t>645.04</w:t>
            </w:r>
          </w:p>
        </w:tc>
      </w:tr>
      <w:tr>
        <w:tc>
          <w:tcPr>
            <w:tcW w:type="dxa" w:w="1632"/>
            <w:vAlign w:val="center"/>
          </w:tcPr>
          <w:p>
            <w:pPr>
              <w:jc w:val="center"/>
            </w:pPr>
            <w:r/>
            <w:r>
              <w:rPr>
                <w:rFonts w:ascii="宋体" w:hAnsi="宋体" w:eastAsia="宋体"/>
                <w:b w:val="0"/>
                <w:sz w:val="19"/>
              </w:rPr>
              <w:t>普通前馈 + 串级 PID</w:t>
            </w:r>
          </w:p>
        </w:tc>
        <w:tc>
          <w:tcPr>
            <w:tcW w:type="dxa" w:w="1632"/>
            <w:vAlign w:val="center"/>
          </w:tcPr>
          <w:p>
            <w:pPr>
              <w:jc w:val="center"/>
            </w:pPr>
            <w:r/>
            <w:r>
              <w:rPr>
                <w:rFonts w:ascii="宋体" w:hAnsi="宋体" w:eastAsia="宋体"/>
                <w:b w:val="0"/>
                <w:sz w:val="19"/>
              </w:rPr>
              <w:t>1.800</w:t>
            </w:r>
          </w:p>
        </w:tc>
        <w:tc>
          <w:tcPr>
            <w:tcW w:type="dxa" w:w="1632"/>
            <w:vAlign w:val="center"/>
          </w:tcPr>
          <w:p>
            <w:pPr>
              <w:jc w:val="center"/>
            </w:pPr>
            <w:r/>
            <w:r>
              <w:rPr>
                <w:rFonts w:ascii="宋体" w:hAnsi="宋体" w:eastAsia="宋体"/>
                <w:b w:val="0"/>
                <w:sz w:val="19"/>
              </w:rPr>
              <w:t>0.200</w:t>
            </w:r>
          </w:p>
        </w:tc>
        <w:tc>
          <w:tcPr>
            <w:tcW w:type="dxa" w:w="1632"/>
            <w:vAlign w:val="center"/>
          </w:tcPr>
          <w:p>
            <w:pPr>
              <w:jc w:val="center"/>
            </w:pPr>
            <w:r/>
            <w:r>
              <w:rPr>
                <w:rFonts w:ascii="宋体" w:hAnsi="宋体" w:eastAsia="宋体"/>
                <w:b w:val="0"/>
                <w:sz w:val="19"/>
              </w:rPr>
              <w:t>315.0</w:t>
            </w:r>
          </w:p>
        </w:tc>
        <w:tc>
          <w:tcPr>
            <w:tcW w:type="dxa" w:w="1632"/>
            <w:vAlign w:val="center"/>
          </w:tcPr>
          <w:p>
            <w:pPr>
              <w:jc w:val="center"/>
            </w:pPr>
            <w:r/>
            <w:r>
              <w:rPr>
                <w:rFonts w:ascii="宋体" w:hAnsi="宋体" w:eastAsia="宋体"/>
                <w:b w:val="0"/>
                <w:sz w:val="19"/>
              </w:rPr>
              <w:t>61.90</w:t>
            </w:r>
          </w:p>
        </w:tc>
        <w:tc>
          <w:tcPr>
            <w:tcW w:type="dxa" w:w="1632"/>
            <w:vAlign w:val="center"/>
          </w:tcPr>
          <w:p>
            <w:pPr>
              <w:jc w:val="center"/>
            </w:pPr>
            <w:r/>
            <w:r>
              <w:rPr>
                <w:rFonts w:ascii="宋体" w:hAnsi="宋体" w:eastAsia="宋体"/>
                <w:b w:val="0"/>
                <w:sz w:val="19"/>
              </w:rPr>
              <w:t>659.97</w:t>
            </w:r>
          </w:p>
        </w:tc>
      </w:tr>
      <w:tr>
        <w:tc>
          <w:tcPr>
            <w:tcW w:type="dxa" w:w="1632"/>
            <w:vAlign w:val="center"/>
          </w:tcPr>
          <w:p>
            <w:pPr>
              <w:jc w:val="center"/>
            </w:pPr>
            <w:r/>
            <w:r>
              <w:rPr>
                <w:rFonts w:ascii="宋体" w:hAnsi="宋体" w:eastAsia="宋体"/>
                <w:b w:val="0"/>
                <w:sz w:val="19"/>
              </w:rPr>
              <w:t>随机森林前馈 + 串级 PID</w:t>
            </w:r>
          </w:p>
        </w:tc>
        <w:tc>
          <w:tcPr>
            <w:tcW w:type="dxa" w:w="1632"/>
            <w:vAlign w:val="center"/>
          </w:tcPr>
          <w:p>
            <w:pPr>
              <w:jc w:val="center"/>
            </w:pPr>
            <w:r/>
            <w:r>
              <w:rPr>
                <w:rFonts w:ascii="宋体" w:hAnsi="宋体" w:eastAsia="宋体"/>
                <w:b w:val="0"/>
                <w:sz w:val="19"/>
              </w:rPr>
              <w:t>1.827</w:t>
            </w:r>
          </w:p>
        </w:tc>
        <w:tc>
          <w:tcPr>
            <w:tcW w:type="dxa" w:w="1632"/>
            <w:vAlign w:val="center"/>
          </w:tcPr>
          <w:p>
            <w:pPr>
              <w:jc w:val="center"/>
            </w:pPr>
            <w:r/>
            <w:r>
              <w:rPr>
                <w:rFonts w:ascii="宋体" w:hAnsi="宋体" w:eastAsia="宋体"/>
                <w:b w:val="0"/>
                <w:sz w:val="19"/>
              </w:rPr>
              <w:t>0.173</w:t>
            </w:r>
          </w:p>
        </w:tc>
        <w:tc>
          <w:tcPr>
            <w:tcW w:type="dxa" w:w="1632"/>
            <w:vAlign w:val="center"/>
          </w:tcPr>
          <w:p>
            <w:pPr>
              <w:jc w:val="center"/>
            </w:pPr>
            <w:r/>
            <w:r>
              <w:rPr>
                <w:rFonts w:ascii="宋体" w:hAnsi="宋体" w:eastAsia="宋体"/>
                <w:b w:val="0"/>
                <w:sz w:val="19"/>
              </w:rPr>
              <w:t>117.5</w:t>
            </w:r>
          </w:p>
        </w:tc>
        <w:tc>
          <w:tcPr>
            <w:tcW w:type="dxa" w:w="1632"/>
            <w:vAlign w:val="center"/>
          </w:tcPr>
          <w:p>
            <w:pPr>
              <w:jc w:val="center"/>
            </w:pPr>
            <w:r/>
            <w:r>
              <w:rPr>
                <w:rFonts w:ascii="宋体" w:hAnsi="宋体" w:eastAsia="宋体"/>
                <w:b w:val="0"/>
                <w:sz w:val="19"/>
              </w:rPr>
              <w:t>30.25</w:t>
            </w:r>
          </w:p>
        </w:tc>
        <w:tc>
          <w:tcPr>
            <w:tcW w:type="dxa" w:w="1632"/>
            <w:vAlign w:val="center"/>
          </w:tcPr>
          <w:p>
            <w:pPr>
              <w:jc w:val="center"/>
            </w:pPr>
            <w:r/>
            <w:r>
              <w:rPr>
                <w:rFonts w:ascii="宋体" w:hAnsi="宋体" w:eastAsia="宋体"/>
                <w:b w:val="0"/>
                <w:sz w:val="19"/>
              </w:rPr>
              <w:t>671.85</w:t>
            </w:r>
          </w:p>
        </w:tc>
      </w:tr>
    </w:tbl>
    <w:p>
      <w:pPr>
        <w:pStyle w:val="Heading1"/>
      </w:pPr>
      <w:r>
        <w:t>7 结论</w:t>
      </w:r>
    </w:p>
    <w:p>
      <w:pPr>
        <w:spacing w:line="300" w:lineRule="auto"/>
        <w:ind w:firstLine="420"/>
      </w:pPr>
      <w:r>
        <w:rPr>
          <w:rFonts w:ascii="宋体" w:hAnsi="宋体" w:eastAsia="宋体"/>
          <w:sz w:val="21"/>
        </w:rPr>
        <w:t>训练版方法四不是简单手写一个前馈公式，而是通过仿真历史样本训练随机森林软测量模型，并将训练好的模型接入前馈 + 串级 PID 控制结构。仿真结果表明，随机森林前馈能够在污染物浓度测量滞后的情况下更快估计耗氧负荷，从而提前增加供气量。</w:t>
      </w:r>
    </w:p>
    <w:p>
      <w:pPr>
        <w:spacing w:line="300" w:lineRule="auto"/>
        <w:ind w:firstLine="420"/>
      </w:pPr>
      <w:r>
        <w:rPr>
          <w:rFonts w:ascii="宋体" w:hAnsi="宋体" w:eastAsia="宋体"/>
          <w:sz w:val="21"/>
        </w:rPr>
        <w:t>与普通前馈 + 串级 PID 相比，随机森林前馈 + 串级 PID 进一步降低了 DO 最大偏差和 IAE，并显著缩短恢复时间。由于训练数据为仿真构造数据，真实工程应用仍需使用实际 SCADA 历史数据重新训练和验证模型。</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