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color w:val="1F4E79"/>
          <w:sz w:val="40"/>
        </w:rPr>
        <w:t>方法三：普通前馈 + 串级 PID</w:t>
        <w:br/>
        <w:t>污水曝气溶解氧控制仿真实验报告</w:t>
      </w:r>
    </w:p>
    <w:p>
      <w:pPr>
        <w:jc w:val="center"/>
      </w:pPr>
      <w:r>
        <w:rPr>
          <w:rFonts w:ascii="宋体" w:hAnsi="宋体" w:eastAsia="宋体"/>
          <w:color w:val="5A5A5A"/>
          <w:sz w:val="21"/>
        </w:rPr>
        <w:t>过程控制课程仿真实验 | 被控量：溶解氧 DO | 控制对象：污水处理好氧池曝气系统</w:t>
      </w:r>
    </w:p>
    <w:p/>
    <w:p>
      <w:pPr>
        <w:pStyle w:val="Heading1"/>
      </w:pPr>
      <w:r>
        <w:t>1 实验目的</w:t>
      </w:r>
    </w:p>
    <w:p>
      <w:pPr>
        <w:spacing w:line="300" w:lineRule="auto"/>
        <w:ind w:firstLine="420"/>
      </w:pPr>
      <w:r>
        <w:rPr>
          <w:rFonts w:ascii="宋体" w:hAnsi="宋体" w:eastAsia="宋体"/>
          <w:sz w:val="21"/>
        </w:rPr>
        <w:t>本实验针对污水处理好氧池中的曝气溶解氧控制问题，建立普通前馈 + 串级 PID 控制仿真模型。控制目标是在进水流量和污染物浓度发生突变时，维持水体中溶解氧 DO 稳定在 2.0 mg/L 附近，同时避免过度曝气造成能耗增加。</w:t>
      </w:r>
    </w:p>
    <w:p>
      <w:pPr>
        <w:spacing w:line="300" w:lineRule="auto"/>
        <w:ind w:firstLine="420"/>
      </w:pPr>
      <w:r>
        <w:rPr>
          <w:rFonts w:ascii="宋体" w:hAnsi="宋体" w:eastAsia="宋体"/>
          <w:sz w:val="21"/>
        </w:rPr>
        <w:t>方法三在方法二串级 PID 的基础上增加前馈补偿通道。前馈通道根据进水流量和污染物浓度估算耗氧负荷，在 DO 明显下降之前提前提高目标供气量；DO 外环反馈则负责消除前馈模型误差和不可测扰动。</w:t>
      </w:r>
    </w:p>
    <w:p>
      <w:pPr>
        <w:pStyle w:val="Heading1"/>
      </w:pPr>
      <w:r>
        <w:t>2 控制方案与结构</w:t>
      </w:r>
    </w:p>
    <w:p>
      <w:pPr>
        <w:spacing w:line="300" w:lineRule="auto"/>
        <w:ind w:firstLine="420"/>
      </w:pPr>
      <w:r>
        <w:rPr>
          <w:rFonts w:ascii="宋体" w:hAnsi="宋体" w:eastAsia="宋体"/>
          <w:sz w:val="21"/>
        </w:rPr>
        <w:t>方法三采用“普通前馈 + 串级 PID”结构。外环为 DO 控制器，输出供气量反馈修正量；前馈模型根据进水扰动计算基础供气量；内环为供气流量控制器，用于快速调节鼓风机变频指令或空气阀门开度。</w:t>
      </w:r>
    </w:p>
    <w:p>
      <w:pPr>
        <w:pStyle w:val="ListBullet"/>
      </w:pPr>
      <w:r>
        <w:rPr>
          <w:rFonts w:ascii="宋体" w:hAnsi="宋体" w:eastAsia="宋体"/>
          <w:sz w:val="21"/>
        </w:rPr>
        <w:t>前馈输入：进水流量 Q、污染物浓度 C。</w:t>
      </w:r>
    </w:p>
    <w:p>
      <w:pPr>
        <w:pStyle w:val="ListBullet"/>
      </w:pPr>
      <w:r>
        <w:rPr>
          <w:rFonts w:ascii="宋体" w:hAnsi="宋体" w:eastAsia="宋体"/>
          <w:sz w:val="21"/>
        </w:rPr>
        <w:t>前馈输出：估算耗氧负荷对应的前馈供气量 q_ff。</w:t>
      </w:r>
    </w:p>
    <w:p>
      <w:pPr>
        <w:pStyle w:val="ListBullet"/>
      </w:pPr>
      <w:r>
        <w:rPr>
          <w:rFonts w:ascii="宋体" w:hAnsi="宋体" w:eastAsia="宋体"/>
          <w:sz w:val="21"/>
        </w:rPr>
        <w:t>反馈外环：根据 DO 设定值与测量值的偏差进行微调。</w:t>
      </w:r>
    </w:p>
    <w:p>
      <w:pPr>
        <w:pStyle w:val="ListBullet"/>
      </w:pPr>
      <w:r>
        <w:rPr>
          <w:rFonts w:ascii="宋体" w:hAnsi="宋体" w:eastAsia="宋体"/>
          <w:sz w:val="21"/>
        </w:rPr>
        <w:t>反馈内环：根据目标供气量与实际供气量的偏差调节鼓风机或阀门。</w:t>
      </w:r>
    </w:p>
    <w:p>
      <w:pPr>
        <w:jc w:val="center"/>
      </w:pPr>
      <w:r>
        <w:drawing>
          <wp:inline xmlns:a="http://schemas.openxmlformats.org/drawingml/2006/main" xmlns:pic="http://schemas.openxmlformats.org/drawingml/2006/picture">
            <wp:extent cx="6126480" cy="1418764"/>
            <wp:docPr id="1" name="Picture 1"/>
            <wp:cNvGraphicFramePr>
              <a:graphicFrameLocks noChangeAspect="1"/>
            </wp:cNvGraphicFramePr>
            <a:graphic>
              <a:graphicData uri="http://schemas.openxmlformats.org/drawingml/2006/picture">
                <pic:pic>
                  <pic:nvPicPr>
                    <pic:cNvPr id="0" name="do_feedforward_cascade_diagram.png"/>
                    <pic:cNvPicPr/>
                  </pic:nvPicPr>
                  <pic:blipFill>
                    <a:blip r:embed="rId9"/>
                    <a:stretch>
                      <a:fillRect/>
                    </a:stretch>
                  </pic:blipFill>
                  <pic:spPr>
                    <a:xfrm>
                      <a:off x="0" y="0"/>
                      <a:ext cx="6126480" cy="1418764"/>
                    </a:xfrm>
                    <a:prstGeom prst="rect"/>
                  </pic:spPr>
                </pic:pic>
              </a:graphicData>
            </a:graphic>
          </wp:inline>
        </w:drawing>
      </w:r>
    </w:p>
    <w:p>
      <w:pPr>
        <w:jc w:val="center"/>
      </w:pPr>
      <w:r>
        <w:rPr>
          <w:rFonts w:ascii="宋体" w:hAnsi="宋体" w:eastAsia="宋体"/>
          <w:i/>
          <w:sz w:val="18"/>
        </w:rPr>
        <w:t>图1 方法三普通前馈 + 串级 PID Simulink 风格结构框图</w:t>
      </w:r>
    </w:p>
    <w:p>
      <w:pPr>
        <w:pStyle w:val="Heading1"/>
      </w:pPr>
      <w:r>
        <w:t>3 仿真模型</w:t>
      </w:r>
    </w:p>
    <w:p>
      <w:pPr>
        <w:spacing w:line="300" w:lineRule="auto"/>
        <w:ind w:firstLine="420"/>
      </w:pPr>
      <w:r>
        <w:rPr>
          <w:rFonts w:ascii="宋体" w:hAnsi="宋体" w:eastAsia="宋体"/>
          <w:sz w:val="21"/>
        </w:rPr>
        <w:t>供气侧对象采用一阶惯性模型，表示鼓风机或阀门控制指令到实际供气流量的动态过程。DO 主对象采用一阶惯性加纯滞后模型，表示供气进入水体后经过传质、混合和检测延迟再影响 DO 的过程。</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vAlign w:val="center"/>
          </w:tcPr>
          <w:p>
            <w:pPr>
              <w:jc w:val="center"/>
            </w:pPr>
            <w:r/>
            <w:r>
              <w:rPr>
                <w:rFonts w:ascii="宋体" w:hAnsi="宋体" w:eastAsia="宋体"/>
                <w:b/>
                <w:sz w:val="20"/>
              </w:rPr>
              <w:t>对象</w:t>
            </w:r>
          </w:p>
        </w:tc>
        <w:tc>
          <w:tcPr>
            <w:tcW w:type="dxa" w:w="3264"/>
            <w:shd w:fill="D9EAF7"/>
            <w:vAlign w:val="center"/>
          </w:tcPr>
          <w:p>
            <w:pPr>
              <w:jc w:val="center"/>
            </w:pPr>
            <w:r/>
            <w:r>
              <w:rPr>
                <w:rFonts w:ascii="宋体" w:hAnsi="宋体" w:eastAsia="宋体"/>
                <w:b/>
                <w:sz w:val="20"/>
              </w:rPr>
              <w:t>传递函数或模型</w:t>
            </w:r>
          </w:p>
        </w:tc>
        <w:tc>
          <w:tcPr>
            <w:tcW w:type="dxa" w:w="3264"/>
            <w:shd w:fill="D9EAF7"/>
            <w:vAlign w:val="center"/>
          </w:tcPr>
          <w:p>
            <w:pPr>
              <w:jc w:val="center"/>
            </w:pPr>
            <w:r/>
            <w:r>
              <w:rPr>
                <w:rFonts w:ascii="宋体" w:hAnsi="宋体" w:eastAsia="宋体"/>
                <w:b/>
                <w:sz w:val="20"/>
              </w:rPr>
              <w:t>说明</w:t>
            </w:r>
          </w:p>
        </w:tc>
      </w:tr>
      <w:tr>
        <w:tc>
          <w:tcPr>
            <w:tcW w:type="dxa" w:w="3264"/>
            <w:vAlign w:val="center"/>
          </w:tcPr>
          <w:p>
            <w:pPr>
              <w:jc w:val="center"/>
            </w:pPr>
            <w:r/>
            <w:r>
              <w:rPr>
                <w:rFonts w:ascii="宋体" w:hAnsi="宋体" w:eastAsia="宋体"/>
                <w:b w:val="0"/>
                <w:sz w:val="20"/>
              </w:rPr>
              <w:t>供气侧对象 G2</w:t>
            </w:r>
          </w:p>
        </w:tc>
        <w:tc>
          <w:tcPr>
            <w:tcW w:type="dxa" w:w="3264"/>
            <w:vAlign w:val="center"/>
          </w:tcPr>
          <w:p>
            <w:pPr>
              <w:jc w:val="center"/>
            </w:pPr>
            <w:r/>
            <w:r>
              <w:rPr>
                <w:rFonts w:ascii="宋体" w:hAnsi="宋体" w:eastAsia="宋体"/>
                <w:b w:val="0"/>
                <w:sz w:val="20"/>
              </w:rPr>
              <w:t>1 / (15s + 1)</w:t>
            </w:r>
          </w:p>
        </w:tc>
        <w:tc>
          <w:tcPr>
            <w:tcW w:type="dxa" w:w="3264"/>
            <w:vAlign w:val="center"/>
          </w:tcPr>
          <w:p>
            <w:pPr>
              <w:jc w:val="center"/>
            </w:pPr>
            <w:r/>
            <w:r>
              <w:rPr>
                <w:rFonts w:ascii="宋体" w:hAnsi="宋体" w:eastAsia="宋体"/>
                <w:b w:val="0"/>
                <w:sz w:val="20"/>
              </w:rPr>
              <w:t>鼓风机/阀门指令到实际供气流量</w:t>
            </w:r>
          </w:p>
        </w:tc>
      </w:tr>
      <w:tr>
        <w:tc>
          <w:tcPr>
            <w:tcW w:type="dxa" w:w="3264"/>
            <w:vAlign w:val="center"/>
          </w:tcPr>
          <w:p>
            <w:pPr>
              <w:jc w:val="center"/>
            </w:pPr>
            <w:r/>
            <w:r>
              <w:rPr>
                <w:rFonts w:ascii="宋体" w:hAnsi="宋体" w:eastAsia="宋体"/>
                <w:b w:val="0"/>
                <w:sz w:val="20"/>
              </w:rPr>
              <w:t>纯滞后</w:t>
            </w:r>
          </w:p>
        </w:tc>
        <w:tc>
          <w:tcPr>
            <w:tcW w:type="dxa" w:w="3264"/>
            <w:vAlign w:val="center"/>
          </w:tcPr>
          <w:p>
            <w:pPr>
              <w:jc w:val="center"/>
            </w:pPr>
            <w:r/>
            <w:r>
              <w:rPr>
                <w:rFonts w:ascii="宋体" w:hAnsi="宋体" w:eastAsia="宋体"/>
                <w:b w:val="0"/>
                <w:sz w:val="20"/>
              </w:rPr>
              <w:t>exp(-30s)</w:t>
            </w:r>
          </w:p>
        </w:tc>
        <w:tc>
          <w:tcPr>
            <w:tcW w:type="dxa" w:w="3264"/>
            <w:vAlign w:val="center"/>
          </w:tcPr>
          <w:p>
            <w:pPr>
              <w:jc w:val="center"/>
            </w:pPr>
            <w:r/>
            <w:r>
              <w:rPr>
                <w:rFonts w:ascii="宋体" w:hAnsi="宋体" w:eastAsia="宋体"/>
                <w:b w:val="0"/>
                <w:sz w:val="20"/>
              </w:rPr>
              <w:t>供气传质与 DO 测量延迟</w:t>
            </w:r>
          </w:p>
        </w:tc>
      </w:tr>
      <w:tr>
        <w:tc>
          <w:tcPr>
            <w:tcW w:type="dxa" w:w="3264"/>
            <w:vAlign w:val="center"/>
          </w:tcPr>
          <w:p>
            <w:pPr>
              <w:jc w:val="center"/>
            </w:pPr>
            <w:r/>
            <w:r>
              <w:rPr>
                <w:rFonts w:ascii="宋体" w:hAnsi="宋体" w:eastAsia="宋体"/>
                <w:b w:val="0"/>
                <w:sz w:val="20"/>
              </w:rPr>
              <w:t>DO 主对象 G1</w:t>
            </w:r>
          </w:p>
        </w:tc>
        <w:tc>
          <w:tcPr>
            <w:tcW w:type="dxa" w:w="3264"/>
            <w:vAlign w:val="center"/>
          </w:tcPr>
          <w:p>
            <w:pPr>
              <w:jc w:val="center"/>
            </w:pPr>
            <w:r/>
            <w:r>
              <w:rPr>
                <w:rFonts w:ascii="宋体" w:hAnsi="宋体" w:eastAsia="宋体"/>
                <w:b w:val="0"/>
                <w:sz w:val="20"/>
              </w:rPr>
              <w:t>4 / (180s + 1)</w:t>
            </w:r>
          </w:p>
        </w:tc>
        <w:tc>
          <w:tcPr>
            <w:tcW w:type="dxa" w:w="3264"/>
            <w:vAlign w:val="center"/>
          </w:tcPr>
          <w:p>
            <w:pPr>
              <w:jc w:val="center"/>
            </w:pPr>
            <w:r/>
            <w:r>
              <w:rPr>
                <w:rFonts w:ascii="宋体" w:hAnsi="宋体" w:eastAsia="宋体"/>
                <w:b w:val="0"/>
                <w:sz w:val="20"/>
              </w:rPr>
              <w:t>供气流量到 DO 的主动态</w:t>
            </w:r>
          </w:p>
        </w:tc>
      </w:tr>
      <w:tr>
        <w:tc>
          <w:tcPr>
            <w:tcW w:type="dxa" w:w="3264"/>
            <w:vAlign w:val="center"/>
          </w:tcPr>
          <w:p>
            <w:pPr>
              <w:jc w:val="center"/>
            </w:pPr>
            <w:r/>
            <w:r>
              <w:rPr>
                <w:rFonts w:ascii="宋体" w:hAnsi="宋体" w:eastAsia="宋体"/>
                <w:b w:val="0"/>
                <w:sz w:val="20"/>
              </w:rPr>
              <w:t>DO 设定值</w:t>
            </w:r>
          </w:p>
        </w:tc>
        <w:tc>
          <w:tcPr>
            <w:tcW w:type="dxa" w:w="3264"/>
            <w:vAlign w:val="center"/>
          </w:tcPr>
          <w:p>
            <w:pPr>
              <w:jc w:val="center"/>
            </w:pPr>
            <w:r/>
            <w:r>
              <w:rPr>
                <w:rFonts w:ascii="宋体" w:hAnsi="宋体" w:eastAsia="宋体"/>
                <w:b w:val="0"/>
                <w:sz w:val="20"/>
              </w:rPr>
              <w:t>2.0 mg/L</w:t>
            </w:r>
          </w:p>
        </w:tc>
        <w:tc>
          <w:tcPr>
            <w:tcW w:type="dxa" w:w="3264"/>
            <w:vAlign w:val="center"/>
          </w:tcPr>
          <w:p>
            <w:pPr>
              <w:jc w:val="center"/>
            </w:pPr>
            <w:r/>
            <w:r>
              <w:rPr>
                <w:rFonts w:ascii="宋体" w:hAnsi="宋体" w:eastAsia="宋体"/>
                <w:b w:val="0"/>
                <w:sz w:val="20"/>
              </w:rPr>
              <w:t>好氧池典型控制目标</w:t>
            </w:r>
          </w:p>
        </w:tc>
      </w:tr>
    </w:tbl>
    <w:p>
      <w:pPr>
        <w:pStyle w:val="Heading1"/>
      </w:pPr>
      <w:r>
        <w:t>4 前馈扰动模型</w:t>
      </w:r>
    </w:p>
    <w:p>
      <w:pPr>
        <w:spacing w:line="300" w:lineRule="auto"/>
        <w:ind w:firstLine="420"/>
      </w:pPr>
      <w:r>
        <w:rPr>
          <w:rFonts w:ascii="宋体" w:hAnsi="宋体" w:eastAsia="宋体"/>
          <w:sz w:val="21"/>
        </w:rPr>
        <w:t>进水扰动在 t = 1200 s 时加入，进水流量由 1.00 增加到 1.20，污染物浓度由 1.00 增加到 1.40。真实耗氧负荷与前馈估算模型故意设置为不完全一致，用于体现普通前馈存在模型误差。</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center"/>
          </w:tcPr>
          <w:p>
            <w:pPr>
              <w:jc w:val="center"/>
            </w:pPr>
            <w:r/>
            <w:r>
              <w:rPr>
                <w:rFonts w:ascii="宋体" w:hAnsi="宋体" w:eastAsia="宋体"/>
                <w:b/>
                <w:sz w:val="20"/>
              </w:rPr>
              <w:t>变量</w:t>
            </w:r>
          </w:p>
        </w:tc>
        <w:tc>
          <w:tcPr>
            <w:tcW w:type="dxa" w:w="2448"/>
            <w:shd w:fill="D9EAF7"/>
            <w:vAlign w:val="center"/>
          </w:tcPr>
          <w:p>
            <w:pPr>
              <w:jc w:val="center"/>
            </w:pPr>
            <w:r/>
            <w:r>
              <w:rPr>
                <w:rFonts w:ascii="宋体" w:hAnsi="宋体" w:eastAsia="宋体"/>
                <w:b/>
                <w:sz w:val="20"/>
              </w:rPr>
              <w:t>初值</w:t>
            </w:r>
          </w:p>
        </w:tc>
        <w:tc>
          <w:tcPr>
            <w:tcW w:type="dxa" w:w="2448"/>
            <w:shd w:fill="D9EAF7"/>
            <w:vAlign w:val="center"/>
          </w:tcPr>
          <w:p>
            <w:pPr>
              <w:jc w:val="center"/>
            </w:pPr>
            <w:r/>
            <w:r>
              <w:rPr>
                <w:rFonts w:ascii="宋体" w:hAnsi="宋体" w:eastAsia="宋体"/>
                <w:b/>
                <w:sz w:val="20"/>
              </w:rPr>
              <w:t>阶跃后</w:t>
            </w:r>
          </w:p>
        </w:tc>
        <w:tc>
          <w:tcPr>
            <w:tcW w:type="dxa" w:w="2448"/>
            <w:shd w:fill="D9EAF7"/>
            <w:vAlign w:val="center"/>
          </w:tcPr>
          <w:p>
            <w:pPr>
              <w:jc w:val="center"/>
            </w:pPr>
            <w:r/>
            <w:r>
              <w:rPr>
                <w:rFonts w:ascii="宋体" w:hAnsi="宋体" w:eastAsia="宋体"/>
                <w:b/>
                <w:sz w:val="20"/>
              </w:rPr>
              <w:t>含义</w:t>
            </w:r>
          </w:p>
        </w:tc>
      </w:tr>
      <w:tr>
        <w:tc>
          <w:tcPr>
            <w:tcW w:type="dxa" w:w="2448"/>
            <w:vAlign w:val="center"/>
          </w:tcPr>
          <w:p>
            <w:pPr>
              <w:jc w:val="center"/>
            </w:pPr>
            <w:r/>
            <w:r>
              <w:rPr>
                <w:rFonts w:ascii="宋体" w:hAnsi="宋体" w:eastAsia="宋体"/>
                <w:b w:val="0"/>
                <w:sz w:val="20"/>
              </w:rPr>
              <w:t>Q</w:t>
            </w:r>
          </w:p>
        </w:tc>
        <w:tc>
          <w:tcPr>
            <w:tcW w:type="dxa" w:w="2448"/>
            <w:vAlign w:val="center"/>
          </w:tcPr>
          <w:p>
            <w:pPr>
              <w:jc w:val="center"/>
            </w:pPr>
            <w:r/>
            <w:r>
              <w:rPr>
                <w:rFonts w:ascii="宋体" w:hAnsi="宋体" w:eastAsia="宋体"/>
                <w:b w:val="0"/>
                <w:sz w:val="20"/>
              </w:rPr>
              <w:t>1.00</w:t>
            </w:r>
          </w:p>
        </w:tc>
        <w:tc>
          <w:tcPr>
            <w:tcW w:type="dxa" w:w="2448"/>
            <w:vAlign w:val="center"/>
          </w:tcPr>
          <w:p>
            <w:pPr>
              <w:jc w:val="center"/>
            </w:pPr>
            <w:r/>
            <w:r>
              <w:rPr>
                <w:rFonts w:ascii="宋体" w:hAnsi="宋体" w:eastAsia="宋体"/>
                <w:b w:val="0"/>
                <w:sz w:val="20"/>
              </w:rPr>
              <w:t>1.20</w:t>
            </w:r>
          </w:p>
        </w:tc>
        <w:tc>
          <w:tcPr>
            <w:tcW w:type="dxa" w:w="2448"/>
            <w:vAlign w:val="center"/>
          </w:tcPr>
          <w:p>
            <w:pPr>
              <w:jc w:val="center"/>
            </w:pPr>
            <w:r/>
            <w:r>
              <w:rPr>
                <w:rFonts w:ascii="宋体" w:hAnsi="宋体" w:eastAsia="宋体"/>
                <w:b w:val="0"/>
                <w:sz w:val="20"/>
              </w:rPr>
              <w:t>归一化进水流量</w:t>
            </w:r>
          </w:p>
        </w:tc>
      </w:tr>
      <w:tr>
        <w:tc>
          <w:tcPr>
            <w:tcW w:type="dxa" w:w="2448"/>
            <w:vAlign w:val="center"/>
          </w:tcPr>
          <w:p>
            <w:pPr>
              <w:jc w:val="center"/>
            </w:pPr>
            <w:r/>
            <w:r>
              <w:rPr>
                <w:rFonts w:ascii="宋体" w:hAnsi="宋体" w:eastAsia="宋体"/>
                <w:b w:val="0"/>
                <w:sz w:val="20"/>
              </w:rPr>
              <w:t>C</w:t>
            </w:r>
          </w:p>
        </w:tc>
        <w:tc>
          <w:tcPr>
            <w:tcW w:type="dxa" w:w="2448"/>
            <w:vAlign w:val="center"/>
          </w:tcPr>
          <w:p>
            <w:pPr>
              <w:jc w:val="center"/>
            </w:pPr>
            <w:r/>
            <w:r>
              <w:rPr>
                <w:rFonts w:ascii="宋体" w:hAnsi="宋体" w:eastAsia="宋体"/>
                <w:b w:val="0"/>
                <w:sz w:val="20"/>
              </w:rPr>
              <w:t>1.00</w:t>
            </w:r>
          </w:p>
        </w:tc>
        <w:tc>
          <w:tcPr>
            <w:tcW w:type="dxa" w:w="2448"/>
            <w:vAlign w:val="center"/>
          </w:tcPr>
          <w:p>
            <w:pPr>
              <w:jc w:val="center"/>
            </w:pPr>
            <w:r/>
            <w:r>
              <w:rPr>
                <w:rFonts w:ascii="宋体" w:hAnsi="宋体" w:eastAsia="宋体"/>
                <w:b w:val="0"/>
                <w:sz w:val="20"/>
              </w:rPr>
              <w:t>1.40</w:t>
            </w:r>
          </w:p>
        </w:tc>
        <w:tc>
          <w:tcPr>
            <w:tcW w:type="dxa" w:w="2448"/>
            <w:vAlign w:val="center"/>
          </w:tcPr>
          <w:p>
            <w:pPr>
              <w:jc w:val="center"/>
            </w:pPr>
            <w:r/>
            <w:r>
              <w:rPr>
                <w:rFonts w:ascii="宋体" w:hAnsi="宋体" w:eastAsia="宋体"/>
                <w:b w:val="0"/>
                <w:sz w:val="20"/>
              </w:rPr>
              <w:t>归一化污染物浓度</w:t>
            </w:r>
          </w:p>
        </w:tc>
      </w:tr>
      <w:tr>
        <w:tc>
          <w:tcPr>
            <w:tcW w:type="dxa" w:w="2448"/>
            <w:vAlign w:val="center"/>
          </w:tcPr>
          <w:p>
            <w:pPr>
              <w:jc w:val="center"/>
            </w:pPr>
            <w:r/>
            <w:r>
              <w:rPr>
                <w:rFonts w:ascii="宋体" w:hAnsi="宋体" w:eastAsia="宋体"/>
                <w:b w:val="0"/>
                <w:sz w:val="20"/>
              </w:rPr>
              <w:t>d_load</w:t>
            </w:r>
          </w:p>
        </w:tc>
        <w:tc>
          <w:tcPr>
            <w:tcW w:type="dxa" w:w="2448"/>
            <w:vAlign w:val="center"/>
          </w:tcPr>
          <w:p>
            <w:pPr>
              <w:jc w:val="center"/>
            </w:pPr>
            <w:r/>
            <w:r>
              <w:rPr>
                <w:rFonts w:ascii="宋体" w:hAnsi="宋体" w:eastAsia="宋体"/>
                <w:b w:val="0"/>
                <w:sz w:val="20"/>
              </w:rPr>
              <w:t>0</w:t>
            </w:r>
          </w:p>
        </w:tc>
        <w:tc>
          <w:tcPr>
            <w:tcW w:type="dxa" w:w="2448"/>
            <w:vAlign w:val="center"/>
          </w:tcPr>
          <w:p>
            <w:pPr>
              <w:jc w:val="center"/>
            </w:pPr>
            <w:r/>
            <w:r>
              <w:rPr>
                <w:rFonts w:ascii="宋体" w:hAnsi="宋体" w:eastAsia="宋体"/>
                <w:b w:val="0"/>
                <w:sz w:val="20"/>
              </w:rPr>
              <w:t>负向扰动</w:t>
            </w:r>
          </w:p>
        </w:tc>
        <w:tc>
          <w:tcPr>
            <w:tcW w:type="dxa" w:w="2448"/>
            <w:vAlign w:val="center"/>
          </w:tcPr>
          <w:p>
            <w:pPr>
              <w:jc w:val="center"/>
            </w:pPr>
            <w:r/>
            <w:r>
              <w:rPr>
                <w:rFonts w:ascii="宋体" w:hAnsi="宋体" w:eastAsia="宋体"/>
                <w:b w:val="0"/>
                <w:sz w:val="20"/>
              </w:rPr>
              <w:t>耗氧增加导致 DO 下降</w:t>
            </w:r>
          </w:p>
        </w:tc>
      </w:tr>
    </w:tbl>
    <w:p>
      <w:pPr>
        <w:spacing w:line="300" w:lineRule="auto"/>
        <w:ind w:firstLine="420"/>
      </w:pPr>
      <w:r>
        <w:rPr>
          <w:rFonts w:ascii="宋体" w:hAnsi="宋体" w:eastAsia="宋体"/>
          <w:sz w:val="21"/>
        </w:rPr>
        <w:t>真实耗氧负荷模型为：d_load = -[1.20(Q-Q0) + 1.60(C-C0)]。前馈估算模型为：q_ff = q_base + [1.05(Q_meas-Q0) + 1.35(C_meas-C0)] / 4，其中 q_base = 0.5。</w:t>
      </w:r>
    </w:p>
    <w:p>
      <w:pPr>
        <w:pStyle w:val="Heading1"/>
      </w:pPr>
      <w:r>
        <w:t>5 仿真参数与运行环境</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pPr>
              <w:jc w:val="center"/>
            </w:pPr>
            <w:r/>
            <w:r>
              <w:rPr>
                <w:rFonts w:ascii="宋体" w:hAnsi="宋体" w:eastAsia="宋体"/>
                <w:b/>
                <w:sz w:val="20"/>
              </w:rPr>
              <w:t>参数</w:t>
            </w:r>
          </w:p>
        </w:tc>
        <w:tc>
          <w:tcPr>
            <w:tcW w:type="dxa" w:w="4896"/>
            <w:shd w:fill="D9EAF7"/>
            <w:vAlign w:val="center"/>
          </w:tcPr>
          <w:p>
            <w:pPr>
              <w:jc w:val="center"/>
            </w:pPr>
            <w:r/>
            <w:r>
              <w:rPr>
                <w:rFonts w:ascii="宋体" w:hAnsi="宋体" w:eastAsia="宋体"/>
                <w:b/>
                <w:sz w:val="20"/>
              </w:rPr>
              <w:t>数值</w:t>
            </w:r>
          </w:p>
        </w:tc>
      </w:tr>
      <w:tr>
        <w:tc>
          <w:tcPr>
            <w:tcW w:type="dxa" w:w="4896"/>
            <w:vAlign w:val="center"/>
          </w:tcPr>
          <w:p>
            <w:pPr>
              <w:jc w:val="center"/>
            </w:pPr>
            <w:r/>
            <w:r>
              <w:rPr>
                <w:rFonts w:ascii="宋体" w:hAnsi="宋体" w:eastAsia="宋体"/>
                <w:b w:val="0"/>
                <w:sz w:val="20"/>
              </w:rPr>
              <w:t>仿真时间</w:t>
            </w:r>
          </w:p>
        </w:tc>
        <w:tc>
          <w:tcPr>
            <w:tcW w:type="dxa" w:w="4896"/>
            <w:vAlign w:val="center"/>
          </w:tcPr>
          <w:p>
            <w:pPr>
              <w:jc w:val="center"/>
            </w:pPr>
            <w:r/>
            <w:r>
              <w:rPr>
                <w:rFonts w:ascii="宋体" w:hAnsi="宋体" w:eastAsia="宋体"/>
                <w:b w:val="0"/>
                <w:sz w:val="20"/>
              </w:rPr>
              <w:t>2400 s</w:t>
            </w:r>
          </w:p>
        </w:tc>
      </w:tr>
      <w:tr>
        <w:tc>
          <w:tcPr>
            <w:tcW w:type="dxa" w:w="4896"/>
            <w:vAlign w:val="center"/>
          </w:tcPr>
          <w:p>
            <w:pPr>
              <w:jc w:val="center"/>
            </w:pPr>
            <w:r/>
            <w:r>
              <w:rPr>
                <w:rFonts w:ascii="宋体" w:hAnsi="宋体" w:eastAsia="宋体"/>
                <w:b w:val="0"/>
                <w:sz w:val="20"/>
              </w:rPr>
              <w:t>采样步长</w:t>
            </w:r>
          </w:p>
        </w:tc>
        <w:tc>
          <w:tcPr>
            <w:tcW w:type="dxa" w:w="4896"/>
            <w:vAlign w:val="center"/>
          </w:tcPr>
          <w:p>
            <w:pPr>
              <w:jc w:val="center"/>
            </w:pPr>
            <w:r/>
            <w:r>
              <w:rPr>
                <w:rFonts w:ascii="宋体" w:hAnsi="宋体" w:eastAsia="宋体"/>
                <w:b w:val="0"/>
                <w:sz w:val="20"/>
              </w:rPr>
              <w:t>0.5 s</w:t>
            </w:r>
          </w:p>
        </w:tc>
      </w:tr>
      <w:tr>
        <w:tc>
          <w:tcPr>
            <w:tcW w:type="dxa" w:w="4896"/>
            <w:vAlign w:val="center"/>
          </w:tcPr>
          <w:p>
            <w:pPr>
              <w:jc w:val="center"/>
            </w:pPr>
            <w:r/>
            <w:r>
              <w:rPr>
                <w:rFonts w:ascii="宋体" w:hAnsi="宋体" w:eastAsia="宋体"/>
                <w:b w:val="0"/>
                <w:sz w:val="20"/>
              </w:rPr>
              <w:t>扰动加入时刻</w:t>
            </w:r>
          </w:p>
        </w:tc>
        <w:tc>
          <w:tcPr>
            <w:tcW w:type="dxa" w:w="4896"/>
            <w:vAlign w:val="center"/>
          </w:tcPr>
          <w:p>
            <w:pPr>
              <w:jc w:val="center"/>
            </w:pPr>
            <w:r/>
            <w:r>
              <w:rPr>
                <w:rFonts w:ascii="宋体" w:hAnsi="宋体" w:eastAsia="宋体"/>
                <w:b w:val="0"/>
                <w:sz w:val="20"/>
              </w:rPr>
              <w:t>1200 s</w:t>
            </w:r>
          </w:p>
        </w:tc>
      </w:tr>
      <w:tr>
        <w:tc>
          <w:tcPr>
            <w:tcW w:type="dxa" w:w="4896"/>
            <w:vAlign w:val="center"/>
          </w:tcPr>
          <w:p>
            <w:pPr>
              <w:jc w:val="center"/>
            </w:pPr>
            <w:r/>
            <w:r>
              <w:rPr>
                <w:rFonts w:ascii="宋体" w:hAnsi="宋体" w:eastAsia="宋体"/>
                <w:b w:val="0"/>
                <w:sz w:val="20"/>
              </w:rPr>
              <w:t>供气流量对象时间常数</w:t>
            </w:r>
          </w:p>
        </w:tc>
        <w:tc>
          <w:tcPr>
            <w:tcW w:type="dxa" w:w="4896"/>
            <w:vAlign w:val="center"/>
          </w:tcPr>
          <w:p>
            <w:pPr>
              <w:jc w:val="center"/>
            </w:pPr>
            <w:r/>
            <w:r>
              <w:rPr>
                <w:rFonts w:ascii="宋体" w:hAnsi="宋体" w:eastAsia="宋体"/>
                <w:b w:val="0"/>
                <w:sz w:val="20"/>
              </w:rPr>
              <w:t>15 s</w:t>
            </w:r>
          </w:p>
        </w:tc>
      </w:tr>
      <w:tr>
        <w:tc>
          <w:tcPr>
            <w:tcW w:type="dxa" w:w="4896"/>
            <w:vAlign w:val="center"/>
          </w:tcPr>
          <w:p>
            <w:pPr>
              <w:jc w:val="center"/>
            </w:pPr>
            <w:r/>
            <w:r>
              <w:rPr>
                <w:rFonts w:ascii="宋体" w:hAnsi="宋体" w:eastAsia="宋体"/>
                <w:b w:val="0"/>
                <w:sz w:val="20"/>
              </w:rPr>
              <w:t>DO 对象时间常数</w:t>
            </w:r>
          </w:p>
        </w:tc>
        <w:tc>
          <w:tcPr>
            <w:tcW w:type="dxa" w:w="4896"/>
            <w:vAlign w:val="center"/>
          </w:tcPr>
          <w:p>
            <w:pPr>
              <w:jc w:val="center"/>
            </w:pPr>
            <w:r/>
            <w:r>
              <w:rPr>
                <w:rFonts w:ascii="宋体" w:hAnsi="宋体" w:eastAsia="宋体"/>
                <w:b w:val="0"/>
                <w:sz w:val="20"/>
              </w:rPr>
              <w:t>180 s</w:t>
            </w:r>
          </w:p>
        </w:tc>
      </w:tr>
      <w:tr>
        <w:tc>
          <w:tcPr>
            <w:tcW w:type="dxa" w:w="4896"/>
            <w:vAlign w:val="center"/>
          </w:tcPr>
          <w:p>
            <w:pPr>
              <w:jc w:val="center"/>
            </w:pPr>
            <w:r/>
            <w:r>
              <w:rPr>
                <w:rFonts w:ascii="宋体" w:hAnsi="宋体" w:eastAsia="宋体"/>
                <w:b w:val="0"/>
                <w:sz w:val="20"/>
              </w:rPr>
              <w:t>纯滞后时间</w:t>
            </w:r>
          </w:p>
        </w:tc>
        <w:tc>
          <w:tcPr>
            <w:tcW w:type="dxa" w:w="4896"/>
            <w:vAlign w:val="center"/>
          </w:tcPr>
          <w:p>
            <w:pPr>
              <w:jc w:val="center"/>
            </w:pPr>
            <w:r/>
            <w:r>
              <w:rPr>
                <w:rFonts w:ascii="宋体" w:hAnsi="宋体" w:eastAsia="宋体"/>
                <w:b w:val="0"/>
                <w:sz w:val="20"/>
              </w:rPr>
              <w:t>30 s</w:t>
            </w:r>
          </w:p>
        </w:tc>
      </w:tr>
      <w:tr>
        <w:tc>
          <w:tcPr>
            <w:tcW w:type="dxa" w:w="4896"/>
            <w:vAlign w:val="center"/>
          </w:tcPr>
          <w:p>
            <w:pPr>
              <w:jc w:val="center"/>
            </w:pPr>
            <w:r/>
            <w:r>
              <w:rPr>
                <w:rFonts w:ascii="宋体" w:hAnsi="宋体" w:eastAsia="宋体"/>
                <w:b w:val="0"/>
                <w:sz w:val="20"/>
              </w:rPr>
              <w:t>鼓风机指令范围</w:t>
            </w:r>
          </w:p>
        </w:tc>
        <w:tc>
          <w:tcPr>
            <w:tcW w:type="dxa" w:w="4896"/>
            <w:vAlign w:val="center"/>
          </w:tcPr>
          <w:p>
            <w:pPr>
              <w:jc w:val="center"/>
            </w:pPr>
            <w:r/>
            <w:r>
              <w:rPr>
                <w:rFonts w:ascii="宋体" w:hAnsi="宋体" w:eastAsia="宋体"/>
                <w:b w:val="0"/>
                <w:sz w:val="20"/>
              </w:rPr>
              <w:t>0 到 1</w:t>
            </w:r>
          </w:p>
        </w:tc>
      </w:tr>
    </w:tbl>
    <w:p>
      <w:pPr>
        <w:spacing w:line="300" w:lineRule="auto"/>
        <w:ind w:firstLine="420"/>
      </w:pPr>
      <w:r>
        <w:rPr>
          <w:rFonts w:ascii="宋体" w:hAnsi="宋体" w:eastAsia="宋体"/>
          <w:sz w:val="21"/>
        </w:rPr>
        <w:t>本报告对应的仿真程序包括 Python 版本和 MATLAB 版本。Python 脚本为 python/sim_method3_feedforward_cascade.py，MATLAB 脚本为 matlab/sim_method3_feedforward_cascade.m，二者采用相同模型和参数。</w:t>
      </w:r>
    </w:p>
    <w:p>
      <w:pPr>
        <w:pStyle w:val="Heading1"/>
      </w:pPr>
      <w:r>
        <w:t>6 仿真结果与图像分析</w:t>
      </w:r>
    </w:p>
    <w:p>
      <w:pPr>
        <w:jc w:val="center"/>
      </w:pPr>
      <w:r>
        <w:drawing>
          <wp:inline xmlns:a="http://schemas.openxmlformats.org/drawingml/2006/main" xmlns:pic="http://schemas.openxmlformats.org/drawingml/2006/picture">
            <wp:extent cx="5760720" cy="3229909"/>
            <wp:docPr id="2" name="Picture 2"/>
            <wp:cNvGraphicFramePr>
              <a:graphicFrameLocks noChangeAspect="1"/>
            </wp:cNvGraphicFramePr>
            <a:graphic>
              <a:graphicData uri="http://schemas.openxmlformats.org/drawingml/2006/picture">
                <pic:pic>
                  <pic:nvPicPr>
                    <pic:cNvPr id="0" name="method3_fig1_do_disturbance_response.png"/>
                    <pic:cNvPicPr/>
                  </pic:nvPicPr>
                  <pic:blipFill>
                    <a:blip r:embed="rId10"/>
                    <a:stretch>
                      <a:fillRect/>
                    </a:stretch>
                  </pic:blipFill>
                  <pic:spPr>
                    <a:xfrm>
                      <a:off x="0" y="0"/>
                      <a:ext cx="5760720" cy="3229909"/>
                    </a:xfrm>
                    <a:prstGeom prst="rect"/>
                  </pic:spPr>
                </pic:pic>
              </a:graphicData>
            </a:graphic>
          </wp:inline>
        </w:drawing>
      </w:r>
    </w:p>
    <w:p>
      <w:pPr>
        <w:jc w:val="center"/>
      </w:pPr>
      <w:r>
        <w:rPr>
          <w:rFonts w:ascii="宋体" w:hAnsi="宋体" w:eastAsia="宋体"/>
          <w:i/>
          <w:sz w:val="18"/>
        </w:rPr>
        <w:t>图2 进水负荷阶跃扰动下的 DO 响应</w:t>
      </w:r>
    </w:p>
    <w:p>
      <w:pPr>
        <w:spacing w:line="300" w:lineRule="auto"/>
        <w:ind w:firstLine="420"/>
      </w:pPr>
      <w:r>
        <w:rPr>
          <w:rFonts w:ascii="宋体" w:hAnsi="宋体" w:eastAsia="宋体"/>
          <w:sz w:val="21"/>
        </w:rPr>
        <w:t>图2是方法三的核心结果。进水负荷突增后，普通串级 PID 的 DO 下跌较深且恢复较慢；普通前馈 + 串级 PID 能提前提高供气量，因此 DO 最低值更高，恢复到设定值附近的时间更短。</w:t>
      </w:r>
    </w:p>
    <w:p>
      <w:pPr>
        <w:jc w:val="center"/>
      </w:pPr>
      <w:r>
        <w:drawing>
          <wp:inline xmlns:a="http://schemas.openxmlformats.org/drawingml/2006/main" xmlns:pic="http://schemas.openxmlformats.org/drawingml/2006/picture">
            <wp:extent cx="5760720" cy="3229909"/>
            <wp:docPr id="3" name="Picture 3"/>
            <wp:cNvGraphicFramePr>
              <a:graphicFrameLocks noChangeAspect="1"/>
            </wp:cNvGraphicFramePr>
            <a:graphic>
              <a:graphicData uri="http://schemas.openxmlformats.org/drawingml/2006/picture">
                <pic:pic>
                  <pic:nvPicPr>
                    <pic:cNvPr id="0" name="method3_fig2_air_setpoint.png"/>
                    <pic:cNvPicPr/>
                  </pic:nvPicPr>
                  <pic:blipFill>
                    <a:blip r:embed="rId11"/>
                    <a:stretch>
                      <a:fillRect/>
                    </a:stretch>
                  </pic:blipFill>
                  <pic:spPr>
                    <a:xfrm>
                      <a:off x="0" y="0"/>
                      <a:ext cx="5760720" cy="3229909"/>
                    </a:xfrm>
                    <a:prstGeom prst="rect"/>
                  </pic:spPr>
                </pic:pic>
              </a:graphicData>
            </a:graphic>
          </wp:inline>
        </w:drawing>
      </w:r>
    </w:p>
    <w:p>
      <w:pPr>
        <w:jc w:val="center"/>
      </w:pPr>
      <w:r>
        <w:rPr>
          <w:rFonts w:ascii="宋体" w:hAnsi="宋体" w:eastAsia="宋体"/>
          <w:i/>
          <w:sz w:val="18"/>
        </w:rPr>
        <w:t>图3 目标供气量信号对比</w:t>
      </w:r>
    </w:p>
    <w:p>
      <w:pPr>
        <w:spacing w:line="300" w:lineRule="auto"/>
        <w:ind w:firstLine="420"/>
      </w:pPr>
      <w:r>
        <w:rPr>
          <w:rFonts w:ascii="宋体" w:hAnsi="宋体" w:eastAsia="宋体"/>
          <w:sz w:val="21"/>
        </w:rPr>
        <w:t>图3表明，普通串级 PID 的目标供气量主要由 DO 偏差反馈产生，因此变化滞后。加入前馈后，系统在检测到进水流量和污染物浓度升高时，直接提高目标供气量，实现提前补偿。</w:t>
      </w:r>
    </w:p>
    <w:p>
      <w:pPr>
        <w:jc w:val="center"/>
      </w:pPr>
      <w:r>
        <w:drawing>
          <wp:inline xmlns:a="http://schemas.openxmlformats.org/drawingml/2006/main" xmlns:pic="http://schemas.openxmlformats.org/drawingml/2006/picture">
            <wp:extent cx="5669280" cy="4842910"/>
            <wp:docPr id="4" name="Picture 4"/>
            <wp:cNvGraphicFramePr>
              <a:graphicFrameLocks noChangeAspect="1"/>
            </wp:cNvGraphicFramePr>
            <a:graphic>
              <a:graphicData uri="http://schemas.openxmlformats.org/drawingml/2006/picture">
                <pic:pic>
                  <pic:nvPicPr>
                    <pic:cNvPr id="0" name="method3_fig3_feedforward_signals.png"/>
                    <pic:cNvPicPr/>
                  </pic:nvPicPr>
                  <pic:blipFill>
                    <a:blip r:embed="rId12"/>
                    <a:stretch>
                      <a:fillRect/>
                    </a:stretch>
                  </pic:blipFill>
                  <pic:spPr>
                    <a:xfrm>
                      <a:off x="0" y="0"/>
                      <a:ext cx="5669280" cy="4842910"/>
                    </a:xfrm>
                    <a:prstGeom prst="rect"/>
                  </pic:spPr>
                </pic:pic>
              </a:graphicData>
            </a:graphic>
          </wp:inline>
        </w:drawing>
      </w:r>
    </w:p>
    <w:p>
      <w:pPr>
        <w:jc w:val="center"/>
      </w:pPr>
      <w:r>
        <w:rPr>
          <w:rFonts w:ascii="宋体" w:hAnsi="宋体" w:eastAsia="宋体"/>
          <w:i/>
          <w:sz w:val="18"/>
        </w:rPr>
        <w:t>图4 前馈输入与前馈输出信号</w:t>
      </w:r>
    </w:p>
    <w:p>
      <w:pPr>
        <w:spacing w:line="300" w:lineRule="auto"/>
        <w:ind w:firstLine="420"/>
      </w:pPr>
      <w:r>
        <w:rPr>
          <w:rFonts w:ascii="宋体" w:hAnsi="宋体" w:eastAsia="宋体"/>
          <w:sz w:val="21"/>
        </w:rPr>
        <w:t>图4展示了前馈补偿的来源。进水流量和污染物浓度阶跃上升后，前馈模型计算得到的供气量同步上升，说明控制器将耗氧端扰动转换成了供气端补偿。</w:t>
      </w:r>
    </w:p>
    <w:p>
      <w:pPr>
        <w:jc w:val="center"/>
      </w:pPr>
      <w:r>
        <w:drawing>
          <wp:inline xmlns:a="http://schemas.openxmlformats.org/drawingml/2006/main" xmlns:pic="http://schemas.openxmlformats.org/drawingml/2006/picture">
            <wp:extent cx="5760720" cy="3229909"/>
            <wp:docPr id="5" name="Picture 5"/>
            <wp:cNvGraphicFramePr>
              <a:graphicFrameLocks noChangeAspect="1"/>
            </wp:cNvGraphicFramePr>
            <a:graphic>
              <a:graphicData uri="http://schemas.openxmlformats.org/drawingml/2006/picture">
                <pic:pic>
                  <pic:nvPicPr>
                    <pic:cNvPr id="0" name="method3_fig4_control_signal.png"/>
                    <pic:cNvPicPr/>
                  </pic:nvPicPr>
                  <pic:blipFill>
                    <a:blip r:embed="rId13"/>
                    <a:stretch>
                      <a:fillRect/>
                    </a:stretch>
                  </pic:blipFill>
                  <pic:spPr>
                    <a:xfrm>
                      <a:off x="0" y="0"/>
                      <a:ext cx="5760720" cy="3229909"/>
                    </a:xfrm>
                    <a:prstGeom prst="rect"/>
                  </pic:spPr>
                </pic:pic>
              </a:graphicData>
            </a:graphic>
          </wp:inline>
        </w:drawing>
      </w:r>
    </w:p>
    <w:p>
      <w:pPr>
        <w:jc w:val="center"/>
      </w:pPr>
      <w:r>
        <w:rPr>
          <w:rFonts w:ascii="宋体" w:hAnsi="宋体" w:eastAsia="宋体"/>
          <w:i/>
          <w:sz w:val="18"/>
        </w:rPr>
        <w:t>图5 鼓风机控制指令对比</w:t>
      </w:r>
    </w:p>
    <w:p>
      <w:pPr>
        <w:spacing w:line="300" w:lineRule="auto"/>
        <w:ind w:firstLine="420"/>
      </w:pPr>
      <w:r>
        <w:rPr>
          <w:rFonts w:ascii="宋体" w:hAnsi="宋体" w:eastAsia="宋体"/>
          <w:sz w:val="21"/>
        </w:rPr>
        <w:t>图5说明前馈 + 串级 PID 在扰动初期控制指令更快上升，鼓风机提前加大输出。这种策略用短时间内略高的供气量换取更小的 DO 偏差和更快的恢复速度。</w:t>
      </w:r>
    </w:p>
    <w:p>
      <w:pPr>
        <w:jc w:val="center"/>
      </w:pPr>
      <w:r>
        <w:drawing>
          <wp:inline xmlns:a="http://schemas.openxmlformats.org/drawingml/2006/main" xmlns:pic="http://schemas.openxmlformats.org/drawingml/2006/picture">
            <wp:extent cx="5760720" cy="3229909"/>
            <wp:docPr id="6" name="Picture 6"/>
            <wp:cNvGraphicFramePr>
              <a:graphicFrameLocks noChangeAspect="1"/>
            </wp:cNvGraphicFramePr>
            <a:graphic>
              <a:graphicData uri="http://schemas.openxmlformats.org/drawingml/2006/picture">
                <pic:pic>
                  <pic:nvPicPr>
                    <pic:cNvPr id="0" name="method3_fig5_cascade_inner_loop.png"/>
                    <pic:cNvPicPr/>
                  </pic:nvPicPr>
                  <pic:blipFill>
                    <a:blip r:embed="rId14"/>
                    <a:stretch>
                      <a:fillRect/>
                    </a:stretch>
                  </pic:blipFill>
                  <pic:spPr>
                    <a:xfrm>
                      <a:off x="0" y="0"/>
                      <a:ext cx="5760720" cy="3229909"/>
                    </a:xfrm>
                    <a:prstGeom prst="rect"/>
                  </pic:spPr>
                </pic:pic>
              </a:graphicData>
            </a:graphic>
          </wp:inline>
        </w:drawing>
      </w:r>
    </w:p>
    <w:p>
      <w:pPr>
        <w:jc w:val="center"/>
      </w:pPr>
      <w:r>
        <w:rPr>
          <w:rFonts w:ascii="宋体" w:hAnsi="宋体" w:eastAsia="宋体"/>
          <w:i/>
          <w:sz w:val="18"/>
        </w:rPr>
        <w:t>图6 供气流量内环跟踪效果</w:t>
      </w:r>
    </w:p>
    <w:p>
      <w:pPr>
        <w:spacing w:line="300" w:lineRule="auto"/>
        <w:ind w:firstLine="420"/>
      </w:pPr>
      <w:r>
        <w:rPr>
          <w:rFonts w:ascii="宋体" w:hAnsi="宋体" w:eastAsia="宋体"/>
          <w:sz w:val="21"/>
        </w:rPr>
        <w:t>图6反映供气流量内环的跟踪能力。前馈通道提高目标供气量后，内环 PID 快速调节鼓风机或阀门，使实际供气量跟随目标值变化。</w:t>
      </w:r>
    </w:p>
    <w:p>
      <w:pPr>
        <w:jc w:val="center"/>
      </w:pPr>
      <w:r>
        <w:drawing>
          <wp:inline xmlns:a="http://schemas.openxmlformats.org/drawingml/2006/main" xmlns:pic="http://schemas.openxmlformats.org/drawingml/2006/picture">
            <wp:extent cx="5760720" cy="4499220"/>
            <wp:docPr id="7" name="Picture 7"/>
            <wp:cNvGraphicFramePr>
              <a:graphicFrameLocks noChangeAspect="1"/>
            </wp:cNvGraphicFramePr>
            <a:graphic>
              <a:graphicData uri="http://schemas.openxmlformats.org/drawingml/2006/picture">
                <pic:pic>
                  <pic:nvPicPr>
                    <pic:cNvPr id="0" name="method3_fig6_load_disturbance.png"/>
                    <pic:cNvPicPr/>
                  </pic:nvPicPr>
                  <pic:blipFill>
                    <a:blip r:embed="rId15"/>
                    <a:stretch>
                      <a:fillRect/>
                    </a:stretch>
                  </pic:blipFill>
                  <pic:spPr>
                    <a:xfrm>
                      <a:off x="0" y="0"/>
                      <a:ext cx="5760720" cy="4499220"/>
                    </a:xfrm>
                    <a:prstGeom prst="rect"/>
                  </pic:spPr>
                </pic:pic>
              </a:graphicData>
            </a:graphic>
          </wp:inline>
        </w:drawing>
      </w:r>
    </w:p>
    <w:p>
      <w:pPr>
        <w:jc w:val="center"/>
      </w:pPr>
      <w:r>
        <w:rPr>
          <w:rFonts w:ascii="宋体" w:hAnsi="宋体" w:eastAsia="宋体"/>
          <w:i/>
          <w:sz w:val="18"/>
        </w:rPr>
        <w:t>图7 进水耗氧负荷扰动及来源</w:t>
      </w:r>
    </w:p>
    <w:p>
      <w:pPr>
        <w:spacing w:line="300" w:lineRule="auto"/>
        <w:ind w:firstLine="420"/>
      </w:pPr>
      <w:r>
        <w:rPr>
          <w:rFonts w:ascii="宋体" w:hAnsi="宋体" w:eastAsia="宋体"/>
          <w:sz w:val="21"/>
        </w:rPr>
        <w:t>图7给出了扰动工况。进水流量和污染物浓度同时升高，导致耗氧负荷增加。上半图中的负向扰动表示该扰动会消耗更多氧气，使 DO 产生下降趋势。</w:t>
      </w:r>
    </w:p>
    <w:p>
      <w:pPr>
        <w:jc w:val="center"/>
      </w:pPr>
      <w:r>
        <w:drawing>
          <wp:inline xmlns:a="http://schemas.openxmlformats.org/drawingml/2006/main" xmlns:pic="http://schemas.openxmlformats.org/drawingml/2006/picture">
            <wp:extent cx="5760720" cy="2631483"/>
            <wp:docPr id="8" name="Picture 8"/>
            <wp:cNvGraphicFramePr>
              <a:graphicFrameLocks noChangeAspect="1"/>
            </wp:cNvGraphicFramePr>
            <a:graphic>
              <a:graphicData uri="http://schemas.openxmlformats.org/drawingml/2006/picture">
                <pic:pic>
                  <pic:nvPicPr>
                    <pic:cNvPr id="0" name="method3_fig7_performance_bar.png"/>
                    <pic:cNvPicPr/>
                  </pic:nvPicPr>
                  <pic:blipFill>
                    <a:blip r:embed="rId16"/>
                    <a:stretch>
                      <a:fillRect/>
                    </a:stretch>
                  </pic:blipFill>
                  <pic:spPr>
                    <a:xfrm>
                      <a:off x="0" y="0"/>
                      <a:ext cx="5760720" cy="2631483"/>
                    </a:xfrm>
                    <a:prstGeom prst="rect"/>
                  </pic:spPr>
                </pic:pic>
              </a:graphicData>
            </a:graphic>
          </wp:inline>
        </w:drawing>
      </w:r>
    </w:p>
    <w:p>
      <w:pPr>
        <w:jc w:val="center"/>
      </w:pPr>
      <w:r>
        <w:rPr>
          <w:rFonts w:ascii="宋体" w:hAnsi="宋体" w:eastAsia="宋体"/>
          <w:i/>
          <w:sz w:val="18"/>
        </w:rPr>
        <w:t>图8 抗扰动性能指标对比</w:t>
      </w:r>
    </w:p>
    <w:p>
      <w:pPr>
        <w:spacing w:line="300" w:lineRule="auto"/>
        <w:ind w:firstLine="420"/>
      </w:pPr>
      <w:r>
        <w:rPr>
          <w:rFonts w:ascii="宋体" w:hAnsi="宋体" w:eastAsia="宋体"/>
          <w:sz w:val="21"/>
        </w:rPr>
        <w:t>图8将最大偏差、恢复时间、IAE 和控制能量进行对比。前馈 + 串级 PID 的最大偏差、恢复时间和 IAE 均低于普通串级 PID，说明其抗扰动能力更强；控制能量略高，体现了提前供氧带来的能耗代价。</w:t>
      </w:r>
    </w:p>
    <w:p>
      <w:pPr>
        <w:pStyle w:val="Heading1"/>
      </w:pPr>
      <w:r>
        <w:t>7 定量指标对比</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D9EAF7"/>
            <w:vAlign w:val="center"/>
          </w:tcPr>
          <w:p>
            <w:pPr>
              <w:jc w:val="center"/>
            </w:pPr>
            <w:r/>
            <w:r>
              <w:rPr>
                <w:rFonts w:ascii="宋体" w:hAnsi="宋体" w:eastAsia="宋体"/>
                <w:b/>
                <w:sz w:val="20"/>
              </w:rPr>
              <w:t>控制方法</w:t>
            </w:r>
          </w:p>
        </w:tc>
        <w:tc>
          <w:tcPr>
            <w:tcW w:type="dxa" w:w="1632"/>
            <w:shd w:fill="D9EAF7"/>
            <w:vAlign w:val="center"/>
          </w:tcPr>
          <w:p>
            <w:pPr>
              <w:jc w:val="center"/>
            </w:pPr>
            <w:r/>
            <w:r>
              <w:rPr>
                <w:rFonts w:ascii="宋体" w:hAnsi="宋体" w:eastAsia="宋体"/>
                <w:b/>
                <w:sz w:val="20"/>
              </w:rPr>
              <w:t>最低 DO / mg/L</w:t>
            </w:r>
          </w:p>
        </w:tc>
        <w:tc>
          <w:tcPr>
            <w:tcW w:type="dxa" w:w="1632"/>
            <w:shd w:fill="D9EAF7"/>
            <w:vAlign w:val="center"/>
          </w:tcPr>
          <w:p>
            <w:pPr>
              <w:jc w:val="center"/>
            </w:pPr>
            <w:r/>
            <w:r>
              <w:rPr>
                <w:rFonts w:ascii="宋体" w:hAnsi="宋体" w:eastAsia="宋体"/>
                <w:b/>
                <w:sz w:val="20"/>
              </w:rPr>
              <w:t>最大偏差 / mg/L</w:t>
            </w:r>
          </w:p>
        </w:tc>
        <w:tc>
          <w:tcPr>
            <w:tcW w:type="dxa" w:w="1632"/>
            <w:shd w:fill="D9EAF7"/>
            <w:vAlign w:val="center"/>
          </w:tcPr>
          <w:p>
            <w:pPr>
              <w:jc w:val="center"/>
            </w:pPr>
            <w:r/>
            <w:r>
              <w:rPr>
                <w:rFonts w:ascii="宋体" w:hAnsi="宋体" w:eastAsia="宋体"/>
                <w:b/>
                <w:sz w:val="20"/>
              </w:rPr>
              <w:t>恢复时间 / s</w:t>
            </w:r>
          </w:p>
        </w:tc>
        <w:tc>
          <w:tcPr>
            <w:tcW w:type="dxa" w:w="1632"/>
            <w:shd w:fill="D9EAF7"/>
            <w:vAlign w:val="center"/>
          </w:tcPr>
          <w:p>
            <w:pPr>
              <w:jc w:val="center"/>
            </w:pPr>
            <w:r/>
            <w:r>
              <w:rPr>
                <w:rFonts w:ascii="宋体" w:hAnsi="宋体" w:eastAsia="宋体"/>
                <w:b/>
                <w:sz w:val="20"/>
              </w:rPr>
              <w:t>IAE</w:t>
            </w:r>
          </w:p>
        </w:tc>
        <w:tc>
          <w:tcPr>
            <w:tcW w:type="dxa" w:w="1632"/>
            <w:shd w:fill="D9EAF7"/>
            <w:vAlign w:val="center"/>
          </w:tcPr>
          <w:p>
            <w:pPr>
              <w:jc w:val="center"/>
            </w:pPr>
            <w:r/>
            <w:r>
              <w:rPr>
                <w:rFonts w:ascii="宋体" w:hAnsi="宋体" w:eastAsia="宋体"/>
                <w:b/>
                <w:sz w:val="20"/>
              </w:rPr>
              <w:t>控制能量</w:t>
            </w:r>
          </w:p>
        </w:tc>
      </w:tr>
      <w:tr>
        <w:tc>
          <w:tcPr>
            <w:tcW w:type="dxa" w:w="1632"/>
            <w:vAlign w:val="center"/>
          </w:tcPr>
          <w:p>
            <w:pPr>
              <w:jc w:val="center"/>
            </w:pPr>
            <w:r/>
            <w:r>
              <w:rPr>
                <w:rFonts w:ascii="宋体" w:hAnsi="宋体" w:eastAsia="宋体"/>
                <w:b w:val="0"/>
                <w:sz w:val="20"/>
              </w:rPr>
              <w:t>串级 PID</w:t>
            </w:r>
          </w:p>
        </w:tc>
        <w:tc>
          <w:tcPr>
            <w:tcW w:type="dxa" w:w="1632"/>
            <w:vAlign w:val="center"/>
          </w:tcPr>
          <w:p>
            <w:pPr>
              <w:jc w:val="center"/>
            </w:pPr>
            <w:r/>
            <w:r>
              <w:rPr>
                <w:rFonts w:ascii="宋体" w:hAnsi="宋体" w:eastAsia="宋体"/>
                <w:b w:val="0"/>
                <w:sz w:val="20"/>
              </w:rPr>
              <w:t>1.783</w:t>
            </w:r>
          </w:p>
        </w:tc>
        <w:tc>
          <w:tcPr>
            <w:tcW w:type="dxa" w:w="1632"/>
            <w:vAlign w:val="center"/>
          </w:tcPr>
          <w:p>
            <w:pPr>
              <w:jc w:val="center"/>
            </w:pPr>
            <w:r/>
            <w:r>
              <w:rPr>
                <w:rFonts w:ascii="宋体" w:hAnsi="宋体" w:eastAsia="宋体"/>
                <w:b w:val="0"/>
                <w:sz w:val="20"/>
              </w:rPr>
              <w:t>0.217</w:t>
            </w:r>
          </w:p>
        </w:tc>
        <w:tc>
          <w:tcPr>
            <w:tcW w:type="dxa" w:w="1632"/>
            <w:vAlign w:val="center"/>
          </w:tcPr>
          <w:p>
            <w:pPr>
              <w:jc w:val="center"/>
            </w:pPr>
            <w:r/>
            <w:r>
              <w:rPr>
                <w:rFonts w:ascii="宋体" w:hAnsi="宋体" w:eastAsia="宋体"/>
                <w:b w:val="0"/>
                <w:sz w:val="20"/>
              </w:rPr>
              <w:t>448.5</w:t>
            </w:r>
          </w:p>
        </w:tc>
        <w:tc>
          <w:tcPr>
            <w:tcW w:type="dxa" w:w="1632"/>
            <w:vAlign w:val="center"/>
          </w:tcPr>
          <w:p>
            <w:pPr>
              <w:jc w:val="center"/>
            </w:pPr>
            <w:r/>
            <w:r>
              <w:rPr>
                <w:rFonts w:ascii="宋体" w:hAnsi="宋体" w:eastAsia="宋体"/>
                <w:b w:val="0"/>
                <w:sz w:val="20"/>
              </w:rPr>
              <w:t>66.79</w:t>
            </w:r>
          </w:p>
        </w:tc>
        <w:tc>
          <w:tcPr>
            <w:tcW w:type="dxa" w:w="1632"/>
            <w:vAlign w:val="center"/>
          </w:tcPr>
          <w:p>
            <w:pPr>
              <w:jc w:val="center"/>
            </w:pPr>
            <w:r/>
            <w:r>
              <w:rPr>
                <w:rFonts w:ascii="宋体" w:hAnsi="宋体" w:eastAsia="宋体"/>
                <w:b w:val="0"/>
                <w:sz w:val="20"/>
              </w:rPr>
              <w:t>613.42</w:t>
            </w:r>
          </w:p>
        </w:tc>
      </w:tr>
      <w:tr>
        <w:tc>
          <w:tcPr>
            <w:tcW w:type="dxa" w:w="1632"/>
            <w:vAlign w:val="center"/>
          </w:tcPr>
          <w:p>
            <w:pPr>
              <w:jc w:val="center"/>
            </w:pPr>
            <w:r/>
            <w:r>
              <w:rPr>
                <w:rFonts w:ascii="宋体" w:hAnsi="宋体" w:eastAsia="宋体"/>
                <w:b w:val="0"/>
                <w:sz w:val="20"/>
              </w:rPr>
              <w:t>普通前馈 + 串级 PID</w:t>
            </w:r>
          </w:p>
        </w:tc>
        <w:tc>
          <w:tcPr>
            <w:tcW w:type="dxa" w:w="1632"/>
            <w:vAlign w:val="center"/>
          </w:tcPr>
          <w:p>
            <w:pPr>
              <w:jc w:val="center"/>
            </w:pPr>
            <w:r/>
            <w:r>
              <w:rPr>
                <w:rFonts w:ascii="宋体" w:hAnsi="宋体" w:eastAsia="宋体"/>
                <w:b w:val="0"/>
                <w:sz w:val="20"/>
              </w:rPr>
              <w:t>1.818</w:t>
            </w:r>
          </w:p>
        </w:tc>
        <w:tc>
          <w:tcPr>
            <w:tcW w:type="dxa" w:w="1632"/>
            <w:vAlign w:val="center"/>
          </w:tcPr>
          <w:p>
            <w:pPr>
              <w:jc w:val="center"/>
            </w:pPr>
            <w:r/>
            <w:r>
              <w:rPr>
                <w:rFonts w:ascii="宋体" w:hAnsi="宋体" w:eastAsia="宋体"/>
                <w:b w:val="0"/>
                <w:sz w:val="20"/>
              </w:rPr>
              <w:t>0.182</w:t>
            </w:r>
          </w:p>
        </w:tc>
        <w:tc>
          <w:tcPr>
            <w:tcW w:type="dxa" w:w="1632"/>
            <w:vAlign w:val="center"/>
          </w:tcPr>
          <w:p>
            <w:pPr>
              <w:jc w:val="center"/>
            </w:pPr>
            <w:r/>
            <w:r>
              <w:rPr>
                <w:rFonts w:ascii="宋体" w:hAnsi="宋体" w:eastAsia="宋体"/>
                <w:b w:val="0"/>
                <w:sz w:val="20"/>
              </w:rPr>
              <w:t>240.0</w:t>
            </w:r>
          </w:p>
        </w:tc>
        <w:tc>
          <w:tcPr>
            <w:tcW w:type="dxa" w:w="1632"/>
            <w:vAlign w:val="center"/>
          </w:tcPr>
          <w:p>
            <w:pPr>
              <w:jc w:val="center"/>
            </w:pPr>
            <w:r/>
            <w:r>
              <w:rPr>
                <w:rFonts w:ascii="宋体" w:hAnsi="宋体" w:eastAsia="宋体"/>
                <w:b w:val="0"/>
                <w:sz w:val="20"/>
              </w:rPr>
              <w:t>36.48</w:t>
            </w:r>
          </w:p>
        </w:tc>
        <w:tc>
          <w:tcPr>
            <w:tcW w:type="dxa" w:w="1632"/>
            <w:vAlign w:val="center"/>
          </w:tcPr>
          <w:p>
            <w:pPr>
              <w:jc w:val="center"/>
            </w:pPr>
            <w:r/>
            <w:r>
              <w:rPr>
                <w:rFonts w:ascii="宋体" w:hAnsi="宋体" w:eastAsia="宋体"/>
                <w:b w:val="0"/>
                <w:sz w:val="20"/>
              </w:rPr>
              <w:t>628.32</w:t>
            </w:r>
          </w:p>
        </w:tc>
      </w:tr>
    </w:tbl>
    <w:p>
      <w:pPr>
        <w:spacing w:line="300" w:lineRule="auto"/>
        <w:ind w:firstLine="420"/>
      </w:pPr>
      <w:r>
        <w:rPr>
          <w:rFonts w:ascii="宋体" w:hAnsi="宋体" w:eastAsia="宋体"/>
          <w:sz w:val="21"/>
        </w:rPr>
        <w:t>从定量指标看，普通前馈 + 串级 PID 将最大 DO 偏差由 0.217 mg/L 降低至 0.182 mg/L，将恢复时间由 448.5 s 缩短至 240.0 s，IAE 由 66.79 降低至 36.48。说明该方法能够显著改善进水负荷扰动下的动态性能。</w:t>
      </w:r>
    </w:p>
    <w:p>
      <w:pPr>
        <w:pStyle w:val="Heading1"/>
      </w:pPr>
      <w:r>
        <w:t>8 结论</w:t>
      </w:r>
    </w:p>
    <w:p>
      <w:pPr>
        <w:spacing w:line="300" w:lineRule="auto"/>
        <w:ind w:firstLine="420"/>
      </w:pPr>
      <w:r>
        <w:rPr>
          <w:rFonts w:ascii="宋体" w:hAnsi="宋体" w:eastAsia="宋体"/>
          <w:sz w:val="21"/>
        </w:rPr>
        <w:t>方法三普通前馈 + 串级 PID 在串级控制基础上引入进水侧扰动补偿，能够在 DO 明显下降前提前增加目标供气量，使供气流量内环提前动作。与单纯串级 PID 相比，该方法具有更小的 DO 下跌幅度、更短的恢复时间和更低的累积误差。</w:t>
      </w:r>
    </w:p>
    <w:p>
      <w:pPr>
        <w:spacing w:line="300" w:lineRule="auto"/>
        <w:ind w:firstLine="420"/>
      </w:pPr>
      <w:r>
        <w:rPr>
          <w:rFonts w:ascii="宋体" w:hAnsi="宋体" w:eastAsia="宋体"/>
          <w:sz w:val="21"/>
        </w:rPr>
        <w:t>由于前馈模型难以完全准确，且在线测量存在滤波和滞后，前馈控制不能单独替代反馈控制。因此，保留 DO 外环反馈是必要的。总体来看，普通前馈 + 串级 PID 适合用于进水流量和污染物浓度可以在线测量或估算的污水处理曝气系统。</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