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trHeight w:val="6200"/>
        </w:trPr>
        <w:tc>
          <w:tcPr>
            <w:shd w:val="clear" w:color="auto" w:fill="1f3a7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500" w:type="dxa"/>
              <w:top w:w="300" w:type="dxa"/>
              <w:right w:w="500" w:type="dxa"/>
              <w:bottom w:w="300" w:type="dxa"/>
            </w:tcMar>
            <w:tcW w:w="9638" w:type="dxa"/>
            <w:vAlign w:val="center"/>
          </w:tcPr>
          <w:p>
            <w:pPr>
              <w:pBdr/>
              <w:spacing w:after="240"/>
              <w:ind/>
              <w:rPr/>
            </w:pPr>
            <w:r>
              <w:rPr>
                <w:b/>
                <w:bCs/>
                <w:color w:val="f4b6b1"/>
                <w:spacing w:val="60"/>
                <w:sz w:val="26"/>
                <w:szCs w:val="26"/>
              </w:rPr>
              <w:t xml:space="preserve">Tarea Corta 2 – Investigación Gateways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Documento de Evidencia</w:t>
            </w:r>
            <w:r/>
          </w:p>
          <w:p>
            <w:pPr>
              <w:pBdr/>
              <w:spacing w:after="240"/>
              <w:ind/>
              <w:rPr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de Ejecución</w:t>
            </w:r>
            <w:r/>
          </w:p>
          <w:p>
            <w:pPr>
              <w:pBdr/>
              <w:spacing/>
              <w:ind/>
              <w:rPr/>
            </w:pPr>
            <w:r>
              <w:rPr>
                <w:color w:val="ffffff"/>
                <w:sz w:val="30"/>
                <w:szCs w:val="30"/>
              </w:rPr>
              <w:t xml:space="preserve">Microservicios REST y API Gateway</w:t>
            </w:r>
            <w:r/>
          </w:p>
        </w:tc>
      </w:tr>
    </w:tbl>
    <w:p w14:paraId="07BBE0F9" w14:textId="77777777">
      <w:pPr>
        <w:pBdr>
          <w:bottom w:val="single" w:color="ee4036" w:sz="36" w:space="1"/>
        </w:pBdr>
        <w:spacing w:after="480"/>
        <w:ind/>
        <w:jc w:val="right"/>
        <w:rPr/>
      </w:pPr>
      <w:r/>
      <w:r/>
    </w:p>
    <w:p w14:paraId="4DB2710B" w14:textId="77777777">
      <w:pPr>
        <w:pBdr/>
        <w:spacing w:after="100"/>
        <w:ind/>
        <w:rPr/>
      </w:pPr>
      <w:r>
        <w:rPr>
          <w:b/>
          <w:bCs/>
          <w:color w:val="1f3a70"/>
          <w:sz w:val="40"/>
          <w:szCs w:val="40"/>
        </w:rPr>
        <w:t xml:space="preserve">Programación V</w:t>
      </w:r>
      <w:r/>
    </w:p>
    <w:p w14:paraId="51A7A2DD" w14:textId="77777777">
      <w:pPr>
        <w:pBdr/>
        <w:spacing w:after="100"/>
        <w:ind/>
        <w:rPr/>
      </w:pPr>
      <w:r>
        <w:rPr>
          <w:color w:val="333333"/>
          <w:sz w:val="30"/>
          <w:szCs w:val="30"/>
        </w:rPr>
        <w:t xml:space="preserve">Colegio Universitario de Cartago</w:t>
      </w:r>
      <w:r/>
    </w:p>
    <w:p w14:paraId="271FD965" w14:textId="77777777">
      <w:pPr>
        <w:pBdr/>
        <w:spacing w:after="700"/>
        <w:ind/>
        <w:rPr/>
      </w:pPr>
      <w:r>
        <w:rPr>
          <w:color w:val="333333"/>
          <w:sz w:val="26"/>
          <w:szCs w:val="26"/>
        </w:rPr>
        <w:t xml:space="preserve">Prof. Ing. Gabriel González Solano</w:t>
      </w:r>
      <w:r/>
    </w:p>
    <w:p w14:paraId="0BE3BAC1" w14:textId="77777777">
      <w:pPr>
        <w:pBdr/>
        <w:spacing w:after="80"/>
        <w:ind/>
        <w:rPr/>
      </w:pPr>
      <w:r>
        <w:rPr>
          <w:b/>
          <w:bCs/>
          <w:color w:val="1f3a70"/>
          <w:sz w:val="24"/>
          <w:szCs w:val="24"/>
        </w:rPr>
        <w:t xml:space="preserve">Grupo: </w:t>
      </w:r>
      <w:r>
        <w:rPr>
          <w:b/>
          <w:bCs/>
          <w:color w:val="1f3a70"/>
          <w:sz w:val="24"/>
          <w:szCs w:val="24"/>
          <w:lang w:val="es-US"/>
        </w:rPr>
        <w:t xml:space="preserve">Akatsukis</w:t>
      </w:r>
      <w:r/>
    </w:p>
    <w:p w14:paraId="3A804765" w14:textId="77777777">
      <w:pPr>
        <w:pBdr/>
        <w:spacing w:after="60"/>
        <w:ind/>
        <w:rPr/>
      </w:pPr>
      <w:r>
        <w:rPr>
          <w:sz w:val="24"/>
          <w:szCs w:val="24"/>
        </w:rPr>
        <w:t xml:space="preserve">Sebastián Jiménez Arrieta</w:t>
      </w:r>
      <w:r/>
    </w:p>
    <w:p w14:paraId="663FB9E4" w14:textId="77777777">
      <w:pPr>
        <w:pBdr/>
        <w:spacing w:after="60"/>
        <w:ind/>
        <w:rPr/>
      </w:pPr>
      <w:r>
        <w:rPr>
          <w:sz w:val="24"/>
          <w:szCs w:val="24"/>
          <w:lang w:val="es-US"/>
        </w:rPr>
        <w:t xml:space="preserve">Brandon Steve Guido Navarro</w:t>
      </w:r>
      <w:r/>
    </w:p>
    <w:p w14:paraId="35CB559E" w14:textId="77777777">
      <w:pPr>
        <w:pBdr/>
        <w:spacing w:after="60"/>
        <w:ind/>
        <w:rPr>
          <w:sz w:val="24"/>
          <w:szCs w:val="24"/>
          <w:lang w:val="es-US"/>
        </w:rPr>
      </w:pPr>
      <w:r>
        <w:rPr>
          <w:sz w:val="24"/>
          <w:szCs w:val="24"/>
          <w:lang w:val="es-US"/>
        </w:rPr>
        <w:t xml:space="preserve">Sebastián Obando Ramírez</w:t>
      </w:r>
      <w:r>
        <w:rPr>
          <w:sz w:val="24"/>
          <w:szCs w:val="24"/>
          <w:lang w:val="es-US"/>
        </w:rPr>
      </w:r>
    </w:p>
    <w:p w14:paraId="54A0568E" w14:textId="77777777">
      <w:pPr>
        <w:pBdr/>
        <w:spacing w:after="60"/>
        <w:ind/>
        <w:rPr>
          <w:sz w:val="24"/>
          <w:szCs w:val="24"/>
          <w:lang w:val="es-US"/>
        </w:rPr>
      </w:pPr>
      <w:r>
        <w:rPr>
          <w:sz w:val="24"/>
          <w:szCs w:val="24"/>
          <w:lang w:val="es-US"/>
        </w:rPr>
        <w:t xml:space="preserve">Julián Solano Obando</w:t>
      </w:r>
      <w:r>
        <w:rPr>
          <w:sz w:val="24"/>
          <w:szCs w:val="24"/>
          <w:lang w:val="es-US"/>
        </w:rPr>
      </w:r>
    </w:p>
    <w:p w14:paraId="26255C5B" w14:textId="77777777">
      <w:pPr>
        <w:pBdr/>
        <w:spacing w:after="60"/>
        <w:ind/>
        <w:rPr>
          <w:sz w:val="24"/>
          <w:szCs w:val="24"/>
        </w:rPr>
      </w:pPr>
      <w:r>
        <w:rPr>
          <w:sz w:val="24"/>
          <w:szCs w:val="24"/>
          <w:lang w:val="es-US"/>
        </w:rPr>
        <w:t xml:space="preserve">Anthony Emmanuel Gamboa Elizondo</w:t>
      </w:r>
      <w:r>
        <w:rPr>
          <w:sz w:val="24"/>
          <w:szCs w:val="24"/>
        </w:rPr>
      </w:r>
    </w:p>
    <w:p w14:paraId="0254CF93" w14:textId="77777777">
      <w:pPr>
        <w:pBdr/>
        <w:spacing w:after="40" w:before="1300"/>
        <w:ind/>
        <w:rPr/>
      </w:pPr>
      <w:r>
        <w:rPr>
          <w:color w:val="333333"/>
          <w:sz w:val="24"/>
          <w:szCs w:val="24"/>
        </w:rPr>
        <w:t xml:space="preserve">Cartago, Costa Rica</w:t>
      </w:r>
      <w:r/>
    </w:p>
    <w:p w14:paraId="0AABFCF1" w14:textId="77777777">
      <w:pPr>
        <w:pBdr/>
        <w:spacing/>
        <w:ind/>
        <w:rPr/>
      </w:pPr>
      <w:r>
        <w:rPr>
          <w:color w:val="333333"/>
          <w:sz w:val="24"/>
          <w:szCs w:val="24"/>
        </w:rPr>
        <w:t xml:space="preserve">2026</w:t>
      </w:r>
      <w:r/>
    </w:p>
    <w:p>
      <w:pPr>
        <w:pStyle w:val="918"/>
        <w:pageBreakBefore w:val="true"/>
        <w:pBdr/>
        <w:spacing/>
        <w:ind/>
        <w:rPr/>
      </w:pPr>
      <w:r>
        <w:t xml:space="preserve">Tabla de contenido</w:t>
      </w:r>
      <w:r/>
    </w:p>
    <w:p>
      <w:pPr>
        <w:pStyle w:val="920"/>
        <w:pBdr/>
        <w:spacing/>
        <w:ind/>
        <w:rPr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tooltip="#_Toc1" w:anchor="_Toc1" w:history="1">
        <w:r>
          <w:rPr>
            <w:rStyle w:val="911"/>
          </w:rPr>
          <w:t xml:space="preserve">Propósito y alcance de la evidencia</w:t>
        </w:r>
        <w:r>
          <w:tab/>
        </w:r>
        <w:r>
          <w:fldChar w:fldCharType="begin"/>
        </w:r>
        <w:r>
          <w:instrText xml:space="preserve">PAGEREF _Toc1 \h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>
      <w:pPr>
        <w:pStyle w:val="920"/>
        <w:pBdr/>
        <w:spacing/>
        <w:ind/>
        <w:rPr/>
      </w:pPr>
      <w:r/>
      <w:hyperlink w:tooltip="#_Toc2" w:anchor="_Toc2" w:history="1">
        <w:r>
          <w:rPr>
            <w:rStyle w:val="911"/>
          </w:rPr>
          <w:t xml:space="preserve">Servicio A – Catálogo / Productos</w:t>
        </w:r>
        <w:r>
          <w:tab/>
        </w:r>
        <w:r>
          <w:fldChar w:fldCharType="begin"/>
        </w:r>
        <w:r>
          <w:instrText xml:space="preserve">PAGEREF _Toc2 \h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>
      <w:pPr>
        <w:pStyle w:val="921"/>
        <w:pBdr/>
        <w:spacing/>
        <w:ind/>
        <w:rPr/>
      </w:pPr>
      <w:r/>
      <w:hyperlink w:tooltip="#_Toc3" w:anchor="_Toc3" w:history="1">
        <w:r>
          <w:rPr>
            <w:rStyle w:val="911"/>
          </w:rPr>
          <w:t xml:space="preserve">PRD1 – Administración de productos</w:t>
        </w:r>
        <w:r>
          <w:tab/>
        </w:r>
        <w:r>
          <w:fldChar w:fldCharType="begin"/>
        </w:r>
        <w:r>
          <w:instrText xml:space="preserve">PAGEREF _Toc3 \h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>
      <w:pPr>
        <w:pStyle w:val="921"/>
        <w:pBdr/>
        <w:spacing/>
        <w:ind/>
        <w:rPr/>
      </w:pPr>
      <w:r/>
      <w:hyperlink w:tooltip="#_Toc4" w:anchor="_Toc4" w:history="1">
        <w:r>
          <w:rPr>
            <w:rStyle w:val="911"/>
          </w:rPr>
          <w:t xml:space="preserve">PRD2 – Reglas mínimas del servicio de productos</w:t>
        </w:r>
        <w:r>
          <w:tab/>
        </w:r>
        <w:r>
          <w:fldChar w:fldCharType="begin"/>
        </w:r>
        <w:r>
          <w:instrText xml:space="preserve">PAGEREF _Toc4 \h</w:instrText>
        </w:r>
        <w:r>
          <w:fldChar w:fldCharType="separate"/>
        </w:r>
        <w:r>
          <w:t xml:space="preserve">6</w:t>
        </w:r>
        <w:r>
          <w:fldChar w:fldCharType="end"/>
        </w:r>
      </w:hyperlink>
      <w:r/>
      <w:r/>
    </w:p>
    <w:p>
      <w:pPr>
        <w:pStyle w:val="920"/>
        <w:pBdr/>
        <w:spacing/>
        <w:ind/>
        <w:rPr/>
      </w:pPr>
      <w:r/>
      <w:hyperlink w:tooltip="#_Toc5" w:anchor="_Toc5" w:history="1">
        <w:r>
          <w:rPr>
            <w:rStyle w:val="911"/>
          </w:rPr>
          <w:t xml:space="preserve">Servicio B – Órdenes / Pedidos</w:t>
        </w:r>
        <w:r>
          <w:tab/>
        </w:r>
        <w:r>
          <w:fldChar w:fldCharType="begin"/>
        </w:r>
        <w:r>
          <w:instrText xml:space="preserve">PAGEREF _Toc5 \h</w:instrText>
        </w:r>
        <w:r>
          <w:fldChar w:fldCharType="separate"/>
        </w:r>
        <w:r>
          <w:t xml:space="preserve">8</w:t>
        </w:r>
        <w:r>
          <w:fldChar w:fldCharType="end"/>
        </w:r>
      </w:hyperlink>
      <w:r/>
      <w:r/>
    </w:p>
    <w:p>
      <w:pPr>
        <w:pStyle w:val="921"/>
        <w:pBdr/>
        <w:spacing/>
        <w:ind/>
        <w:rPr/>
      </w:pPr>
      <w:r/>
      <w:hyperlink w:tooltip="#_Toc6" w:anchor="_Toc6" w:history="1">
        <w:r>
          <w:rPr>
            <w:rStyle w:val="911"/>
          </w:rPr>
          <w:t xml:space="preserve">ORD1 – Administración de órdenes</w:t>
        </w:r>
        <w:r>
          <w:tab/>
        </w:r>
        <w:r>
          <w:fldChar w:fldCharType="begin"/>
        </w:r>
        <w:r>
          <w:instrText xml:space="preserve">PAGEREF _Toc6 \h</w:instrText>
        </w:r>
        <w:r>
          <w:fldChar w:fldCharType="separate"/>
        </w:r>
        <w:r>
          <w:t xml:space="preserve">8</w:t>
        </w:r>
        <w:r>
          <w:fldChar w:fldCharType="end"/>
        </w:r>
      </w:hyperlink>
      <w:r/>
      <w:r/>
    </w:p>
    <w:p>
      <w:pPr>
        <w:pStyle w:val="921"/>
        <w:pBdr/>
        <w:spacing/>
        <w:ind/>
        <w:rPr/>
      </w:pPr>
      <w:r/>
      <w:hyperlink w:tooltip="#_Toc7" w:anchor="_Toc7" w:history="1">
        <w:r>
          <w:rPr>
            <w:rStyle w:val="911"/>
          </w:rPr>
          <w:t xml:space="preserve">ORD2 – Comunicación inter-servicio con Productos</w:t>
        </w:r>
        <w:r>
          <w:tab/>
        </w:r>
        <w:r>
          <w:fldChar w:fldCharType="begin"/>
        </w:r>
        <w:r>
          <w:instrText xml:space="preserve">PAGEREF _Toc7 \h</w:instrText>
        </w:r>
        <w:r>
          <w:fldChar w:fldCharType="separate"/>
        </w:r>
        <w:r>
          <w:t xml:space="preserve">9</w:t>
        </w:r>
        <w:r>
          <w:fldChar w:fldCharType="end"/>
        </w:r>
      </w:hyperlink>
      <w:r/>
      <w:r/>
    </w:p>
    <w:p>
      <w:pPr>
        <w:pStyle w:val="921"/>
        <w:pBdr/>
        <w:spacing/>
        <w:ind/>
        <w:rPr/>
      </w:pPr>
      <w:r/>
      <w:hyperlink w:tooltip="#_Toc8" w:anchor="_Toc8" w:history="1">
        <w:r>
          <w:rPr>
            <w:rStyle w:val="911"/>
          </w:rPr>
          <w:t xml:space="preserve">ORD3 – Reglas mínimas del servicio de órdenes</w:t>
        </w:r>
        <w:r>
          <w:tab/>
        </w:r>
        <w:r>
          <w:fldChar w:fldCharType="begin"/>
        </w:r>
        <w:r>
          <w:instrText xml:space="preserve">PAGEREF _Toc8 \h</w:instrText>
        </w:r>
        <w:r>
          <w:fldChar w:fldCharType="separate"/>
        </w:r>
        <w:r>
          <w:t xml:space="preserve">10</w:t>
        </w:r>
        <w:r>
          <w:fldChar w:fldCharType="end"/>
        </w:r>
      </w:hyperlink>
      <w:r/>
      <w:r/>
    </w:p>
    <w:p>
      <w:pPr>
        <w:pStyle w:val="920"/>
        <w:pBdr/>
        <w:spacing/>
        <w:ind/>
        <w:rPr/>
      </w:pPr>
      <w:r/>
      <w:hyperlink w:tooltip="#_Toc9" w:anchor="_Toc9" w:history="1">
        <w:r>
          <w:rPr>
            <w:rStyle w:val="911"/>
          </w:rPr>
          <w:t xml:space="preserve">API Gateway</w:t>
        </w:r>
        <w:r>
          <w:tab/>
        </w:r>
        <w:r>
          <w:fldChar w:fldCharType="begin"/>
        </w:r>
        <w:r>
          <w:instrText xml:space="preserve">PAGEREF _Toc9 \h</w:instrText>
        </w:r>
        <w:r>
          <w:fldChar w:fldCharType="separate"/>
        </w:r>
        <w:r>
          <w:t xml:space="preserve">12</w:t>
        </w:r>
        <w:r>
          <w:fldChar w:fldCharType="end"/>
        </w:r>
      </w:hyperlink>
      <w:r/>
      <w:r/>
    </w:p>
    <w:p>
      <w:pPr>
        <w:pStyle w:val="921"/>
        <w:pBdr/>
        <w:spacing/>
        <w:ind/>
        <w:rPr/>
      </w:pPr>
      <w:r/>
      <w:hyperlink w:tooltip="#_Toc10" w:anchor="_Toc10" w:history="1">
        <w:r>
          <w:rPr>
            <w:rStyle w:val="911"/>
          </w:rPr>
          <w:t xml:space="preserve">GW1 – Entrada única</w:t>
        </w:r>
        <w:r>
          <w:tab/>
        </w:r>
        <w:r>
          <w:fldChar w:fldCharType="begin"/>
        </w:r>
        <w:r>
          <w:instrText xml:space="preserve">PAGEREF _Toc10 \h</w:instrText>
        </w:r>
        <w:r>
          <w:fldChar w:fldCharType="separate"/>
        </w:r>
        <w:r>
          <w:t xml:space="preserve">12</w:t>
        </w:r>
        <w:r>
          <w:fldChar w:fldCharType="end"/>
        </w:r>
      </w:hyperlink>
      <w:r/>
      <w:r/>
    </w:p>
    <w:p>
      <w:pPr>
        <w:pStyle w:val="921"/>
        <w:pBdr/>
        <w:spacing/>
        <w:ind/>
        <w:rPr/>
      </w:pPr>
      <w:r/>
      <w:hyperlink w:tooltip="#_Toc11" w:anchor="_Toc11" w:history="1">
        <w:r>
          <w:rPr>
            <w:rStyle w:val="911"/>
          </w:rPr>
          <w:t xml:space="preserve">GW2 – Routing</w:t>
        </w:r>
        <w:r>
          <w:tab/>
        </w:r>
        <w:r>
          <w:fldChar w:fldCharType="begin"/>
        </w:r>
        <w:r>
          <w:instrText xml:space="preserve">PAGEREF _Toc11 \h</w:instrText>
        </w:r>
        <w:r>
          <w:fldChar w:fldCharType="separate"/>
        </w:r>
        <w:r>
          <w:t xml:space="preserve">12</w:t>
        </w:r>
        <w:r>
          <w:fldChar w:fldCharType="end"/>
        </w:r>
      </w:hyperlink>
      <w:r/>
      <w:r/>
    </w:p>
    <w:p>
      <w:pPr>
        <w:pStyle w:val="921"/>
        <w:pBdr/>
        <w:spacing/>
        <w:ind/>
        <w:rPr/>
      </w:pPr>
      <w:r/>
      <w:hyperlink w:tooltip="#_Toc12" w:anchor="_Toc12" w:history="1">
        <w:r>
          <w:rPr>
            <w:rStyle w:val="911"/>
          </w:rPr>
          <w:t xml:space="preserve">GW3 – Políticas adicionales</w:t>
        </w:r>
        <w:r>
          <w:tab/>
        </w:r>
        <w:r>
          <w:fldChar w:fldCharType="begin"/>
        </w:r>
        <w:r>
          <w:instrText xml:space="preserve">PAGEREF _Toc12 \h</w:instrText>
        </w:r>
        <w:r>
          <w:fldChar w:fldCharType="separate"/>
        </w:r>
        <w:r>
          <w:t xml:space="preserve">13</w:t>
        </w:r>
        <w:r>
          <w:fldChar w:fldCharType="end"/>
        </w:r>
      </w:hyperlink>
      <w:r/>
      <w:r/>
    </w:p>
    <w:p>
      <w:pPr>
        <w:pStyle w:val="921"/>
        <w:pBdr/>
        <w:spacing/>
        <w:ind/>
        <w:rPr/>
      </w:pPr>
      <w:r/>
      <w:hyperlink w:tooltip="#_Toc13" w:anchor="_Toc13" w:history="1">
        <w:r>
          <w:rPr>
            <w:rStyle w:val="911"/>
          </w:rPr>
          <w:t xml:space="preserve">GW4 – Observabilidad mínima</w:t>
        </w:r>
        <w:r>
          <w:tab/>
        </w:r>
        <w:r>
          <w:fldChar w:fldCharType="begin"/>
        </w:r>
        <w:r>
          <w:instrText xml:space="preserve">PAGEREF _Toc13 \h</w:instrText>
        </w:r>
        <w:r>
          <w:fldChar w:fldCharType="separate"/>
        </w:r>
        <w:r>
          <w:t xml:space="preserve">14</w:t>
        </w:r>
        <w:r>
          <w:fldChar w:fldCharType="end"/>
        </w:r>
      </w:hyperlink>
      <w:r/>
      <w:r/>
    </w:p>
    <w:p>
      <w:pPr>
        <w:pStyle w:val="920"/>
        <w:pBdr/>
        <w:spacing/>
        <w:ind/>
        <w:rPr/>
      </w:pPr>
      <w:r/>
      <w:hyperlink w:tooltip="#_Toc14" w:anchor="_Toc14" w:history="1">
        <w:r>
          <w:rPr>
            <w:rStyle w:val="911"/>
          </w:rPr>
          <w:t xml:space="preserve">Resultado general de las pruebas</w:t>
        </w:r>
        <w:r>
          <w:tab/>
        </w:r>
        <w:r>
          <w:fldChar w:fldCharType="begin"/>
        </w:r>
        <w:r>
          <w:instrText xml:space="preserve">PAGEREF _Toc14 \h</w:instrText>
        </w:r>
        <w:r>
          <w:fldChar w:fldCharType="separate"/>
        </w:r>
        <w:r>
          <w:t xml:space="preserve">16</w:t>
        </w:r>
        <w:r>
          <w:fldChar w:fldCharType="end"/>
        </w:r>
      </w:hyperlink>
      <w:r/>
      <w:r/>
    </w:p>
    <w:p>
      <w:pPr>
        <w:pBdr/>
        <w:spacing/>
        <w:ind/>
        <w:rPr/>
      </w:pPr>
      <w:r>
        <w:fldChar w:fldCharType="end"/>
      </w:r>
      <w:r/>
    </w:p>
    <w:p>
      <w:pPr>
        <w:pStyle w:val="731"/>
        <w:keepNext w:val="true"/>
        <w:pageBreakBefore w:val="true"/>
        <w:pBdr/>
        <w:spacing/>
        <w:ind/>
        <w:rPr/>
      </w:pPr>
      <w:r/>
      <w:bookmarkStart w:id="0" w:name="_Toc1"/>
      <w:r>
        <w:t xml:space="preserve">Propósito y alcance de la evidencia</w:t>
      </w:r>
      <w:bookmarkEnd w:id="0"/>
      <w:r/>
      <w:r/>
    </w:p>
    <w:p>
      <w:pPr>
        <w:pBdr/>
        <w:spacing w:after="140" w:line="300" w:lineRule="auto"/>
        <w:ind/>
        <w:jc w:val="both"/>
        <w:rPr/>
      </w:pPr>
      <w:r>
        <w:t xml:space="preserve">Este documento reúne la evidencia de la ejecución del sistema mínimo de microservicios desarrollado para la Tarea Corta 2 – Investigación Gateways, del curso Programación V del Colegio Universitario de Carta</w:t>
      </w:r>
      <w:r>
        <w:t xml:space="preserve">go. Su propósito es demostrar, criterio por criterio, que los dos microservicios (Catálogo / Productos y Órdenes / Pedidos) y el API Gateway que los expone cumplen con lo solicitado en la tarea, mediante capturas de pantalla de la ejecución de cada prueba.</w:t>
      </w:r>
      <w:r/>
    </w:p>
    <w:p>
      <w:pPr>
        <w:pBdr/>
        <w:spacing w:after="140" w:line="300" w:lineRule="auto"/>
        <w:ind/>
        <w:jc w:val="both"/>
        <w:rPr/>
      </w:pPr>
      <w:r>
        <w:t xml:space="preserve">El alcance comprende los 2 microservicios implementados y el API Gateway, agrupados en tres secciones, con 9 requerimientos y un total de 36 criterios de aceptación. El servicio opcional de Usuarios / Clientes no forma parte del alcance, po</w:t>
      </w:r>
      <w:r>
        <w:t xml:space="preserve">r lo que la ruta /api/clientes/* no aplica. Cada criterio de aceptación genera una prueba independiente y se documenta con su propia evidencia, de modo que la relación entre cada requerimiento y la prueba que lo confirma pueda verificarse de forma directa.</w:t>
      </w:r>
      <w:r/>
    </w:p>
    <w:p>
      <w:pPr>
        <w:pBdr/>
        <w:spacing w:after="140" w:line="300" w:lineRule="auto"/>
        <w:ind/>
        <w:jc w:val="both"/>
        <w:rPr/>
      </w:pPr>
      <w:r>
        <w:t xml:space="preserve">Cada sección tiene sus propios requerimientos, organizados en dos partes. Primero se presenta el requerimie</w:t>
      </w:r>
      <w:r>
        <w:t xml:space="preserve">nto con sus criterios de aceptación, tal como se derivan de la consigna de la tarea. Después se incluye la tabla de evidencia, con las columnas # Req., criterio de aceptación y evidencia: cada fila corresponde a una prueba, y el espacio de la derecha conti</w:t>
      </w:r>
      <w:r>
        <w:t xml:space="preserve">ene el pantallazo de la petición ejecutada en Postman a través de la URL única del Gateway o, cuando el criterio lo requiere, de los servicios y sus logs en ejecución. La tabla de contenido permite llegar directamente a cada sección y a cada requerimiento.</w:t>
      </w:r>
      <w:r/>
    </w:p>
    <w:p>
      <w:pPr>
        <w:pBdr/>
        <w:spacing w:after="140" w:line="300" w:lineRule="auto"/>
        <w:ind/>
        <w:jc w:val="both"/>
        <w:rPr/>
      </w:pPr>
      <w:r>
        <w:t xml:space="preserve">Los componentes del sistema y la ruta que expone cada uno se resumen a continuación: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4338"/>
        <w:gridCol w:w="2900"/>
      </w:tblGrid>
      <w:tr>
        <w:trPr>
          <w:tblHeader/>
        </w:trPr>
        <w:tc>
          <w:tcPr>
            <w:shd w:val="clear" w:color="auto" w:fill="d9e2f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Componente</w:t>
            </w:r>
            <w:r/>
          </w:p>
        </w:tc>
        <w:tc>
          <w:tcPr>
            <w:shd w:val="clear" w:color="auto" w:fill="d9e2f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Responsabilidad</w:t>
            </w:r>
            <w:r/>
          </w:p>
        </w:tc>
        <w:tc>
          <w:tcPr>
            <w:shd w:val="clear" w:color="auto" w:fill="d9e2f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Ruta expuesta</w:t>
            </w:r>
            <w:r/>
          </w:p>
        </w:tc>
      </w:tr>
      <w:tr>
        <w:trPr/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API Gateway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38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Entrada única al sistema: enrutamiento, transformación de ruta y encabezados, agregación y registro de solicitudes.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9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URL única de entrada (incluye /api/resumen-orden/{id})</w:t>
            </w:r>
            <w:r/>
          </w:p>
        </w:tc>
      </w:tr>
      <w:tr>
        <w:trPr/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Servicio A – Catálogo / Productos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38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Administración del catálogo de productos con API REST y persistencia No SQL propia.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9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/api/productos/*</w:t>
            </w:r>
            <w:r/>
          </w:p>
        </w:tc>
      </w:tr>
      <w:tr>
        <w:trPr/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Servicio B – Órdenes / Pedidos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38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Creación y listado de pedidos; consulta al servicio de Productos para validarlos.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9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/api/ordenes/*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40" w:line="300" w:lineRule="auto"/>
        <w:ind/>
        <w:jc w:val="both"/>
        <w:rPr/>
      </w:pPr>
      <w:r>
        <w:t xml:space="preserve">La distribución de los criterios probados por sección es la siguiente: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00"/>
        <w:gridCol w:w="3338"/>
        <w:gridCol w:w="2000"/>
      </w:tblGrid>
      <w:tr>
        <w:trPr>
          <w:tblHeader/>
        </w:trPr>
        <w:tc>
          <w:tcPr>
            <w:shd w:val="clear" w:color="auto" w:fill="d9e2f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Sección</w:t>
            </w:r>
            <w:r/>
          </w:p>
        </w:tc>
        <w:tc>
          <w:tcPr>
            <w:shd w:val="clear" w:color="auto" w:fill="d9e2f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Requerimientos</w:t>
            </w:r>
            <w:r/>
          </w:p>
        </w:tc>
        <w:tc>
          <w:tcPr>
            <w:shd w:val="clear" w:color="auto" w:fill="d9e2f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probados</w:t>
            </w:r>
            <w:r/>
          </w:p>
        </w:tc>
      </w:tr>
      <w:tr>
        <w:trPr/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Servicio A – Catálogo / Productos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38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PRD1 a PRD2 (2)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12</w:t>
            </w:r>
            <w:r/>
          </w:p>
        </w:tc>
      </w:tr>
      <w:tr>
        <w:trPr/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Servicio B – Órdenes / Pedidos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38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ORD1 a ORD3 (3)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12</w:t>
            </w:r>
            <w:r/>
          </w:p>
        </w:tc>
      </w:tr>
      <w:tr>
        <w:trPr/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API Gateway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38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GW1 a GW4 (4)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12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00" w:type="dxa"/>
          </w:tcPr>
          <w:p>
            <w:pPr>
              <w:pBdr/>
              <w:spacing w:after="40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  <w:r/>
          </w:p>
        </w:tc>
        <w:tc>
          <w:tcPr>
            <w:shd w:val="clear" w:color="auto" w:fill="f2f2f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38" w:type="dxa"/>
          </w:tcPr>
          <w:p>
            <w:pPr>
              <w:pBdr/>
              <w:spacing w:after="40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9</w:t>
            </w:r>
            <w:r/>
          </w:p>
        </w:tc>
        <w:tc>
          <w:tcPr>
            <w:shd w:val="clear" w:color="auto" w:fill="f2f2f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36</w:t>
            </w:r>
            <w:r/>
          </w:p>
        </w:tc>
      </w:tr>
    </w:tbl>
    <w:p>
      <w:pPr>
        <w:pStyle w:val="731"/>
        <w:keepNext w:val="true"/>
        <w:pageBreakBefore w:val="true"/>
        <w:pBdr/>
        <w:spacing/>
        <w:ind/>
        <w:rPr/>
      </w:pPr>
      <w:r/>
      <w:bookmarkStart w:id="1" w:name="_Toc2"/>
      <w:r>
        <w:t xml:space="preserve">Servicio A – Catálogo / Productos</w:t>
      </w:r>
      <w:bookmarkEnd w:id="1"/>
      <w:r/>
      <w:r/>
    </w:p>
    <w:p>
      <w:pPr>
        <w:pStyle w:val="732"/>
        <w:keepNext w:val="true"/>
        <w:pBdr/>
        <w:spacing/>
        <w:ind/>
        <w:rPr/>
      </w:pPr>
      <w:r/>
      <w:bookmarkStart w:id="2" w:name="_Toc3"/>
      <w:r>
        <w:t xml:space="preserve">PRD1 – Administración de productos</w:t>
      </w:r>
      <w:bookmarkEnd w:id="2"/>
      <w:r/>
      <w:r/>
    </w:p>
    <w:p>
      <w:pPr>
        <w:keepNext w:val="true"/>
        <w:pBdr/>
        <w:spacing w:after="120"/>
        <w:ind/>
        <w:rPr/>
      </w:pPr>
      <w:r>
        <w:rPr>
          <w:i/>
          <w:iCs/>
          <w:color w:val="595959"/>
          <w:sz w:val="20"/>
          <w:szCs w:val="20"/>
        </w:rPr>
        <w:t xml:space="preserve">Endpoint: /api/productos</w:t>
      </w:r>
      <w:r/>
    </w:p>
    <w:p>
      <w:pPr>
        <w:pStyle w:val="919"/>
        <w:keepNext w:val="true"/>
        <w:pBdr/>
        <w:spacing/>
        <w:ind/>
        <w:rPr/>
      </w:pPr>
      <w:r>
        <w:t xml:space="preserve">Requerimiento de la tarea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Requerimiento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Yo como arquitecto del sistema quiero un servicio de catálogo para administrar productos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crearse un microservicio de productos con su propia API REST que cumpla con el estándar RESTful. Las operaciones deben responder en el endpoint /api/productos (expuesto por el Gateway) y deben permitir: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Crear un producto (POST).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Modificar un producto (PUT).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Eliminar un producto (DELETE).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Obtener los datos de todos los productos (GET).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Obtener los datos de un producto por su identificador (GET).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alcance mínimo exigido por la tarea son los endpoints GET y POST; modificar y eliminar completan el CRUD básico.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Un producto debe tener, como mínimo, identificador, nombre y precio.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Consultar un producto que no existe debe responder 404 (Not Found).</w:t>
            </w:r>
            <w:r/>
          </w:p>
        </w:tc>
      </w:tr>
    </w:tbl>
    <w:p>
      <w:pPr>
        <w:pStyle w:val="919"/>
        <w:keepNext w:val="true"/>
        <w:pBdr/>
        <w:spacing w:before="240"/>
        <w:ind/>
        <w:rPr/>
      </w:pPr>
      <w:r>
        <w:t xml:space="preserve">Evidencia de ejecución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Req.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Crear un producto (POST).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9754" cy="1296983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9128930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09754" cy="12969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60.61pt;height:102.12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 w14:paraId="159E0A40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20474" cy="1616087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011814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20474" cy="16160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61.45pt;height:127.25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Obtener los datos de todos los productos (GET).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13865" cy="699000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932396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13865" cy="699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60.93pt;height:55.04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0B5FD691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18759" cy="1802409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221846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18758" cy="180240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61.32pt;height:141.92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Obtener los datos de un producto por su identificador (GET).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13865" cy="777555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7175083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13865" cy="7775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60.93pt;height:61.22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443077DF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19619" cy="1565595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3002209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19619" cy="15655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61.39pt;height:123.28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Un producto tiene, como mínimo, identificador, nombre y precio.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19619" cy="1670249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53420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19619" cy="167024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61.39pt;height:131.52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Consultar un producto inexistente responde 404 (Not Found).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13865" cy="1350292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2542584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13865" cy="135029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60.93pt;height:106.32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</w:tbl>
    <w:p>
      <w:pPr>
        <w:pStyle w:val="732"/>
        <w:keepNext w:val="true"/>
        <w:pBdr/>
        <w:spacing/>
        <w:ind/>
        <w:rPr/>
      </w:pPr>
      <w:r/>
      <w:bookmarkStart w:id="3" w:name="_Toc4"/>
      <w:r>
        <w:t xml:space="preserve">PRD2 – Reglas mínimas del servicio de productos</w:t>
      </w:r>
      <w:bookmarkEnd w:id="3"/>
      <w:r/>
      <w:r/>
    </w:p>
    <w:p>
      <w:pPr>
        <w:keepNext w:val="true"/>
        <w:pBdr/>
        <w:spacing w:after="120"/>
        <w:ind/>
        <w:rPr/>
      </w:pPr>
      <w:r>
        <w:rPr>
          <w:i/>
          <w:iCs/>
          <w:color w:val="595959"/>
          <w:sz w:val="20"/>
          <w:szCs w:val="20"/>
        </w:rPr>
        <w:t xml:space="preserve">Endpoint: /api/productos</w:t>
      </w:r>
      <w:r/>
    </w:p>
    <w:p>
      <w:pPr>
        <w:pStyle w:val="919"/>
        <w:keepNext w:val="true"/>
        <w:pBdr/>
        <w:spacing/>
        <w:ind/>
        <w:rPr/>
      </w:pPr>
      <w:r>
        <w:t xml:space="preserve">Requerimiento de la tarea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Requerimiento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Yo como arquitecto del sistema quiero que el servicio de productos cumpla con las reglas mínimas de un microservicio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servicio de productos debe tener su propia API REST.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tener persistencia en una base de datos No SQL.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correr en un puerto distinto al de los demás servicios y al del Gateway.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ser ejecutable de forma independiente.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respetarse el estándar RESTful.</w:t>
            </w:r>
            <w:r/>
          </w:p>
        </w:tc>
      </w:tr>
    </w:tbl>
    <w:p>
      <w:pPr>
        <w:pStyle w:val="919"/>
        <w:keepNext w:val="true"/>
        <w:pBdr/>
        <w:spacing w:before="240"/>
        <w:ind/>
        <w:rPr/>
      </w:pPr>
      <w:r>
        <w:t xml:space="preserve">Evidencia de ejecución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Req.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servicio expone su propia API REST.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90959" cy="1387559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6502272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90958" cy="138755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267.00pt;height:109.26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Los datos del servicio se almacenan en una base de datos No SQL.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21269" cy="2732762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7748030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21269" cy="27327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69.39pt;height:215.18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servicio corre en un puerto distinto al de los demás servicios y al del Gateway.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>
              <w:t xml:space="preserve">https://localhost:7289</w:t>
            </w: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servicio se ejecuta de forma independiente.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>
              <w:t xml:space="preserve">https://localhost:7289</w:t>
            </w: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PRD2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La API respeta el estándar RESTful (verbos HTTP, URIs basadas en recursos y códigos de estado apropiados).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>
              <w:rPr>
                <w:lang w:val="es-US"/>
              </w:rPr>
              <w:t xml:space="preserve">SI</w:t>
            </w:r>
            <w:r/>
          </w:p>
        </w:tc>
      </w:tr>
    </w:tbl>
    <w:p>
      <w:pPr>
        <w:pStyle w:val="731"/>
        <w:keepNext w:val="true"/>
        <w:pageBreakBefore w:val="true"/>
        <w:pBdr/>
        <w:spacing/>
        <w:ind/>
        <w:rPr/>
      </w:pPr>
      <w:r/>
      <w:bookmarkStart w:id="4" w:name="_Toc5"/>
      <w:r>
        <w:t xml:space="preserve">Servicio B – Órdenes / Pedidos</w:t>
      </w:r>
      <w:bookmarkEnd w:id="4"/>
      <w:r/>
      <w:r/>
    </w:p>
    <w:p>
      <w:pPr>
        <w:pStyle w:val="732"/>
        <w:keepNext w:val="true"/>
        <w:pBdr/>
        <w:spacing/>
        <w:ind/>
        <w:rPr/>
      </w:pPr>
      <w:r/>
      <w:bookmarkStart w:id="5" w:name="_Toc6"/>
      <w:r>
        <w:t xml:space="preserve">ORD1 – Administración de órdenes</w:t>
      </w:r>
      <w:bookmarkEnd w:id="5"/>
      <w:r/>
      <w:r/>
    </w:p>
    <w:p>
      <w:pPr>
        <w:keepNext w:val="true"/>
        <w:pBdr/>
        <w:spacing w:after="120"/>
        <w:ind/>
        <w:rPr/>
      </w:pPr>
      <w:r>
        <w:rPr>
          <w:i/>
          <w:iCs/>
          <w:color w:val="595959"/>
          <w:sz w:val="20"/>
          <w:szCs w:val="20"/>
        </w:rPr>
        <w:t xml:space="preserve">Endpoint: /api/ordenes</w:t>
      </w:r>
      <w:r/>
    </w:p>
    <w:p>
      <w:pPr>
        <w:pStyle w:val="919"/>
        <w:keepNext w:val="true"/>
        <w:pBdr/>
        <w:spacing/>
        <w:ind/>
        <w:rPr/>
      </w:pPr>
      <w:r>
        <w:t xml:space="preserve">Requerimiento de la tarea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Requerimiento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Yo como arquitecto del sistema quiero un servicio de órdenes para administrar pedidos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crearse un microservicio de órdenes con su propia API REST que cumpla con el estándar RESTful. Las operaciones deben responder en el endpoint /api/ordenes (expuesto por el Gateway) y deben permitir: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Crear un pedido (POST).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Listar los pedidos (GET).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Obtener los datos de un pedido por su identificador (GET), necesario para la agregación del Gateway (GW3).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Un pedido debe tener, como mínimo, identificador, fecha de creación y el detalle de los productos solicitados (identificador del producto y cantidad).</w:t>
            </w:r>
            <w:r/>
          </w:p>
        </w:tc>
      </w:tr>
    </w:tbl>
    <w:p>
      <w:pPr>
        <w:pStyle w:val="919"/>
        <w:keepNext w:val="true"/>
        <w:pBdr/>
        <w:spacing w:before="240"/>
        <w:ind/>
        <w:rPr/>
      </w:pPr>
      <w:r>
        <w:t xml:space="preserve">Evidencia de ejecución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Req.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Crear un pedido (POST).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Listar los pedidos (GET).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Obtener los datos de un pedido por su identificador (GET).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Un pedido tiene, como mínimo, identificador, fecha de creación y detalle de productos (identificador del producto y cantidad).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32"/>
        <w:keepNext w:val="true"/>
        <w:pBdr/>
        <w:spacing/>
        <w:ind/>
        <w:rPr/>
      </w:pPr>
      <w:r/>
      <w:bookmarkStart w:id="6" w:name="_Toc7"/>
      <w:r>
        <w:t xml:space="preserve">ORD2 – Comunicación inter-servicio con Productos</w:t>
      </w:r>
      <w:bookmarkEnd w:id="6"/>
      <w:r/>
      <w:r/>
    </w:p>
    <w:p>
      <w:pPr>
        <w:keepNext w:val="true"/>
        <w:pBdr/>
        <w:spacing w:after="120"/>
        <w:ind/>
        <w:rPr/>
      </w:pPr>
      <w:r>
        <w:rPr>
          <w:i/>
          <w:iCs/>
          <w:color w:val="595959"/>
          <w:sz w:val="20"/>
          <w:szCs w:val="20"/>
        </w:rPr>
        <w:t xml:space="preserve">Comunicación interna: Órdenes → Productos</w:t>
      </w:r>
      <w:r/>
    </w:p>
    <w:p>
      <w:pPr>
        <w:pStyle w:val="919"/>
        <w:keepNext w:val="true"/>
        <w:pBdr/>
        <w:spacing/>
        <w:ind/>
        <w:rPr/>
      </w:pPr>
      <w:r>
        <w:t xml:space="preserve">Requerimiento de la tarea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Requerimiento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Yo como arquitecto del sistema quiero que el servicio de órdenes consulte al servicio de productos para validar los pedidos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existir al menos una comunicación inter-servicio: al crear un pedido, el servicio de Órdenes consulta al servicio de Productos.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Órdenes debe comunicarse con Productos mediante su API REST, sin acceder directamente a su base de datos.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Si el pedido incluye un producto que no existe, debe rechazarse con un error 4xx y un mensaje claro.</w:t>
            </w:r>
            <w:r/>
          </w:p>
        </w:tc>
      </w:tr>
    </w:tbl>
    <w:p>
      <w:pPr>
        <w:pStyle w:val="919"/>
        <w:keepNext w:val="true"/>
        <w:pBdr/>
        <w:spacing w:before="240"/>
        <w:ind/>
        <w:rPr/>
      </w:pPr>
      <w:r>
        <w:t xml:space="preserve">Evidencia de ejecución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Req.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Al crear un pedido, Órdenes consulta a Productos (comunicación inter-servicio).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Órdenes se comunica con Productos mediante su API REST, sin acceder a su base de datos.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Un pedido con un producto inexistente es rechazado con un error 4xx y un mensaje claro.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32"/>
        <w:keepNext w:val="true"/>
        <w:pBdr/>
        <w:spacing/>
        <w:ind/>
        <w:rPr/>
      </w:pPr>
      <w:r/>
      <w:bookmarkStart w:id="7" w:name="_Toc8"/>
      <w:r>
        <w:t xml:space="preserve">ORD3 – Reglas mínimas del servicio de órdenes</w:t>
      </w:r>
      <w:bookmarkEnd w:id="7"/>
      <w:r/>
      <w:r/>
    </w:p>
    <w:p>
      <w:pPr>
        <w:keepNext w:val="true"/>
        <w:pBdr/>
        <w:spacing w:after="120"/>
        <w:ind/>
        <w:rPr/>
      </w:pPr>
      <w:r>
        <w:rPr>
          <w:i/>
          <w:iCs/>
          <w:color w:val="595959"/>
          <w:sz w:val="20"/>
          <w:szCs w:val="20"/>
        </w:rPr>
        <w:t xml:space="preserve">Endpoint: /api/ordenes</w:t>
      </w:r>
      <w:r/>
    </w:p>
    <w:p>
      <w:pPr>
        <w:pStyle w:val="919"/>
        <w:keepNext w:val="true"/>
        <w:pBdr/>
        <w:spacing/>
        <w:ind/>
        <w:rPr/>
      </w:pPr>
      <w:r>
        <w:t xml:space="preserve">Requerimiento de la tarea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Requerimiento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Yo como arquitecto del sistema quiero que el servicio de órdenes cumpla con las reglas mínimas de un microservicio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servicio de órdenes debe tener su propia API REST.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tener persistencia en una base de datos No SQL.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correr en un puerto distinto al de los demás servicios y al del Gateway.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ser ejecutable de forma independiente.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respetarse el estándar RESTful.</w:t>
            </w:r>
            <w:r/>
          </w:p>
        </w:tc>
      </w:tr>
    </w:tbl>
    <w:p>
      <w:pPr>
        <w:pStyle w:val="919"/>
        <w:keepNext w:val="true"/>
        <w:pBdr/>
        <w:spacing w:before="240"/>
        <w:ind/>
        <w:rPr/>
      </w:pPr>
      <w:r>
        <w:t xml:space="preserve">Evidencia de ejecución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Req.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servicio expone su propia API REST.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Los datos del servicio se almacenan en una base de datos No SQL.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servicio corre en un puerto distinto al de los demás servicios y al del Gateway.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servicio se ejecuta de forma independiente.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ORD3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La API respeta el estándar RESTful (verbos HTTP, URIs basadas en recursos y códigos de estado apropiados).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31"/>
        <w:keepNext w:val="true"/>
        <w:pageBreakBefore w:val="true"/>
        <w:pBdr/>
        <w:spacing/>
        <w:ind/>
        <w:rPr/>
      </w:pPr>
      <w:r/>
      <w:bookmarkStart w:id="8" w:name="_Toc9"/>
      <w:r>
        <w:t xml:space="preserve">API Gateway</w:t>
      </w:r>
      <w:bookmarkEnd w:id="8"/>
      <w:r/>
      <w:r/>
    </w:p>
    <w:p>
      <w:pPr>
        <w:pStyle w:val="732"/>
        <w:keepNext w:val="true"/>
        <w:pBdr/>
        <w:spacing/>
        <w:ind/>
        <w:rPr/>
      </w:pPr>
      <w:r/>
      <w:bookmarkStart w:id="9" w:name="_Toc10"/>
      <w:r>
        <w:t xml:space="preserve">GW1 – Entrada única</w:t>
      </w:r>
      <w:bookmarkEnd w:id="9"/>
      <w:r/>
      <w:r/>
    </w:p>
    <w:p>
      <w:pPr>
        <w:keepNext w:val="true"/>
        <w:pBdr/>
        <w:spacing w:after="120"/>
        <w:ind/>
        <w:rPr/>
      </w:pPr>
      <w:r>
        <w:rPr>
          <w:i/>
          <w:iCs/>
          <w:color w:val="595959"/>
          <w:sz w:val="20"/>
          <w:szCs w:val="20"/>
        </w:rPr>
        <w:t xml:space="preserve">Endpoint: /api/*</w:t>
      </w:r>
      <w:r/>
    </w:p>
    <w:p>
      <w:pPr>
        <w:pStyle w:val="919"/>
        <w:keepNext w:val="true"/>
        <w:pBdr/>
        <w:spacing/>
        <w:ind/>
        <w:rPr/>
      </w:pPr>
      <w:r>
        <w:t xml:space="preserve">Requerimiento de la tarea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Requerimiento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Yo como arquitecto del sistema quiero un API Gateway que sea la entrada única al sistema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 existir una URL, host o puerto único para el consumidor o cliente.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cliente debe consumir ambos microservicios únicamente a través del Gateway, sin utilizar sus puertos directos.</w:t>
            </w:r>
            <w:r/>
          </w:p>
        </w:tc>
      </w:tr>
    </w:tbl>
    <w:p>
      <w:pPr>
        <w:pStyle w:val="919"/>
        <w:keepNext w:val="true"/>
        <w:pBdr/>
        <w:spacing w:before="240"/>
        <w:ind/>
        <w:rPr/>
      </w:pPr>
      <w:r>
        <w:t xml:space="preserve">Evidencia de ejecución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Req.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Existe una URL, host o puerto único para el consumidor.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Los microservicios se consumen únicamente a través del Gateway, sin utilizar sus puertos directos.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32"/>
        <w:keepNext w:val="true"/>
        <w:pBdr/>
        <w:spacing/>
        <w:ind/>
        <w:rPr/>
      </w:pPr>
      <w:r/>
      <w:bookmarkStart w:id="10" w:name="_Toc11"/>
      <w:r>
        <w:t xml:space="preserve">GW2 – Routing</w:t>
      </w:r>
      <w:bookmarkEnd w:id="10"/>
      <w:r/>
      <w:r/>
    </w:p>
    <w:p>
      <w:pPr>
        <w:keepNext w:val="true"/>
        <w:pBdr/>
        <w:spacing w:after="120"/>
        <w:ind/>
        <w:rPr/>
      </w:pPr>
      <w:r>
        <w:rPr>
          <w:i/>
          <w:iCs/>
          <w:color w:val="595959"/>
          <w:sz w:val="20"/>
          <w:szCs w:val="20"/>
        </w:rPr>
        <w:t xml:space="preserve">Endpoint: /api/productos/* y /api/ordenes/*</w:t>
      </w:r>
      <w:r/>
    </w:p>
    <w:p>
      <w:pPr>
        <w:pStyle w:val="919"/>
        <w:keepNext w:val="true"/>
        <w:pBdr/>
        <w:spacing/>
        <w:ind/>
        <w:rPr/>
      </w:pPr>
      <w:r>
        <w:t xml:space="preserve">Requerimiento de la tarea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Requerimiento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Yo como arquitecto del sistema quiero que el Gateway enrute las solicitudes hacia los microservicios correspondientes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Gateway debe enrutar las solicitudes hacia los microservicios según la siguiente tabla: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/api/productos/* → Servicio de Productos.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/api/ordenes/* → Servicio de Órdenes.</w:t>
            </w:r>
            <w:r/>
          </w:p>
        </w:tc>
      </w:tr>
    </w:tbl>
    <w:p>
      <w:pPr>
        <w:pStyle w:val="919"/>
        <w:keepNext w:val="true"/>
        <w:pBdr/>
        <w:spacing w:before="240"/>
        <w:ind/>
        <w:rPr/>
      </w:pPr>
      <w:r>
        <w:t xml:space="preserve">Evidencia de ejecución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Req.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Las solicitudes a /api/productos/* se enrutan al Servicio de Productos.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Las solicitudes a /api/ordenes/* se enrutan al Servicio de Órdenes.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32"/>
        <w:keepNext w:val="true"/>
        <w:pBdr/>
        <w:spacing/>
        <w:ind/>
        <w:rPr/>
      </w:pPr>
      <w:r/>
      <w:bookmarkStart w:id="11" w:name="_Toc12"/>
      <w:r>
        <w:t xml:space="preserve">GW3 – Políticas adicionales</w:t>
      </w:r>
      <w:bookmarkEnd w:id="11"/>
      <w:r/>
      <w:r/>
    </w:p>
    <w:p>
      <w:pPr>
        <w:keepNext w:val="true"/>
        <w:pBdr/>
        <w:spacing w:after="120"/>
        <w:ind/>
        <w:rPr/>
      </w:pPr>
      <w:r>
        <w:rPr>
          <w:i/>
          <w:iCs/>
          <w:color w:val="595959"/>
          <w:sz w:val="20"/>
          <w:szCs w:val="20"/>
        </w:rPr>
        <w:t xml:space="preserve">Endpoint: /api/resumen-orden/{id}</w:t>
      </w:r>
      <w:r/>
    </w:p>
    <w:p>
      <w:pPr>
        <w:pStyle w:val="919"/>
        <w:keepNext w:val="true"/>
        <w:pBdr/>
        <w:spacing/>
        <w:ind/>
        <w:rPr/>
      </w:pPr>
      <w:r>
        <w:t xml:space="preserve">Requerimiento de la tarea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Requerimiento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Yo como arquitecto del sistema quiero que el Gateway aplique políticas adicionales de transformación y agregación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Deben implementarse las dos políticas adicionales de la tarea: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Transformación de ruta o encabezados: rewrite de ruta, y agregar o eliminar headers.</w:t>
            </w:r>
            <w:r/>
          </w:p>
          <w:p>
            <w:pPr>
              <w:pStyle w:val="910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Agregación: un endpoint del Gateway que combine datos de ambos servicios.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El endpoint /api/resumen-orden/{id} debe retornar la orden junto con el detalle de sus productos.</w:t>
            </w:r>
            <w:r/>
          </w:p>
        </w:tc>
      </w:tr>
    </w:tbl>
    <w:p>
      <w:pPr>
        <w:pStyle w:val="919"/>
        <w:keepNext w:val="true"/>
        <w:pBdr/>
        <w:spacing w:before="240"/>
        <w:ind/>
        <w:rPr/>
      </w:pPr>
      <w:r>
        <w:t xml:space="preserve">Evidencia de ejecución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Req.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Transformación de ruta (rewrite): el Gateway reescribe la ruta pública (/api/...) a la ruta interna del servicio destino.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Transformación de encabezados: el Gateway agrega o elimina al menos un header en la solicitud o la respuesta.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Agregación: el Gateway expone el endpoint /api/resumen-orden/{id}.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La respuesta de /api/resumen-orden/{id} combina los datos de la orden (Órdenes) con el detalle de sus productos (Productos).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32"/>
        <w:keepNext w:val="true"/>
        <w:pBdr/>
        <w:spacing/>
        <w:ind/>
        <w:rPr/>
      </w:pPr>
      <w:r/>
      <w:bookmarkStart w:id="12" w:name="_Toc13"/>
      <w:r>
        <w:t xml:space="preserve">GW4 – Observabilidad mínima</w:t>
      </w:r>
      <w:bookmarkEnd w:id="12"/>
      <w:r/>
      <w:r/>
    </w:p>
    <w:p>
      <w:pPr>
        <w:keepNext w:val="true"/>
        <w:pBdr/>
        <w:spacing w:after="120"/>
        <w:ind/>
        <w:rPr/>
      </w:pPr>
      <w:r>
        <w:rPr>
          <w:i/>
          <w:iCs/>
          <w:color w:val="595959"/>
          <w:sz w:val="20"/>
          <w:szCs w:val="20"/>
        </w:rPr>
        <w:t xml:space="preserve">Logs del Gateway y de los microservicios</w:t>
      </w:r>
      <w:r/>
    </w:p>
    <w:p>
      <w:pPr>
        <w:pStyle w:val="919"/>
        <w:keepNext w:val="true"/>
        <w:pBdr/>
        <w:spacing/>
        <w:ind/>
        <w:rPr/>
      </w:pPr>
      <w:r>
        <w:t xml:space="preserve">Requerimiento de la tarea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Requerimiento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Yo como arquitecto del sistema quiero evidenciar el comportamiento del sistema mediante logs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Deben evidenciarse los logs del Gateway mostrando las solicitudes enrutadas.</w:t>
            </w:r>
            <w:r/>
          </w:p>
          <w:p>
            <w:pPr>
              <w:pStyle w:val="910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Deben evidenciarse los logs de cada microservicio mostrando la recepción y la respuesta de cada solicitud.</w:t>
            </w:r>
            <w:r/>
          </w:p>
        </w:tc>
      </w:tr>
    </w:tbl>
    <w:p>
      <w:pPr>
        <w:pStyle w:val="919"/>
        <w:keepNext w:val="true"/>
        <w:pBdr/>
        <w:spacing w:before="240"/>
        <w:ind/>
        <w:rPr/>
      </w:pPr>
      <w:r>
        <w:t xml:space="preserve">Evidencia de ejecución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Req.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Logs del Gateway mostrando las solicitudes enrutadas.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Logs del servicio de Productos mostrando la recepción y la respuesta de las solicitudes.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Logs del servicio de Órdenes mostrando la recepción y la respuesta de las solicitudes.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GW4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Logs de la comunicación inter-servicio entre Órdenes y Productos (solicitud recibida por Productos desde Órdenes).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31"/>
        <w:keepNext w:val="true"/>
        <w:pageBreakBefore w:val="true"/>
        <w:pBdr/>
        <w:spacing/>
        <w:ind/>
        <w:rPr/>
      </w:pPr>
      <w:r/>
      <w:bookmarkStart w:id="13" w:name="_Toc14"/>
      <w:r>
        <w:t xml:space="preserve">Resultado general de las pruebas</w:t>
      </w:r>
      <w:bookmarkEnd w:id="13"/>
      <w:r/>
      <w:r/>
    </w:p>
    <w:p>
      <w:pPr>
        <w:pBdr/>
        <w:spacing w:after="140" w:line="300" w:lineRule="auto"/>
        <w:ind/>
        <w:jc w:val="both"/>
        <w:rPr/>
      </w:pPr>
      <w:r>
        <w:t xml:space="preserve">Las pruebas documentadas cubren los 9 requ</w:t>
      </w:r>
      <w:r>
        <w:t xml:space="preserve">erimientos de la tarea y sus 36 criterios de aceptación, distribuidos en tres secciones: el servicio de productos, el servicio de órdenes y el API Gateway. Cada criterio fue contrastado con la ejecución del sistema y respaldado con una captura de pantalla.</w:t>
      </w:r>
      <w:r/>
    </w:p>
    <w:p>
      <w:pPr>
        <w:pBdr/>
        <w:spacing w:after="140" w:line="300" w:lineRule="auto"/>
        <w:ind/>
        <w:jc w:val="both"/>
        <w:rPr/>
      </w:pPr>
      <w:r>
        <w:t xml:space="preserve">Las evidencias muestran que cada microservicio se ejecuta de forma independiente con su propia API REST y su base de datos No SQL; que el Gateway ofrece una entrada única, enrut</w:t>
      </w:r>
      <w:r>
        <w:t xml:space="preserve">a las solicitudes hacia el servicio correspondiente y aplica la transformación de ruta y encabezados y la agregación de datos; y que los logs del Gateway y de los servicios permiten seguir cada solicitud, incluida la comunicación entre Órdenes y Productos.</w:t>
      </w:r>
      <w:r/>
    </w:p>
    <w:p>
      <w:pPr>
        <w:pBdr/>
        <w:spacing w:after="140" w:line="300" w:lineRule="auto"/>
        <w:ind/>
        <w:jc w:val="both"/>
        <w:rPr/>
      </w:pPr>
      <w:r>
        <w:t xml:space="preserve">Con este documento queda r</w:t>
      </w:r>
      <w:r>
        <w:t xml:space="preserve">espaldado el cumplimiento técnico de la parte práctica de la tarea. Cualquier cambio posterior en los microservicios o en la configuración del Gateway deberá reflejarse también en sus pruebas para mantener esta trazabilidad entre requerimiento y evidencia.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1134" w:bottom="1134" w:left="1134" w:header="708" w:footer="567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18309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E8404C2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7B588C" w14:textId="77777777">
    <w:pPr>
      <w:pBdr>
        <w:top w:val="single" w:color="bfbfbf" w:sz="4" w:space="6"/>
      </w:pBdr>
      <w:tabs>
        <w:tab w:val="right" w:leader="none" w:pos="9638"/>
      </w:tabs>
      <w:spacing/>
      <w:ind/>
      <w:rPr/>
    </w:pPr>
    <w:r>
      <w:rPr>
        <w:color w:val="595959"/>
        <w:sz w:val="16"/>
        <w:szCs w:val="16"/>
      </w:rPr>
      <w:t xml:space="preserve">Tarea Corta 2 – Evidencia de ejecución de microservicios y API Gateway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 xml:space="preserve">2</w:t>
    </w:r>
    <w:r>
      <w:rPr>
        <w:color w:val="595959"/>
        <w:sz w:val="16"/>
        <w:szCs w:val="16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4479F6C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31E6B4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6E9DF1C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93BE0"/>
    <w:lvl w:ilvl="0">
      <w:isLgl w:val="false"/>
      <w:lvlJc w:val="left"/>
      <w:lvlText w:val="•"/>
      <w:numFmt w:val="bullet"/>
      <w:pPr>
        <w:pBdr/>
        <w:spacing/>
        <w:ind w:hanging="220" w:left="300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220" w:left="64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FF11D96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s-CR" w:eastAsia="es-C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40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0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0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0"/>
    <w:link w:val="7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0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0"/>
    <w:link w:val="7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0"/>
    <w:link w:val="7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0"/>
    <w:link w:val="7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0"/>
    <w:link w:val="7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0"/>
    <w:link w:val="9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0"/>
    <w:link w:val="8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0"/>
    <w:link w:val="88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0"/>
    <w:link w:val="8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3">
    <w:name w:val="Strong"/>
    <w:basedOn w:val="740"/>
    <w:uiPriority w:val="22"/>
    <w:qFormat/>
    <w:pPr>
      <w:pBdr/>
      <w:spacing/>
      <w:ind/>
    </w:pPr>
    <w:rPr>
      <w:b/>
      <w:bCs/>
    </w:rPr>
  </w:style>
  <w:style w:type="character" w:styleId="177">
    <w:name w:val="Header Char"/>
    <w:basedOn w:val="740"/>
    <w:link w:val="892"/>
    <w:uiPriority w:val="99"/>
    <w:pPr>
      <w:pBdr/>
      <w:spacing/>
      <w:ind/>
    </w:pPr>
  </w:style>
  <w:style w:type="character" w:styleId="179">
    <w:name w:val="Footer Char"/>
    <w:basedOn w:val="740"/>
    <w:link w:val="894"/>
    <w:uiPriority w:val="99"/>
    <w:pPr>
      <w:pBdr/>
      <w:spacing/>
      <w:ind/>
    </w:pPr>
  </w:style>
  <w:style w:type="character" w:styleId="182">
    <w:name w:val="Footnote Text Char"/>
    <w:basedOn w:val="740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40"/>
    <w:link w:val="916"/>
    <w:uiPriority w:val="99"/>
    <w:semiHidden/>
    <w:pPr>
      <w:pBdr/>
      <w:spacing/>
      <w:ind/>
    </w:pPr>
    <w:rPr>
      <w:sz w:val="20"/>
      <w:szCs w:val="20"/>
    </w:rPr>
  </w:style>
  <w:style w:type="paragraph" w:styleId="730" w:default="1">
    <w:name w:val="Normal"/>
    <w:qFormat/>
    <w:pPr>
      <w:pBdr/>
      <w:spacing/>
      <w:ind/>
    </w:pPr>
  </w:style>
  <w:style w:type="paragraph" w:styleId="731">
    <w:name w:val="Heading 1"/>
    <w:link w:val="869"/>
    <w:qFormat/>
    <w:pPr>
      <w:keepNext w:val="true"/>
      <w:pBdr/>
      <w:spacing w:after="240" w:before="120"/>
      <w:ind/>
      <w:outlineLvl w:val="0"/>
    </w:pPr>
    <w:rPr>
      <w:b/>
      <w:bCs/>
      <w:color w:val="1f3a70"/>
      <w:sz w:val="34"/>
      <w:szCs w:val="34"/>
    </w:rPr>
  </w:style>
  <w:style w:type="paragraph" w:styleId="732">
    <w:name w:val="Heading 2"/>
    <w:link w:val="870"/>
    <w:qFormat/>
    <w:pPr>
      <w:keepNext w:val="true"/>
      <w:pBdr/>
      <w:spacing w:after="100" w:before="120"/>
      <w:ind/>
      <w:outlineLvl w:val="1"/>
    </w:pPr>
    <w:rPr>
      <w:b/>
      <w:bCs/>
      <w:color w:val="2e74b5"/>
      <w:sz w:val="28"/>
      <w:szCs w:val="28"/>
    </w:rPr>
  </w:style>
  <w:style w:type="paragraph" w:styleId="733">
    <w:name w:val="Heading 3"/>
    <w:link w:val="871"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734">
    <w:name w:val="Heading 4"/>
    <w:link w:val="872"/>
    <w:qFormat/>
    <w:pPr>
      <w:pBdr/>
      <w:spacing/>
      <w:ind/>
      <w:outlineLvl w:val="3"/>
    </w:pPr>
    <w:rPr>
      <w:i/>
      <w:iCs/>
      <w:color w:val="2e74b5"/>
    </w:rPr>
  </w:style>
  <w:style w:type="paragraph" w:styleId="735">
    <w:name w:val="Heading 5"/>
    <w:link w:val="873"/>
    <w:qFormat/>
    <w:pPr>
      <w:pBdr/>
      <w:spacing/>
      <w:ind/>
      <w:outlineLvl w:val="4"/>
    </w:pPr>
    <w:rPr>
      <w:color w:val="2e74b5"/>
    </w:rPr>
  </w:style>
  <w:style w:type="paragraph" w:styleId="736">
    <w:name w:val="Heading 6"/>
    <w:link w:val="874"/>
    <w:qFormat/>
    <w:pPr>
      <w:pBdr/>
      <w:spacing/>
      <w:ind/>
      <w:outlineLvl w:val="5"/>
    </w:pPr>
    <w:rPr>
      <w:color w:val="1f4d78"/>
    </w:rPr>
  </w:style>
  <w:style w:type="paragraph" w:styleId="737">
    <w:name w:val="Heading 7"/>
    <w:basedOn w:val="730"/>
    <w:next w:val="730"/>
    <w:link w:val="875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color w:val="595959" w:themeColor="text1" w:themeTint="A6"/>
    </w:rPr>
  </w:style>
  <w:style w:type="paragraph" w:styleId="738">
    <w:name w:val="Heading 8"/>
    <w:basedOn w:val="730"/>
    <w:next w:val="730"/>
    <w:link w:val="876"/>
    <w:uiPriority w:val="9"/>
    <w:unhideWhenUsed/>
    <w:qFormat/>
    <w:pPr>
      <w:keepNext w:val="true"/>
      <w:keepLines w:val="true"/>
      <w:pBdr/>
      <w:spacing/>
      <w:ind/>
      <w:outlineLvl w:val="7"/>
    </w:pPr>
    <w:rPr>
      <w:i/>
      <w:iCs/>
      <w:color w:val="272727" w:themeColor="text1" w:themeTint="D8"/>
    </w:rPr>
  </w:style>
  <w:style w:type="paragraph" w:styleId="739">
    <w:name w:val="Heading 9"/>
    <w:basedOn w:val="730"/>
    <w:next w:val="730"/>
    <w:link w:val="877"/>
    <w:uiPriority w:val="9"/>
    <w:unhideWhenUsed/>
    <w:qFormat/>
    <w:pPr>
      <w:keepNext w:val="true"/>
      <w:keepLines w:val="true"/>
      <w:pBdr/>
      <w:spacing/>
      <w:ind/>
      <w:outlineLvl w:val="8"/>
    </w:pPr>
    <w:rPr>
      <w:i/>
      <w:iCs/>
      <w:color w:val="272727" w:themeColor="text1" w:themeTint="D8"/>
    </w:rPr>
  </w:style>
  <w:style w:type="character" w:styleId="740" w:default="1">
    <w:name w:val="Default Paragraph Font"/>
    <w:uiPriority w:val="1"/>
    <w:semiHidden/>
    <w:unhideWhenUsed/>
    <w:pPr>
      <w:pBdr/>
      <w:spacing/>
      <w:ind/>
    </w:pPr>
  </w:style>
  <w:style w:type="table" w:styleId="7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2" w:default="1">
    <w:name w:val="No List"/>
    <w:uiPriority w:val="99"/>
    <w:semiHidden/>
    <w:unhideWhenUsed/>
    <w:pPr>
      <w:pBdr/>
      <w:spacing/>
      <w:ind/>
    </w:pPr>
  </w:style>
  <w:style w:type="table" w:styleId="743">
    <w:name w:val="Table Grid"/>
    <w:basedOn w:val="741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Table Grid Light"/>
    <w:basedOn w:val="74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74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741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1 Light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1 Light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1 Light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1 Light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1 Light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1 Light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2 - Accent 1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2 - Accent 2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2 - Accent 3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2 - Accent 4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2 - Accent 5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2 - Accent 6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3 - Accent 1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3 - Accent 2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3 - Accent 3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3 - Accent 4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3 - Accent 5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3 - Accent 6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4 - Accent 1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4 - Accent 2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4 - Accent 3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4 - Accent 4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4 - Accent 5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4 - Accent 6"/>
    <w:basedOn w:val="741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5 Dark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5 Dark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5 Dark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5 Dark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5 Dark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5 Dark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6 Colorful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6 Colorful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6 Colorful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6 Colorful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6 Colorful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6 Colorful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7 Colorful - Accent 1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7 Colorful - Accent 2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7 Colorful - Accent 3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7 Colorful - Accent 4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7 Colorful - Accent 5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7 Colorful - Accent 6"/>
    <w:basedOn w:val="741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1 Light - Accent 1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1 Light - Accent 2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1 Light - Accent 3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1 Light - Accent 4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1 Light - Accent 5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1 Light - Accent 6"/>
    <w:basedOn w:val="74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2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2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2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2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2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2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3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3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3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3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3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3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4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4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4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4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4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4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5 Dark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5 Dark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5 Dark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5 Dark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5 Dark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5 Dark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6 Colorful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6 Colorful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6 Colorful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6 Colorful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6 Colorful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6 Colorful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7 Colorful - Accent 1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7 Colorful - Accent 2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7 Colorful - Accent 3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7 Colorful - Accent 4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7 Colorful - Accent 5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7 Colorful - Accent 6"/>
    <w:basedOn w:val="741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ned - Accent 1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ned - Accent 2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ned - Accent 3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ned - Accent 4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ned - Accent 5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ned - Accent 6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&amp; Lined - Accent 1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&amp; Lined - Accent 2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&amp; Lined - Accent 3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&amp; Lined - Accent 4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&amp; Lined - Accent 5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&amp; Lined - Accent 6"/>
    <w:basedOn w:val="74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- Accent 1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- Accent 2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Bordered - Accent 3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Bordered - Accent 4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Bordered - Accent 5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Bordered - Accent 6"/>
    <w:basedOn w:val="74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9" w:customStyle="1">
    <w:name w:val="Título 1 Car"/>
    <w:basedOn w:val="740"/>
    <w:link w:val="73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870" w:customStyle="1">
    <w:name w:val="Título 2 Car"/>
    <w:basedOn w:val="740"/>
    <w:link w:val="73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871" w:customStyle="1">
    <w:name w:val="Título 3 Car"/>
    <w:basedOn w:val="740"/>
    <w:link w:val="73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72" w:customStyle="1">
    <w:name w:val="Título 4 Car"/>
    <w:basedOn w:val="740"/>
    <w:link w:val="734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73" w:customStyle="1">
    <w:name w:val="Título 5 Car"/>
    <w:basedOn w:val="740"/>
    <w:link w:val="73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74" w:customStyle="1">
    <w:name w:val="Título 6 Car"/>
    <w:basedOn w:val="740"/>
    <w:link w:val="7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 w:customStyle="1">
    <w:name w:val="Título 7 Car"/>
    <w:basedOn w:val="740"/>
    <w:link w:val="7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 w:customStyle="1">
    <w:name w:val="Título 8 Car"/>
    <w:basedOn w:val="740"/>
    <w:link w:val="7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 w:customStyle="1">
    <w:name w:val="Título 9 Car"/>
    <w:basedOn w:val="740"/>
    <w:link w:val="7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8" w:customStyle="1">
    <w:name w:val="Título Car"/>
    <w:basedOn w:val="740"/>
    <w:link w:val="9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9">
    <w:name w:val="Subtitle"/>
    <w:basedOn w:val="730"/>
    <w:next w:val="730"/>
    <w:link w:val="88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0" w:customStyle="1">
    <w:name w:val="Subtítulo Car"/>
    <w:basedOn w:val="740"/>
    <w:link w:val="8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1">
    <w:name w:val="Quote"/>
    <w:basedOn w:val="730"/>
    <w:next w:val="730"/>
    <w:link w:val="88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2" w:customStyle="1">
    <w:name w:val="Cita Car"/>
    <w:basedOn w:val="740"/>
    <w:link w:val="88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Intense Emphasis"/>
    <w:basedOn w:val="740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84">
    <w:name w:val="Intense Quote"/>
    <w:basedOn w:val="730"/>
    <w:next w:val="730"/>
    <w:link w:val="885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85" w:customStyle="1">
    <w:name w:val="Cita destacada Car"/>
    <w:basedOn w:val="740"/>
    <w:link w:val="884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86">
    <w:name w:val="Intense Reference"/>
    <w:basedOn w:val="740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87">
    <w:name w:val="No Spacing"/>
    <w:basedOn w:val="730"/>
    <w:uiPriority w:val="1"/>
    <w:qFormat/>
    <w:pPr>
      <w:pBdr/>
      <w:spacing/>
      <w:ind/>
    </w:pPr>
  </w:style>
  <w:style w:type="character" w:styleId="888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890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1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2">
    <w:name w:val="Header"/>
    <w:basedOn w:val="730"/>
    <w:link w:val="893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93" w:customStyle="1">
    <w:name w:val="Encabezado Car"/>
    <w:basedOn w:val="740"/>
    <w:link w:val="892"/>
    <w:uiPriority w:val="99"/>
    <w:pPr>
      <w:pBdr/>
      <w:spacing/>
      <w:ind/>
    </w:pPr>
  </w:style>
  <w:style w:type="paragraph" w:styleId="894">
    <w:name w:val="Footer"/>
    <w:basedOn w:val="730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95" w:customStyle="1">
    <w:name w:val="Pie de página Car"/>
    <w:basedOn w:val="740"/>
    <w:link w:val="894"/>
    <w:uiPriority w:val="99"/>
    <w:pPr>
      <w:pBdr/>
      <w:spacing/>
      <w:ind/>
    </w:pPr>
  </w:style>
  <w:style w:type="paragraph" w:styleId="896">
    <w:name w:val="Caption"/>
    <w:basedOn w:val="730"/>
    <w:next w:val="730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897">
    <w:name w:val="FollowedHyperlink"/>
    <w:basedOn w:val="74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98">
    <w:name w:val="toc 3"/>
    <w:basedOn w:val="730"/>
    <w:next w:val="730"/>
    <w:uiPriority w:val="39"/>
    <w:unhideWhenUsed/>
    <w:pPr>
      <w:pBdr/>
      <w:spacing w:after="100"/>
      <w:ind w:left="440"/>
    </w:pPr>
  </w:style>
  <w:style w:type="paragraph" w:styleId="899">
    <w:name w:val="toc 4"/>
    <w:basedOn w:val="730"/>
    <w:next w:val="730"/>
    <w:uiPriority w:val="39"/>
    <w:unhideWhenUsed/>
    <w:pPr>
      <w:pBdr/>
      <w:spacing w:after="100"/>
      <w:ind w:left="660"/>
    </w:pPr>
  </w:style>
  <w:style w:type="paragraph" w:styleId="900">
    <w:name w:val="toc 5"/>
    <w:basedOn w:val="730"/>
    <w:next w:val="730"/>
    <w:uiPriority w:val="39"/>
    <w:unhideWhenUsed/>
    <w:pPr>
      <w:pBdr/>
      <w:spacing w:after="100"/>
      <w:ind w:left="880"/>
    </w:pPr>
  </w:style>
  <w:style w:type="paragraph" w:styleId="901">
    <w:name w:val="toc 6"/>
    <w:basedOn w:val="730"/>
    <w:next w:val="730"/>
    <w:uiPriority w:val="39"/>
    <w:unhideWhenUsed/>
    <w:pPr>
      <w:pBdr/>
      <w:spacing w:after="100"/>
      <w:ind w:left="1100"/>
    </w:pPr>
  </w:style>
  <w:style w:type="paragraph" w:styleId="902">
    <w:name w:val="toc 7"/>
    <w:basedOn w:val="730"/>
    <w:next w:val="730"/>
    <w:uiPriority w:val="39"/>
    <w:unhideWhenUsed/>
    <w:pPr>
      <w:pBdr/>
      <w:spacing w:after="100"/>
      <w:ind w:left="1320"/>
    </w:pPr>
  </w:style>
  <w:style w:type="paragraph" w:styleId="903">
    <w:name w:val="toc 8"/>
    <w:basedOn w:val="730"/>
    <w:next w:val="730"/>
    <w:uiPriority w:val="39"/>
    <w:unhideWhenUsed/>
    <w:pPr>
      <w:pBdr/>
      <w:spacing w:after="100"/>
      <w:ind w:left="1540"/>
    </w:pPr>
  </w:style>
  <w:style w:type="paragraph" w:styleId="904">
    <w:name w:val="toc 9"/>
    <w:basedOn w:val="730"/>
    <w:next w:val="730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740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730"/>
    <w:next w:val="730"/>
    <w:uiPriority w:val="99"/>
    <w:unhideWhenUsed/>
    <w:pPr>
      <w:pBdr/>
      <w:spacing/>
      <w:ind/>
    </w:pPr>
  </w:style>
  <w:style w:type="paragraph" w:styleId="908">
    <w:name w:val="Title"/>
    <w:link w:val="878"/>
    <w:qFormat/>
    <w:pPr>
      <w:pBdr/>
      <w:spacing/>
      <w:ind/>
    </w:pPr>
    <w:rPr>
      <w:sz w:val="56"/>
      <w:szCs w:val="56"/>
    </w:rPr>
  </w:style>
  <w:style w:type="paragraph" w:styleId="909" w:customStyle="1">
    <w:name w:val="Fuerte1"/>
    <w:qFormat/>
    <w:pPr>
      <w:pBdr/>
      <w:spacing/>
      <w:ind/>
    </w:pPr>
    <w:rPr>
      <w:b/>
      <w:bCs/>
    </w:rPr>
  </w:style>
  <w:style w:type="paragraph" w:styleId="910">
    <w:name w:val="List Paragraph"/>
    <w:qFormat/>
    <w:pPr>
      <w:pBdr/>
      <w:spacing/>
      <w:ind/>
    </w:pPr>
  </w:style>
  <w:style w:type="character" w:styleId="91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footnote text"/>
    <w:link w:val="91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4" w:customStyle="1">
    <w:name w:val="Texto nota pie Car"/>
    <w:link w:val="91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endnote text"/>
    <w:link w:val="91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7" w:customStyle="1">
    <w:name w:val="Texto nota al final Car"/>
    <w:link w:val="91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8" w:customStyle="1">
    <w:name w:val="Titulo TOC"/>
    <w:pPr>
      <w:pBdr/>
      <w:spacing w:after="280" w:before="120"/>
      <w:ind/>
    </w:pPr>
    <w:rPr>
      <w:b/>
      <w:bCs/>
      <w:color w:val="1f3a70"/>
      <w:sz w:val="34"/>
      <w:szCs w:val="34"/>
    </w:rPr>
  </w:style>
  <w:style w:type="paragraph" w:styleId="919" w:customStyle="1">
    <w:name w:val="Etiqueta"/>
    <w:pPr>
      <w:keepNext w:val="true"/>
      <w:pBdr/>
      <w:spacing w:after="100" w:before="120"/>
      <w:ind/>
    </w:pPr>
    <w:rPr>
      <w:b/>
      <w:bCs/>
      <w:color w:val="1f3a70"/>
      <w:sz w:val="21"/>
      <w:szCs w:val="21"/>
    </w:rPr>
  </w:style>
  <w:style w:type="paragraph" w:styleId="920">
    <w:name w:val="toc 1"/>
    <w:pPr>
      <w:pBdr/>
      <w:tabs>
        <w:tab w:val="right" w:leader="dot" w:pos="9638"/>
      </w:tabs>
      <w:spacing w:after="40" w:before="160"/>
      <w:ind/>
    </w:pPr>
    <w:rPr>
      <w:b/>
      <w:bCs/>
      <w:sz w:val="21"/>
      <w:szCs w:val="21"/>
    </w:rPr>
  </w:style>
  <w:style w:type="paragraph" w:styleId="921">
    <w:name w:val="toc 2"/>
    <w:pPr>
      <w:pBdr/>
      <w:tabs>
        <w:tab w:val="right" w:leader="dot" w:pos="9638"/>
      </w:tabs>
      <w:spacing w:after="30"/>
      <w:ind w:left="284"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Evidencia de Ejecución – Tarea Corta 2 Gateways</dc:title>
  <dc:creator>Grupo Akatsukis</dc:creator>
  <cp:revision>8</cp:revision>
  <dcterms:created xsi:type="dcterms:W3CDTF">2026-09-21T07:59:00Z</dcterms:created>
  <dcterms:modified xsi:type="dcterms:W3CDTF">2026-10-15T04:09:54Z</dcterms:modified>
</cp:coreProperties>
</file>