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Mateus</w:t>
      </w:r>
      <w:r>
        <w:t xml:space="preserve"> </w:t>
      </w:r>
      <w:r>
        <w:t xml:space="preserve">Bernardo</w:t>
      </w:r>
      <w:r>
        <w:t xml:space="preserve"> </w:t>
      </w:r>
      <w:r>
        <w:t xml:space="preserve">Harrington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Jade</w:t>
      </w:r>
      <w:r>
        <w:t xml:space="preserve"> </w:t>
      </w:r>
      <w:r>
        <w:t xml:space="preserve">Perry</w:t>
      </w:r>
      <w:r>
        <w:rPr>
          <w:rStyle w:val="FootnoteReference"/>
        </w:rPr>
        <w:footnoteReference w:id="22"/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Paul</w:t>
      </w:r>
      <w:r>
        <w:t xml:space="preserve"> </w:t>
      </w:r>
      <w:r>
        <w:t xml:space="preserve">Cool</w:t>
      </w:r>
      <w:r>
        <w:rPr>
          <w:rStyle w:val="FootnoteReference"/>
        </w:rPr>
        <w:footnoteReference w:id="24"/>
      </w:r>
    </w:p>
    <w:p>
      <w:pPr>
        <w:pStyle w:val="Date"/>
      </w:pPr>
      <w:r>
        <w:t xml:space="preserve">2021-02-20</w:t>
      </w:r>
    </w:p>
    <w:p>
      <w:pPr>
        <w:pStyle w:val="FirstParagraph"/>
      </w:pPr>
      <w:r>
        <w:t xml:space="preserve">Maybe it would interesting to provide an example of reproducible workflow?</w:t>
      </w:r>
      <w:r>
        <w:t xml:space="preserve"> </w:t>
      </w:r>
      <w:r>
        <w:t xml:space="preserve">Perhaps include some basic data analysis (e.g. lm with iris), maybe write a very brief mock paper with RMarkdown and/or Jupyter.</w:t>
      </w:r>
      <w:r>
        <w:t xml:space="preserve"> </w:t>
      </w:r>
      <w:r>
        <w:t xml:space="preserve">Could host on a git repo, and/or make a Docker image?</w:t>
      </w:r>
    </w:p>
    <w:p>
      <w:pPr>
        <w:pStyle w:val="BodyText"/>
      </w:pPr>
      <w:r>
        <w:t xml:space="preserve">Points to raise:</w:t>
      </w:r>
    </w:p>
    <w:p>
      <w:pPr>
        <w:numPr>
          <w:ilvl w:val="0"/>
          <w:numId w:val="1001"/>
        </w:numPr>
        <w:pStyle w:val="Compact"/>
      </w:pPr>
      <w:r>
        <w:t xml:space="preserve">containerisation</w:t>
      </w:r>
    </w:p>
    <w:p>
      <w:pPr>
        <w:numPr>
          <w:ilvl w:val="1"/>
          <w:numId w:val="1002"/>
        </w:numPr>
        <w:pStyle w:val="Compact"/>
      </w:pPr>
      <w:r>
        <w:t xml:space="preserve">problem: dependencies for code can become difficult/impossible to source</w:t>
      </w:r>
    </w:p>
    <w:p>
      <w:pPr>
        <w:numPr>
          <w:ilvl w:val="1"/>
          <w:numId w:val="1002"/>
        </w:numPr>
        <w:pStyle w:val="Compact"/>
      </w:pPr>
      <w:r>
        <w:t xml:space="preserve">solution: package all code and dependencies to run uniformly on any infrastructure</w:t>
      </w:r>
    </w:p>
    <w:p>
      <w:pPr>
        <w:numPr>
          <w:ilvl w:val="1"/>
          <w:numId w:val="1002"/>
        </w:numPr>
        <w:pStyle w:val="Compact"/>
      </w:pPr>
      <w:r>
        <w:t xml:space="preserve">basic guide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template</w:t>
        </w:r>
      </w:hyperlink>
    </w:p>
    <w:p>
      <w:pPr>
        <w:numPr>
          <w:ilvl w:val="0"/>
          <w:numId w:val="1001"/>
        </w:numPr>
        <w:pStyle w:val="Compact"/>
      </w:pPr>
      <w:r>
        <w:t xml:space="preserve">Importance of software being free and open-source</w:t>
      </w:r>
    </w:p>
    <w:p>
      <w:pPr>
        <w:numPr>
          <w:ilvl w:val="1"/>
          <w:numId w:val="1003"/>
        </w:numPr>
        <w:pStyle w:val="Compact"/>
      </w:pPr>
      <w:r>
        <w:t xml:space="preserve">unclear what propriety software does - can’t properly review work</w:t>
      </w:r>
    </w:p>
    <w:p>
      <w:pPr>
        <w:numPr>
          <w:ilvl w:val="1"/>
          <w:numId w:val="1003"/>
        </w:numPr>
        <w:pStyle w:val="Compact"/>
      </w:pPr>
      <w:r>
        <w:t xml:space="preserve">Company may go bust/sell software rights - licence issues - can’t reproduce work</w:t>
      </w:r>
    </w:p>
    <w:p>
      <w:pPr>
        <w:numPr>
          <w:ilvl w:val="1"/>
          <w:numId w:val="1003"/>
        </w:numPr>
        <w:pStyle w:val="Compact"/>
      </w:pPr>
      <w:r>
        <w:t xml:space="preserve">Some may not have access to software - platform exclusivity, can’t afford licence (often very expensive) - can’t reproduce</w:t>
      </w:r>
    </w:p>
    <w:p>
      <w:pPr>
        <w:numPr>
          <w:ilvl w:val="0"/>
          <w:numId w:val="1001"/>
        </w:numPr>
        <w:pStyle w:val="Compact"/>
      </w:pPr>
      <w:r>
        <w:t xml:space="preserve">Benefits of code for data analysis and writing</w:t>
      </w:r>
    </w:p>
    <w:p>
      <w:pPr>
        <w:numPr>
          <w:ilvl w:val="1"/>
          <w:numId w:val="1004"/>
        </w:numPr>
        <w:pStyle w:val="Compact"/>
      </w:pPr>
      <w:r>
        <w:t xml:space="preserve">scripts by definition outlines all steps taken - written method section will never match this</w:t>
      </w:r>
    </w:p>
    <w:p>
      <w:pPr>
        <w:numPr>
          <w:ilvl w:val="1"/>
          <w:numId w:val="1004"/>
        </w:numPr>
        <w:pStyle w:val="Compact"/>
      </w:pPr>
      <w:r>
        <w:t xml:space="preserve">more shareable - easier collaboration</w:t>
      </w:r>
    </w:p>
    <w:p>
      <w:pPr>
        <w:numPr>
          <w:ilvl w:val="1"/>
          <w:numId w:val="1004"/>
        </w:numPr>
        <w:pStyle w:val="Compact"/>
      </w:pPr>
      <w:r>
        <w:t xml:space="preserve">For writing - if journal accepts markup, formatting much simpler - scientist spend more time doing science and less appeasing asinine journals</w:t>
      </w:r>
    </w:p>
    <w:p>
      <w:pPr>
        <w:numPr>
          <w:ilvl w:val="1"/>
          <w:numId w:val="1004"/>
        </w:numPr>
        <w:pStyle w:val="Compact"/>
      </w:pPr>
      <w:r>
        <w:t xml:space="preserve">if raw data uploaded to repository it can get a doi - extra citations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5"/>
        </w:numPr>
        <w:pStyle w:val="Compact"/>
      </w:pPr>
      <w:r>
        <w:t xml:space="preserve">Need for references to be in plain text - .bib files</w:t>
      </w:r>
    </w:p>
    <w:p>
      <w:pPr>
        <w:numPr>
          <w:ilvl w:val="1"/>
          <w:numId w:val="1005"/>
        </w:numPr>
        <w:pStyle w:val="Compact"/>
      </w:pPr>
      <w:r>
        <w:t xml:space="preserve">Can use Zotero - free and open-source</w:t>
      </w:r>
    </w:p>
    <w:p>
      <w:pPr>
        <w:numPr>
          <w:ilvl w:val="1"/>
          <w:numId w:val="1005"/>
        </w:numPr>
        <w:pStyle w:val="Compact"/>
      </w:pPr>
      <w:r>
        <w:t xml:space="preserve">Could also use more minimalist shell scripts to get .bib info</w:t>
      </w:r>
    </w:p>
    <w:bookmarkStart w:id="28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With the increasing amount of data available, better methods are required to analyse large data files.</w:t>
      </w:r>
      <w:r>
        <w:t xml:space="preserve"> </w:t>
      </w:r>
      <w:r>
        <w:t xml:space="preserve">Although spreadsheets can be used to collate and review data with up to around 100 patients.</w:t>
      </w:r>
      <w:r>
        <w:t xml:space="preserve"> </w:t>
      </w:r>
      <w:r>
        <w:t xml:space="preserve">This becomes more difficult with larger data sets.</w:t>
      </w:r>
    </w:p>
    <w:p>
      <w:pPr>
        <w:pStyle w:val="BodyText"/>
      </w:pPr>
      <w:r>
        <w:t xml:space="preserve">When performing the analysis, it is important to document the methods so that results can be verified.</w:t>
      </w:r>
      <w:r>
        <w:t xml:space="preserve"> </w:t>
      </w:r>
      <w:r>
        <w:t xml:space="preserve">It is now common practice for journals to request data to be uploaded as part of the publication.</w:t>
      </w:r>
      <w:r>
        <w:t xml:space="preserve"> </w:t>
      </w:r>
      <w:r>
        <w:t xml:space="preserve">This allows for independent verification and scrutiny.</w:t>
      </w:r>
      <w:r>
        <w:t xml:space="preserve"> </w:t>
      </w:r>
      <w:r>
        <w:t xml:space="preserve">Although uncommon, there have been high profile retractions of published literature because results could not be verified</w:t>
      </w:r>
      <w:r>
        <w:t xml:space="preserve"> </w:t>
      </w:r>
      <w:r>
        <w:t xml:space="preserve">[</w:t>
      </w:r>
      <w:hyperlink w:anchor="ref-RetractionChallenges2014">
        <w:r>
          <w:rPr>
            <w:rStyle w:val="Hyperlink"/>
          </w:rPr>
          <w:t xml:space="preserve">1</w:t>
        </w:r>
      </w:hyperlink>
      <w:r>
        <w:t xml:space="preserve">–</w:t>
      </w:r>
      <w:hyperlink w:anchor="X93b831d1d487d0c1f90b973fe631e2d1cdd524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Often, specialist advice is required for analysis.</w:t>
      </w:r>
      <w:r>
        <w:t xml:space="preserve"> </w:t>
      </w:r>
      <w:r>
        <w:t xml:space="preserve">However, all studies should have a thorough open and transparent analysis that is robust to scrutiny, repeatable and reproducible</w:t>
      </w:r>
      <w:r>
        <w:t xml:space="preserve"> </w:t>
      </w:r>
      <w:r>
        <w:t xml:space="preserve">[</w:t>
      </w:r>
      <w:hyperlink w:anchor="ref-ASTMStandardPractice2013a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this short paper, the advantages of reproducible research and how to achieve it are discussed.</w:t>
      </w:r>
    </w:p>
    <w:bookmarkEnd w:id="28"/>
    <w:bookmarkStart w:id="29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Smaller data sets are often created on a spreadsheet where the variables are defined.</w:t>
      </w:r>
      <w:r>
        <w:t xml:space="preserve"> </w:t>
      </w:r>
      <w:r>
        <w:t xml:space="preserve">When constructing a spreadsheet, it is important to adhere to the principles of tidy data</w:t>
      </w:r>
      <w:r>
        <w:t xml:space="preserve"> </w:t>
      </w:r>
      <w:r>
        <w:t xml:space="preserve">[</w:t>
      </w:r>
      <w:hyperlink w:anchor="ref-12TidyData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with observations in rows and variables in columns.</w:t>
      </w:r>
      <w:r>
        <w:t xml:space="preserve"> </w:t>
      </w:r>
      <w:r>
        <w:t xml:space="preserve">Adhering to these principles will avoid a lot of subsequent data wrangling.</w:t>
      </w:r>
      <w:r>
        <w:t xml:space="preserve"> </w:t>
      </w:r>
      <w:r>
        <w:t xml:space="preserve">In clinical practice, observations are often patients.</w:t>
      </w:r>
      <w:r>
        <w:t xml:space="preserve"> </w:t>
      </w:r>
      <w:r>
        <w:t xml:space="preserve">However, if there are more than one observation on a patient, it is important to have an unique identifier for each observation.</w:t>
      </w:r>
      <w:r>
        <w:t xml:space="preserve"> </w:t>
      </w:r>
      <w:r>
        <w:t xml:space="preserve">Frequently, a lot of time is spent wrangling and cleaning data.</w:t>
      </w:r>
      <w:r>
        <w:t xml:space="preserve"> </w:t>
      </w:r>
      <w:r>
        <w:t xml:space="preserve">Any data manipulation technique could potentially introduce error.</w:t>
      </w:r>
      <w:r>
        <w:t xml:space="preserve"> </w:t>
      </w:r>
      <w:r>
        <w:t xml:space="preserve">By obtaining the appropriate advice beforehand, it can be assured that data is recorded properly and consistently.</w:t>
      </w:r>
      <w:r>
        <w:t xml:space="preserve"> </w:t>
      </w:r>
      <w:r>
        <w:t xml:space="preserve">Factorial variables frequently have to be redefined due to inconsistent format (e.g.:</w:t>
      </w:r>
      <w:r>
        <w:t xml:space="preserve"> </w:t>
      </w:r>
      <w:r>
        <w:t xml:space="preserve">“</w:t>
      </w:r>
      <w:r>
        <w:t xml:space="preserve">f,</w:t>
      </w:r>
      <w:r>
        <w:t xml:space="preserve">”</w:t>
      </w:r>
      <w:r>
        <w:t xml:space="preserve"> </w:t>
      </w:r>
      <w:r>
        <w:t xml:space="preserve">“</w:t>
      </w:r>
      <w:r>
        <w:t xml:space="preserve">F,</w:t>
      </w:r>
      <w:r>
        <w:t xml:space="preserve">”</w:t>
      </w:r>
      <w:r>
        <w:t xml:space="preserve"> </w:t>
      </w:r>
      <w:r>
        <w:t xml:space="preserve">“</w:t>
      </w:r>
      <w:r>
        <w:t xml:space="preserve">female,</w:t>
      </w:r>
      <w:r>
        <w:t xml:space="preserve">”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Dates require particular mention as parsing of dates in different types of software can be troublesome.</w:t>
      </w:r>
      <w:r>
        <w:t xml:space="preserve"> </w:t>
      </w:r>
      <w:r>
        <w:t xml:space="preserve">It is strongly recommended to use the ISO standard when recording dates</w:t>
      </w:r>
      <w:r>
        <w:t xml:space="preserve"> </w:t>
      </w:r>
      <w:r>
        <w:t xml:space="preserve">[</w:t>
      </w:r>
      <w:hyperlink w:anchor="ref-ISOISO8601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to avoid unnecessary problems.</w:t>
      </w:r>
    </w:p>
    <w:p>
      <w:pPr>
        <w:pStyle w:val="BodyText"/>
      </w:pPr>
      <w:r>
        <w:t xml:space="preserve">Variable names are often inconsistent with unnecessary information.</w:t>
      </w:r>
      <w:r>
        <w:t xml:space="preserve"> </w:t>
      </w:r>
      <w:r>
        <w:t xml:space="preserve">Particularly spaces in a variable name can be troublesome in scripts of statistical software.</w:t>
      </w:r>
      <w:r>
        <w:t xml:space="preserve"> </w:t>
      </w:r>
      <w:r>
        <w:t xml:space="preserve">It is recommended to avoid spaces in variable names and use popular styles like camelCase or snake_case.</w:t>
      </w:r>
      <w:r>
        <w:t xml:space="preserve"> </w:t>
      </w:r>
      <w:r>
        <w:t xml:space="preserve">All styles are frequently used but it is important to be consistent</w:t>
      </w:r>
      <w:r>
        <w:t xml:space="preserve"> </w:t>
      </w:r>
      <w:r>
        <w:t xml:space="preserve">[</w:t>
      </w:r>
      <w:hyperlink w:anchor="ref-NamingConventionProgramming202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It is recommended to collect primary data such as</w:t>
      </w:r>
      <w:r>
        <w:t xml:space="preserve"> </w:t>
      </w:r>
      <w:r>
        <w:t xml:space="preserve">‘</w:t>
      </w:r>
      <w:r>
        <w:t xml:space="preserve">date_of_birth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date_operation</w:t>
      </w:r>
      <w:r>
        <w:t xml:space="preserve">’</w:t>
      </w:r>
      <w:r>
        <w:t xml:space="preserve"> </w:t>
      </w:r>
      <w:r>
        <w:t xml:space="preserve">and subsequently calculate the age with software as this approach is less prone to error.</w:t>
      </w:r>
      <w:r>
        <w:t xml:space="preserve"> </w:t>
      </w:r>
      <w:r>
        <w:t xml:space="preserve">However, a dataset that is to be shared publicly should not contain the date of birth or date of procedure as this could make patients potentially identifiable.</w:t>
      </w:r>
      <w:r>
        <w:t xml:space="preserve"> </w:t>
      </w:r>
      <w:r>
        <w:t xml:space="preserve">Although, these calculations can be made within a spreadsheet, it may be preferable to use statistical software for this.</w:t>
      </w:r>
      <w:r>
        <w:t xml:space="preserve"> </w:t>
      </w:r>
      <w:r>
        <w:t xml:space="preserve">In a spreadsheet, calculated fields often become NA when the underlying data is removed.</w:t>
      </w:r>
    </w:p>
    <w:p>
      <w:pPr>
        <w:pStyle w:val="BodyText"/>
      </w:pPr>
      <w:r>
        <w:t xml:space="preserve">It is important not to</w:t>
      </w:r>
      <w:r>
        <w:t xml:space="preserve"> </w:t>
      </w:r>
      <w:r>
        <w:t xml:space="preserve">‘</w:t>
      </w:r>
      <w:r>
        <w:t xml:space="preserve">squirrel away</w:t>
      </w:r>
      <w:r>
        <w:t xml:space="preserve">’</w:t>
      </w:r>
      <w:r>
        <w:t xml:space="preserve"> </w:t>
      </w:r>
      <w:r>
        <w:t xml:space="preserve">data and have multiple spread sheets nobody knows anything about.</w:t>
      </w:r>
      <w:r>
        <w:t xml:space="preserve"> </w:t>
      </w:r>
      <w:r>
        <w:t xml:space="preserve">It is better to have the data in a format that has been agreed and can be accessed by all with proper version control.</w:t>
      </w:r>
      <w:r>
        <w:t xml:space="preserve"> </w:t>
      </w:r>
      <w:r>
        <w:t xml:space="preserve">Version control can be very simple using a naming convention or software.</w:t>
      </w:r>
      <w:r>
        <w:t xml:space="preserve"> </w:t>
      </w:r>
      <w:r>
        <w:t xml:space="preserve">Software such as GIT</w:t>
      </w:r>
      <w:r>
        <w:t xml:space="preserve"> </w:t>
      </w:r>
      <w:r>
        <w:t xml:space="preserve">[</w:t>
      </w:r>
      <w:hyperlink w:anchor="ref-Git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 </w:t>
      </w:r>
      <w:r>
        <w:t xml:space="preserve">needs some practice but allows easy review of changes that have been made and is more robust.</w:t>
      </w:r>
      <w:r>
        <w:t xml:space="preserve"> </w:t>
      </w:r>
      <w:r>
        <w:t xml:space="preserve">A Shared, collaborative and open approach is more likely to result in reproducible research of high-quality worthy of publication.</w:t>
      </w:r>
    </w:p>
    <w:p>
      <w:pPr>
        <w:pStyle w:val="BodyText"/>
      </w:pPr>
      <w:r>
        <w:t xml:space="preserve">Larger data sets are often downloaded from databases using queries dependent on the inclusion and exclusion criteria.</w:t>
      </w:r>
      <w:r>
        <w:t xml:space="preserve"> </w:t>
      </w:r>
      <w:r>
        <w:t xml:space="preserve">Data is subsequently filtered to produce a raw data.</w:t>
      </w:r>
      <w:r>
        <w:t xml:space="preserve"> </w:t>
      </w:r>
      <w:r>
        <w:t xml:space="preserve">Particularly with larger data sets, data integrity, reliability and accuracy can be a problem.</w:t>
      </w:r>
      <w:r>
        <w:t xml:space="preserve"> </w:t>
      </w:r>
      <w:r>
        <w:t xml:space="preserve">Data validation test should be performed before analysis.</w:t>
      </w:r>
      <w:r>
        <w:t xml:space="preserve"> </w:t>
      </w:r>
      <w:r>
        <w:t xml:space="preserve">Frequently there are NA values that need review.</w:t>
      </w:r>
      <w:r>
        <w:t xml:space="preserve"> </w:t>
      </w:r>
      <w:r>
        <w:t xml:space="preserve">It can be difficult to know what to do with NA values as excluding them introduces bias.</w:t>
      </w:r>
      <w:r>
        <w:t xml:space="preserve"> </w:t>
      </w:r>
      <w:r>
        <w:t xml:space="preserve">Often imputation techniques are used.</w:t>
      </w:r>
    </w:p>
    <w:p>
      <w:pPr>
        <w:pStyle w:val="BodyText"/>
      </w:pPr>
      <w:r>
        <w:t xml:space="preserve">Data are nowadays more openly available and online scrutiny is increasingly vigorous.</w:t>
      </w:r>
      <w:r>
        <w:t xml:space="preserve"> </w:t>
      </w:r>
      <w:r>
        <w:t xml:space="preserve">[</w:t>
      </w:r>
      <w:hyperlink w:anchor="ref-ChallengesIrreproducibleResearch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Consequently, it is important to be open about your methods.</w:t>
      </w:r>
      <w:r>
        <w:t xml:space="preserve"> </w:t>
      </w:r>
      <w:r>
        <w:t xml:space="preserve">With this approach you can learn from your errors and improve.</w:t>
      </w:r>
    </w:p>
    <w:bookmarkEnd w:id="29"/>
    <w:bookmarkStart w:id="34" w:name="software"/>
    <w:p>
      <w:pPr>
        <w:pStyle w:val="Heading1"/>
      </w:pPr>
      <w:r>
        <w:t xml:space="preserve">Software</w:t>
      </w:r>
    </w:p>
    <w:p>
      <w:pPr>
        <w:pStyle w:val="FirstParagraph"/>
      </w:pPr>
      <w:r>
        <w:t xml:space="preserve">For simple analysis, spreadsheet software can be used.</w:t>
      </w:r>
      <w:r>
        <w:t xml:space="preserve"> </w:t>
      </w:r>
      <w:r>
        <w:t xml:space="preserve">However, as mentioned it has its drawback particularly in relation to dates and calculated fields.</w:t>
      </w:r>
      <w:r>
        <w:t xml:space="preserve"> </w:t>
      </w:r>
      <w:r>
        <w:t xml:space="preserve">However, for more complicated analysis often specialist statistical software is required.</w:t>
      </w:r>
      <w:r>
        <w:t xml:space="preserve"> </w:t>
      </w:r>
      <w:r>
        <w:t xml:space="preserve">Using a non-standardised propriety format makes it necessary to have the software to access the data.</w:t>
      </w:r>
      <w:r>
        <w:t xml:space="preserve"> </w:t>
      </w:r>
      <w:r>
        <w:t xml:space="preserve">Although some software is widely available, other software is prohibitively expensive.</w:t>
      </w:r>
      <w:r>
        <w:t xml:space="preserve"> </w:t>
      </w:r>
      <w:r>
        <w:t xml:space="preserve">It is preferable to use a common format that is accessible to everybody.</w:t>
      </w:r>
    </w:p>
    <w:p>
      <w:pPr>
        <w:pStyle w:val="BodyText"/>
      </w:pPr>
      <w:r>
        <w:t xml:space="preserve">Although not a defined standard, for data sharing comma separated values</w:t>
      </w:r>
      <w:r>
        <w:t xml:space="preserve"> </w:t>
      </w:r>
      <w:r>
        <w:t xml:space="preserve">[</w:t>
      </w:r>
      <w:hyperlink w:anchor="ref-CSVCommaSeparated2012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 </w:t>
      </w:r>
      <w:r>
        <w:t xml:space="preserve">files are in common use and can be read by freely available open-source software such as text editors, Python and R</w:t>
      </w:r>
      <w:r>
        <w:t xml:space="preserve"> </w:t>
      </w:r>
      <w:r>
        <w:t xml:space="preserve">[</w:t>
      </w:r>
      <w:hyperlink w:anchor="ref-WelcomePythonOrg">
        <w:r>
          <w:rPr>
            <w:rStyle w:val="Hyperlink"/>
          </w:rPr>
          <w:t xml:space="preserve">12</w:t>
        </w:r>
      </w:hyperlink>
      <w:r>
        <w:t xml:space="preserve">,</w:t>
      </w:r>
      <w:hyperlink w:anchor="ref-ProjectStatisticalComputing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Propriety software often has a Graphical User Interface (GUI).</w:t>
      </w:r>
      <w:r>
        <w:t xml:space="preserve"> </w:t>
      </w:r>
      <w:r>
        <w:t xml:space="preserve">When performing complicated analysis using a GUI, it is difficult to document all options that were chosen in multiple different menus.</w:t>
      </w:r>
      <w:r>
        <w:t xml:space="preserve"> </w:t>
      </w:r>
      <w:r>
        <w:t xml:space="preserve">Consequently, it may be difficult to reproduce the result.</w:t>
      </w:r>
      <w:r>
        <w:t xml:space="preserve"> </w:t>
      </w:r>
      <w:r>
        <w:t xml:space="preserve">It is preferable to use software that uses a script for analysis.</w:t>
      </w:r>
      <w:r>
        <w:t xml:space="preserve"> </w:t>
      </w:r>
      <w:r>
        <w:t xml:space="preserve">Apart from performing the analysis, the script is also documentation of the method that has been used.</w:t>
      </w:r>
      <w:r>
        <w:t xml:space="preserve"> </w:t>
      </w:r>
      <w:r>
        <w:t xml:space="preserve">Furthermore, it is possible to use the same script on future data, allowing a comparable analysis.</w:t>
      </w:r>
    </w:p>
    <w:p>
      <w:pPr>
        <w:pStyle w:val="BodyText"/>
      </w:pPr>
      <w:r>
        <w:t xml:space="preserve">Contrary to open-source software, propriety software doesn’t reveal what is going on</w:t>
      </w:r>
      <w:r>
        <w:t xml:space="preserve"> </w:t>
      </w:r>
      <w:r>
        <w:t xml:space="preserve">‘</w:t>
      </w:r>
      <w:r>
        <w:t xml:space="preserve">under the hood.</w:t>
      </w:r>
      <w:r>
        <w:t xml:space="preserve">’</w:t>
      </w:r>
      <w:r>
        <w:t xml:space="preserve"> </w:t>
      </w:r>
      <w:r>
        <w:t xml:space="preserve">Furthermore, open-source software is often freely available, though care should be taken to make sure the software licence is sufficiently permissive for copying, sharing and modification, such as the</w:t>
      </w:r>
      <w:r>
        <w:t xml:space="preserve"> </w:t>
      </w:r>
      <w:hyperlink r:id="rId30">
        <w:r>
          <w:rPr>
            <w:rStyle w:val="Hyperlink"/>
          </w:rPr>
          <w:t xml:space="preserve">GPL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MIT</w:t>
        </w:r>
      </w:hyperlink>
      <w:r>
        <w:t xml:space="preserve"> </w:t>
      </w:r>
      <w:r>
        <w:t xml:space="preserve">or</w:t>
      </w:r>
      <w:r>
        <w:t xml:space="preserve"> </w:t>
      </w:r>
      <w:hyperlink r:id="rId32">
        <w:r>
          <w:rPr>
            <w:rStyle w:val="Hyperlink"/>
          </w:rPr>
          <w:t xml:space="preserve">Creative Commons</w:t>
        </w:r>
      </w:hyperlink>
      <w:r>
        <w:t xml:space="preserve"> </w:t>
      </w:r>
      <w:r>
        <w:t xml:space="preserve">licences.</w:t>
      </w:r>
      <w:r>
        <w:t xml:space="preserve"> </w:t>
      </w:r>
      <w:r>
        <w:t xml:space="preserve">This allows external scrutiny and development of better software.</w:t>
      </w:r>
      <w:r>
        <w:t xml:space="preserve"> </w:t>
      </w:r>
      <w:r>
        <w:t xml:space="preserve">Software that is not up to scrutiny can be improved or it simply doesn’t survive.</w:t>
      </w:r>
      <w:r>
        <w:t xml:space="preserve"> </w:t>
      </w:r>
      <w:r>
        <w:t xml:space="preserve">Propriety software is also at greater risk of suddenly becoming unavailable, such as if the licence holder enters bankruptcy and removes access, or a competitor buys the licence and similarly limits access.</w:t>
      </w:r>
    </w:p>
    <w:p>
      <w:pPr>
        <w:pStyle w:val="BodyText"/>
      </w:pPr>
      <w:r>
        <w:t xml:space="preserve">It should be noted that whilst free and open-source software is much longer lasting relative to propriety software, it is not immune to deprecation.</w:t>
      </w:r>
      <w:r>
        <w:t xml:space="preserve"> </w:t>
      </w:r>
      <w:r>
        <w:t xml:space="preserve">As there are many software packages available to perform analysis, it is important to document the packages, version numbers and dates in the methods.</w:t>
      </w:r>
      <w:r>
        <w:t xml:space="preserve"> </w:t>
      </w:r>
      <w:r>
        <w:t xml:space="preserve">However, if a parciular package or function used is script is not included in later versions and older versions of said package are not widely available, a piece of work may cease to be reproducible eventually.</w:t>
      </w:r>
      <w:r>
        <w:t xml:space="preserve"> </w:t>
      </w:r>
      <w:r>
        <w:t xml:space="preserve">To counter this so-called</w:t>
      </w:r>
      <w:r>
        <w:t xml:space="preserve"> </w:t>
      </w:r>
      <w:r>
        <w:t xml:space="preserve">“</w:t>
      </w:r>
      <w:hyperlink r:id="rId33">
        <w:r>
          <w:rPr>
            <w:rStyle w:val="Hyperlink"/>
          </w:rPr>
          <w:t xml:space="preserve">Containerisation</w:t>
        </w:r>
      </w:hyperlink>
      <w:r>
        <w:t xml:space="preserve">”</w:t>
      </w:r>
      <w:r>
        <w:t xml:space="preserve"> </w:t>
      </w:r>
      <w:r>
        <w:t xml:space="preserve">can be used.</w:t>
      </w:r>
    </w:p>
    <w:p>
      <w:pPr>
        <w:pStyle w:val="BodyText"/>
      </w:pPr>
      <w:r>
        <w:t xml:space="preserve">Propriety menu driven software perhaps makes it easier to</w:t>
      </w:r>
      <w:r>
        <w:t xml:space="preserve"> </w:t>
      </w:r>
      <w:r>
        <w:t xml:space="preserve">‘</w:t>
      </w:r>
      <w:r>
        <w:t xml:space="preserve">fish</w:t>
      </w:r>
      <w:r>
        <w:t xml:space="preserve">’</w:t>
      </w:r>
      <w:r>
        <w:t xml:space="preserve"> </w:t>
      </w:r>
      <w:r>
        <w:t xml:space="preserve">for significant p-values, rather than selecting robust statistical methods.</w:t>
      </w:r>
      <w:r>
        <w:t xml:space="preserve"> </w:t>
      </w:r>
      <w:r>
        <w:t xml:space="preserve">It is recommended to read the statement of the American Statistical Society regarding p-values</w:t>
      </w:r>
      <w:r>
        <w:t xml:space="preserve"> </w:t>
      </w:r>
      <w:r>
        <w:t xml:space="preserve">[</w:t>
      </w:r>
      <w:hyperlink w:anchor="ref-wassersteinASAStatementPvalues2016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Interestingly, some journals have now banned the use of p-values</w:t>
      </w:r>
      <w:r>
        <w:t xml:space="preserve"> </w:t>
      </w:r>
      <w:r>
        <w:t xml:space="preserve">[</w:t>
      </w:r>
      <w:hyperlink w:anchor="ref-trafimowEditorial2015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Particularly when performing multiple tests, it is important to have an assessment of the false positive rate and use the appropriate correction.</w:t>
      </w:r>
    </w:p>
    <w:bookmarkEnd w:id="34"/>
    <w:bookmarkStart w:id="35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Robust data collection in a tidy format that is analysed with open-source software using scripts with full documentation of the packages used should be reproducible.</w:t>
      </w:r>
      <w:r>
        <w:t xml:space="preserve"> </w:t>
      </w:r>
      <w:r>
        <w:t xml:space="preserve">This open and transparent analysis will improve your research and make you a better scientist.</w:t>
      </w:r>
    </w:p>
    <w:p>
      <w:pPr>
        <w:pStyle w:val="BodyText"/>
      </w:pPr>
      <w:r>
        <w:rPr>
          <w:iCs/>
          <w:i/>
        </w:rPr>
        <w:t xml:space="preserve">This paper has been written with open-source software, including Zotero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hyperlink w:anchor="ref-ZoteroYourPersonal">
        <w:r>
          <w:rPr>
            <w:rStyle w:val="Hyperlink"/>
            <w:iCs/>
            <w:i/>
          </w:rPr>
          <w:t xml:space="preserve">16</w:t>
        </w:r>
      </w:hyperlink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reference manager.</w:t>
      </w:r>
    </w:p>
    <w:p>
      <w:r>
        <w:br w:type="page"/>
      </w:r>
    </w:p>
    <w:bookmarkEnd w:id="35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37" w:name="ref-RetractionChallenges2014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Retraction challenges. Nature News 2014;514:5.</w:t>
      </w:r>
      <w:r>
        <w:t xml:space="preserve"> </w:t>
      </w:r>
      <w:hyperlink r:id="rId36">
        <w:r>
          <w:rPr>
            <w:rStyle w:val="Hyperlink"/>
          </w:rPr>
          <w:t xml:space="preserve">https://doi.org/10.1038/514005a</w:t>
        </w:r>
      </w:hyperlink>
      <w:r>
        <w:t xml:space="preserve">.</w:t>
      </w:r>
    </w:p>
    <w:bookmarkEnd w:id="37"/>
    <w:bookmarkStart w:id="38" w:name="ref-RetractedCoronavirusCOVID192020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Retracted coronavirus (</w:t>
      </w:r>
      <w:r>
        <w:t xml:space="preserve">COVID</w:t>
      </w:r>
      <w:r>
        <w:t xml:space="preserve">-19) papers. Retraction Watch 2020.</w:t>
      </w:r>
    </w:p>
    <w:bookmarkEnd w:id="38"/>
    <w:bookmarkStart w:id="40" w:name="X93b831d1d487d0c1f90b973fe631e2d1cdd5240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Davido B, Lansaman T, Lawrence C, Alvarez J-C, Bouchand F, Moine P, et al. Hydroxychloroquine plus azithromycin: A potential interest in reducing in-hospital morbidity due to</w:t>
      </w:r>
      <w:r>
        <w:t xml:space="preserve"> </w:t>
      </w:r>
      <w:r>
        <w:t xml:space="preserve">COVID</w:t>
      </w:r>
      <w:r>
        <w:t xml:space="preserve">-19 pneumonia (</w:t>
      </w:r>
      <w:r>
        <w:t xml:space="preserve">HI</w:t>
      </w:r>
      <w:r>
        <w:t xml:space="preserve">-</w:t>
      </w:r>
      <w:r>
        <w:t xml:space="preserve">ZY</w:t>
      </w:r>
      <w:r>
        <w:t xml:space="preserve">-</w:t>
      </w:r>
      <w:r>
        <w:t xml:space="preserve">COVID</w:t>
      </w:r>
      <w:r>
        <w:t xml:space="preserve">)? medRxiv 2020:2020.05.05.20088757.</w:t>
      </w:r>
      <w:r>
        <w:t xml:space="preserve"> </w:t>
      </w:r>
      <w:hyperlink r:id="rId39">
        <w:r>
          <w:rPr>
            <w:rStyle w:val="Hyperlink"/>
          </w:rPr>
          <w:t xml:space="preserve">https://doi.org/10.1101/2020.05.05.20088757</w:t>
        </w:r>
      </w:hyperlink>
      <w:r>
        <w:t xml:space="preserve">.</w:t>
      </w:r>
    </w:p>
    <w:bookmarkEnd w:id="40"/>
    <w:bookmarkStart w:id="41" w:name="ref-ASTMStandardPractice2013a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ASTM</w:t>
      </w:r>
      <w:r>
        <w:t xml:space="preserve">: Standard practice for use of the terms precision and bias in</w:t>
      </w:r>
      <w:r>
        <w:t xml:space="preserve"> </w:t>
      </w:r>
      <w:r>
        <w:t xml:space="preserve">ASTM</w:t>
      </w:r>
      <w:r>
        <w:t xml:space="preserve"> </w:t>
      </w:r>
      <w:r>
        <w:t xml:space="preserve">test methods. E177 ed:</w:t>
      </w:r>
      <w:r>
        <w:t xml:space="preserve"> </w:t>
      </w:r>
      <w:r>
        <w:t xml:space="preserve">Subcommittee E11</w:t>
      </w:r>
      <w:r>
        <w:t xml:space="preserve">.20 on test method evaluation and quality control,</w:t>
      </w:r>
      <w:r>
        <w:t xml:space="preserve"> </w:t>
      </w:r>
      <w:r>
        <w:t xml:space="preserve">ASTM International</w:t>
      </w:r>
      <w:r>
        <w:t xml:space="preserve">; 2013.</w:t>
      </w:r>
    </w:p>
    <w:bookmarkEnd w:id="41"/>
    <w:bookmarkStart w:id="42" w:name="ref-12TidyData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12</w:t>
      </w:r>
      <w:r>
        <w:t xml:space="preserve"> </w:t>
      </w:r>
      <w:r>
        <w:t xml:space="preserve">Tidy</w:t>
      </w:r>
      <w:r>
        <w:t xml:space="preserve"> </w:t>
      </w:r>
      <w:r>
        <w:t xml:space="preserve">data |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 Science</w:t>
      </w:r>
      <w:r>
        <w:t xml:space="preserve"> </w:t>
      </w:r>
      <w:r>
        <w:t xml:space="preserve">n.d.</w:t>
      </w:r>
    </w:p>
    <w:bookmarkEnd w:id="42"/>
    <w:bookmarkStart w:id="43" w:name="ref-ISO8601Effectively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ISO</w:t>
      </w:r>
      <w:r>
        <w:t xml:space="preserve"> </w:t>
      </w:r>
      <w:r>
        <w:t xml:space="preserve">8601</w:t>
      </w:r>
      <w:r>
        <w:t xml:space="preserve"> </w:t>
      </w:r>
      <w:r>
        <w:t xml:space="preserve"> </w:t>
      </w:r>
      <w:r>
        <w:t xml:space="preserve">Effectively Communicate Dates</w:t>
      </w:r>
      <w:r>
        <w:t xml:space="preserve"> </w:t>
      </w:r>
      <w:r>
        <w:t xml:space="preserve">and</w:t>
      </w:r>
      <w:r>
        <w:t xml:space="preserve"> </w:t>
      </w:r>
      <w:r>
        <w:t xml:space="preserve">Times Internationally</w:t>
      </w:r>
      <w:r>
        <w:t xml:space="preserve">. IONOS Digitalguide n.d.</w:t>
      </w:r>
    </w:p>
    <w:bookmarkEnd w:id="43"/>
    <w:bookmarkStart w:id="44" w:name="ref-ISOISO8601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ISO</w:t>
      </w:r>
      <w:r>
        <w:t xml:space="preserve"> </w:t>
      </w:r>
      <w:r>
        <w:t xml:space="preserve">-</w:t>
      </w:r>
      <w:r>
        <w:t xml:space="preserve"> </w:t>
      </w:r>
      <w:r>
        <w:t xml:space="preserve">ISO</w:t>
      </w:r>
      <w:r>
        <w:t xml:space="preserve"> </w:t>
      </w:r>
      <w:r>
        <w:t xml:space="preserve">8601</w:t>
      </w:r>
      <w:r>
        <w:t xml:space="preserve"> </w:t>
      </w:r>
      <w:r>
        <w:t xml:space="preserve"> </w:t>
      </w:r>
      <w:r>
        <w:t xml:space="preserve">Date</w:t>
      </w:r>
      <w:r>
        <w:t xml:space="preserve"> </w:t>
      </w:r>
      <w:r>
        <w:t xml:space="preserve">and time format. ISO n.d.</w:t>
      </w:r>
    </w:p>
    <w:bookmarkEnd w:id="44"/>
    <w:bookmarkStart w:id="45" w:name="ref-NamingConventionProgramming2020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Naming convention (programming). Wikipedia 2020.</w:t>
      </w:r>
    </w:p>
    <w:bookmarkEnd w:id="45"/>
    <w:bookmarkStart w:id="46" w:name="ref-Git"/>
    <w:p>
      <w:pPr>
        <w:pStyle w:val="Bibliography"/>
      </w:pPr>
      <w:r>
        <w:t xml:space="preserve">[9]</w:t>
      </w:r>
      <w:r>
        <w:t xml:space="preserve"> </w:t>
      </w:r>
      <w:r>
        <w:t xml:space="preserve">	</w:t>
      </w:r>
      <w:r>
        <w:t xml:space="preserve">Git n.d.</w:t>
      </w:r>
    </w:p>
    <w:bookmarkEnd w:id="46"/>
    <w:bookmarkStart w:id="47" w:name="ref-ChallengesIrreproducibleResearch"/>
    <w:p>
      <w:pPr>
        <w:pStyle w:val="Bibliography"/>
      </w:pPr>
      <w:r>
        <w:t xml:space="preserve">[10]</w:t>
      </w:r>
      <w:r>
        <w:t xml:space="preserve"> </w:t>
      </w:r>
      <w:r>
        <w:t xml:space="preserve">	</w:t>
      </w:r>
      <w:r>
        <w:t xml:space="preserve">Challenges in irreproducible research n.d.</w:t>
      </w:r>
    </w:p>
    <w:bookmarkEnd w:id="47"/>
    <w:bookmarkStart w:id="48" w:name="ref-CSVCommaSeparated2012"/>
    <w:p>
      <w:pPr>
        <w:pStyle w:val="Bibliography"/>
      </w:pPr>
      <w:r>
        <w:t xml:space="preserve">[11]</w:t>
      </w:r>
      <w:r>
        <w:t xml:space="preserve"> </w:t>
      </w:r>
      <w:r>
        <w:t xml:space="preserve">	</w:t>
      </w:r>
      <w:r>
        <w:t xml:space="preserve">CSV</w:t>
      </w:r>
      <w:r>
        <w:t xml:space="preserve">,</w:t>
      </w:r>
      <w:r>
        <w:t xml:space="preserve"> </w:t>
      </w:r>
      <w:r>
        <w:t xml:space="preserve">Comma Separated Values</w:t>
      </w:r>
      <w:r>
        <w:t xml:space="preserve"> </w:t>
      </w:r>
      <w:r>
        <w:t xml:space="preserve">(</w:t>
      </w:r>
      <w:r>
        <w:t xml:space="preserve">RFC</w:t>
      </w:r>
      <w:r>
        <w:t xml:space="preserve"> </w:t>
      </w:r>
      <w:r>
        <w:t xml:space="preserve">4180) 2012.</w:t>
      </w:r>
    </w:p>
    <w:bookmarkEnd w:id="48"/>
    <w:bookmarkStart w:id="49" w:name="ref-WelcomePythonOrg"/>
    <w:p>
      <w:pPr>
        <w:pStyle w:val="Bibliography"/>
      </w:pPr>
      <w:r>
        <w:t xml:space="preserve">[12]</w:t>
      </w:r>
      <w:r>
        <w:t xml:space="preserve"> </w:t>
      </w:r>
      <w:r>
        <w:t xml:space="preserve">	</w:t>
      </w:r>
      <w:r>
        <w:t xml:space="preserve">Welcome to</w:t>
      </w:r>
      <w:r>
        <w:t xml:space="preserve"> </w:t>
      </w:r>
      <w:r>
        <w:t xml:space="preserve">Python</w:t>
      </w:r>
      <w:r>
        <w:t xml:space="preserve">.org. Pythonorg n.d.</w:t>
      </w:r>
    </w:p>
    <w:bookmarkEnd w:id="49"/>
    <w:bookmarkStart w:id="50" w:name="ref-ProjectStatisticalComputing"/>
    <w:p>
      <w:pPr>
        <w:pStyle w:val="Bibliography"/>
      </w:pPr>
      <w:r>
        <w:t xml:space="preserve">[13]</w:t>
      </w:r>
      <w:r>
        <w:t xml:space="preserve"> </w:t>
      </w:r>
      <w:r>
        <w:t xml:space="preserve">	</w:t>
      </w:r>
      <w:r>
        <w:t xml:space="preserve">R:</w:t>
      </w:r>
      <w:r>
        <w:t xml:space="preserve"> </w:t>
      </w:r>
      <w:r>
        <w:t xml:space="preserve">The R Project</w:t>
      </w:r>
      <w:r>
        <w:t xml:space="preserve"> </w:t>
      </w:r>
      <w:r>
        <w:t xml:space="preserve">for</w:t>
      </w:r>
      <w:r>
        <w:t xml:space="preserve"> </w:t>
      </w:r>
      <w:r>
        <w:t xml:space="preserve">Statistical Computing</w:t>
      </w:r>
      <w:r>
        <w:t xml:space="preserve"> </w:t>
      </w:r>
      <w:r>
        <w:t xml:space="preserve">n.d.</w:t>
      </w:r>
    </w:p>
    <w:bookmarkEnd w:id="50"/>
    <w:bookmarkStart w:id="52" w:name="ref-wassersteinASAStatementPvalues2016"/>
    <w:p>
      <w:pPr>
        <w:pStyle w:val="Bibliography"/>
      </w:pPr>
      <w:r>
        <w:t xml:space="preserve">[14]</w:t>
      </w:r>
      <w:r>
        <w:t xml:space="preserve"> </w:t>
      </w:r>
      <w:r>
        <w:t xml:space="preserve">	</w:t>
      </w:r>
      <w:r>
        <w:t xml:space="preserve">Wasserstein RL, Lazar NA. The</w:t>
      </w:r>
      <w:r>
        <w:t xml:space="preserve"> </w:t>
      </w:r>
      <w:r>
        <w:t xml:space="preserve">ASA</w:t>
      </w:r>
      <w:r>
        <w:t xml:space="preserve">’s</w:t>
      </w:r>
      <w:r>
        <w:t xml:space="preserve"> </w:t>
      </w:r>
      <w:r>
        <w:t xml:space="preserve">Statement</w:t>
      </w:r>
      <w:r>
        <w:t xml:space="preserve"> </w:t>
      </w:r>
      <w:r>
        <w:t xml:space="preserve">on p-values:</w:t>
      </w:r>
      <w:r>
        <w:t xml:space="preserve"> </w:t>
      </w:r>
      <w:r>
        <w:t xml:space="preserve">Context</w:t>
      </w:r>
      <w:r>
        <w:t xml:space="preserve">,</w:t>
      </w:r>
      <w:r>
        <w:t xml:space="preserve"> </w:t>
      </w:r>
      <w:r>
        <w:t xml:space="preserve">Process</w:t>
      </w:r>
      <w:r>
        <w:t xml:space="preserve">, and</w:t>
      </w:r>
      <w:r>
        <w:t xml:space="preserve"> </w:t>
      </w:r>
      <w:r>
        <w:t xml:space="preserve">Purpose</w:t>
      </w:r>
      <w:r>
        <w:t xml:space="preserve">. The American Statistician 2016;70:129–33.</w:t>
      </w:r>
      <w:r>
        <w:t xml:space="preserve"> </w:t>
      </w:r>
      <w:hyperlink r:id="rId51">
        <w:r>
          <w:rPr>
            <w:rStyle w:val="Hyperlink"/>
          </w:rPr>
          <w:t xml:space="preserve">https://doi.org/10.1080/00031305.2016.1154108</w:t>
        </w:r>
      </w:hyperlink>
      <w:r>
        <w:t xml:space="preserve">.</w:t>
      </w:r>
    </w:p>
    <w:bookmarkEnd w:id="52"/>
    <w:bookmarkStart w:id="54" w:name="ref-trafimowEditorial2015"/>
    <w:p>
      <w:pPr>
        <w:pStyle w:val="Bibliography"/>
      </w:pPr>
      <w:r>
        <w:t xml:space="preserve">[15]</w:t>
      </w:r>
      <w:r>
        <w:t xml:space="preserve"> </w:t>
      </w:r>
      <w:r>
        <w:t xml:space="preserve">	</w:t>
      </w:r>
      <w:r>
        <w:t xml:space="preserve">Trafimow D, Marks M. Editorial. Basic and Applied Social Psychology 2015;37:1–2.</w:t>
      </w:r>
      <w:r>
        <w:t xml:space="preserve"> </w:t>
      </w:r>
      <w:hyperlink r:id="rId53">
        <w:r>
          <w:rPr>
            <w:rStyle w:val="Hyperlink"/>
          </w:rPr>
          <w:t xml:space="preserve">https://doi.org/10.1080/01973533.2015.1012991</w:t>
        </w:r>
      </w:hyperlink>
      <w:r>
        <w:t xml:space="preserve">.</w:t>
      </w:r>
    </w:p>
    <w:bookmarkEnd w:id="54"/>
    <w:bookmarkStart w:id="55" w:name="ref-ZoteroYourPersonal"/>
    <w:p>
      <w:pPr>
        <w:pStyle w:val="Bibliography"/>
      </w:pPr>
      <w:r>
        <w:t xml:space="preserve">[16]</w:t>
      </w:r>
      <w:r>
        <w:t xml:space="preserve"> </w:t>
      </w:r>
      <w:r>
        <w:t xml:space="preserve">	</w:t>
      </w:r>
      <w:r>
        <w:t xml:space="preserve">Zotero |</w:t>
      </w:r>
      <w:r>
        <w:t xml:space="preserve"> </w:t>
      </w:r>
      <w:r>
        <w:t xml:space="preserve">Your</w:t>
      </w:r>
      <w:r>
        <w:t xml:space="preserve"> </w:t>
      </w:r>
      <w:r>
        <w:t xml:space="preserve">personal research assistant n.d.</w:t>
      </w:r>
    </w:p>
    <w:bookmarkEnd w:id="55"/>
    <w:bookmarkEnd w:id="56"/>
    <w:p>
      <w:r>
        <w:br w:type="page"/>
      </w:r>
    </w:p>
    <w:bookmarkEnd w:id="57"/>
    <w:bookmarkStart w:id="58" w:name="session-information"/>
    <w:p>
      <w:pPr>
        <w:pStyle w:val="Heading1"/>
      </w:pPr>
      <w:r>
        <w:t xml:space="preserve">Session Information</w:t>
      </w:r>
    </w:p>
    <w:p>
      <w:pPr>
        <w:pStyle w:val="TableCaption"/>
      </w:pPr>
      <w:r>
        <w:t xml:space="preserve">Packages Used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ckages Us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4.0.4</w:t>
            </w:r>
          </w:p>
        </w:tc>
        <w:tc>
          <w:p>
            <w:pPr>
              <w:pStyle w:val="Compact"/>
              <w:jc w:val="left"/>
            </w:pPr>
            <w:r>
              <w:t xml:space="preserve">2021-02-15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>
            <w:pPr>
              <w:pStyle w:val="Compact"/>
              <w:jc w:val="left"/>
            </w:pPr>
            <w:r>
              <w:t xml:space="preserve">2021-02-19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2021-01-27</w:t>
            </w:r>
          </w:p>
        </w:tc>
      </w:tr>
    </w:tbl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Keele</w:t>
      </w:r>
      <w:r>
        <w:t xml:space="preserve"> </w:t>
      </w:r>
      <w:r>
        <w:t xml:space="preserve">University,</w:t>
      </w:r>
      <w:r>
        <w:t xml:space="preserve"> </w:t>
      </w:r>
      <w:hyperlink r:id="rId21">
        <w:r>
          <w:rPr>
            <w:rStyle w:val="Hyperlink"/>
          </w:rPr>
          <w:t xml:space="preserve">g.m.bernardo.harrington@keele.ac.uk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Keele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email@here.com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</w:t>
      </w:r>
      <w:r>
        <w:t xml:space="preserve"> </w:t>
      </w:r>
      <w:r>
        <w:t xml:space="preserve">Robert</w:t>
      </w:r>
      <w:r>
        <w:t xml:space="preserve"> </w:t>
      </w:r>
      <w:r>
        <w:t xml:space="preserve">Jones</w:t>
      </w:r>
      <w:r>
        <w:t xml:space="preserve"> </w:t>
      </w:r>
      <w:r>
        <w:t xml:space="preserve">and</w:t>
      </w:r>
      <w:r>
        <w:t xml:space="preserve"> </w:t>
      </w:r>
      <w:r>
        <w:t xml:space="preserve">Agnes</w:t>
      </w:r>
      <w:r>
        <w:t xml:space="preserve"> </w:t>
      </w:r>
      <w:r>
        <w:t xml:space="preserve">Hunt</w:t>
      </w:r>
      <w:r>
        <w:t xml:space="preserve"> </w:t>
      </w:r>
      <w:r>
        <w:t xml:space="preserve">Orthopaedic</w:t>
      </w:r>
      <w:r>
        <w:t xml:space="preserve"> </w:t>
      </w:r>
      <w:r>
        <w:t xml:space="preserve">Hospital,</w:t>
      </w:r>
      <w:r>
        <w:t xml:space="preserve"> </w:t>
      </w:r>
      <w:hyperlink r:id="rId25">
        <w:r>
          <w:rPr>
            <w:rStyle w:val="Hyperlink"/>
          </w:rPr>
          <w:t xml:space="preserve">john@example.org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69b462f8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reativecommons.org/licenses/" TargetMode="External" /><Relationship Type="http://schemas.openxmlformats.org/officeDocument/2006/relationships/hyperlink" Id="rId27" Target="https://docker-science.github.io/" TargetMode="External" /><Relationship Type="http://schemas.openxmlformats.org/officeDocument/2006/relationships/hyperlink" Id="rId36" Target="https://doi.org/10.1038/514005a" TargetMode="External" /><Relationship Type="http://schemas.openxmlformats.org/officeDocument/2006/relationships/hyperlink" Id="rId51" Target="https://doi.org/10.1080/00031305.2016.1154108" TargetMode="External" /><Relationship Type="http://schemas.openxmlformats.org/officeDocument/2006/relationships/hyperlink" Id="rId53" Target="https://doi.org/10.1080/01973533.2015.1012991" TargetMode="External" /><Relationship Type="http://schemas.openxmlformats.org/officeDocument/2006/relationships/hyperlink" Id="rId39" Target="https://doi.org/10.1101/2020.05.05.20088757" TargetMode="External" /><Relationship Type="http://schemas.openxmlformats.org/officeDocument/2006/relationships/hyperlink" Id="rId31" Target="https://mit-license.org/" TargetMode="External" /><Relationship Type="http://schemas.openxmlformats.org/officeDocument/2006/relationships/hyperlink" Id="rId26" Target="https://towardsdatascience.com/getting-started-with-docker-for-data-scientists-a2ed505e2a09" TargetMode="External" /><Relationship Type="http://schemas.openxmlformats.org/officeDocument/2006/relationships/hyperlink" Id="rId30" Target="https://www.gnu.org/licenses/gpl-3.0.en.html" TargetMode="External" /><Relationship Type="http://schemas.openxmlformats.org/officeDocument/2006/relationships/hyperlink" Id="rId33" Target="https://www.ibm.com/uk-en/cloud/learn/containerization" TargetMode="External" /><Relationship Type="http://schemas.openxmlformats.org/officeDocument/2006/relationships/hyperlink" Id="rId23" Target="mailto:email@here.com" TargetMode="External" /><Relationship Type="http://schemas.openxmlformats.org/officeDocument/2006/relationships/hyperlink" Id="rId21" Target="mailto:g.m.bernardo.harrington@keele.ac.uk" TargetMode="External" /><Relationship Type="http://schemas.openxmlformats.org/officeDocument/2006/relationships/hyperlink" Id="rId25" Target="mailto:john@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reativecommons.org/licenses/" TargetMode="External" /><Relationship Type="http://schemas.openxmlformats.org/officeDocument/2006/relationships/hyperlink" Id="rId27" Target="https://docker-science.github.io/" TargetMode="External" /><Relationship Type="http://schemas.openxmlformats.org/officeDocument/2006/relationships/hyperlink" Id="rId36" Target="https://doi.org/10.1038/514005a" TargetMode="External" /><Relationship Type="http://schemas.openxmlformats.org/officeDocument/2006/relationships/hyperlink" Id="rId51" Target="https://doi.org/10.1080/00031305.2016.1154108" TargetMode="External" /><Relationship Type="http://schemas.openxmlformats.org/officeDocument/2006/relationships/hyperlink" Id="rId53" Target="https://doi.org/10.1080/01973533.2015.1012991" TargetMode="External" /><Relationship Type="http://schemas.openxmlformats.org/officeDocument/2006/relationships/hyperlink" Id="rId39" Target="https://doi.org/10.1101/2020.05.05.20088757" TargetMode="External" /><Relationship Type="http://schemas.openxmlformats.org/officeDocument/2006/relationships/hyperlink" Id="rId31" Target="https://mit-license.org/" TargetMode="External" /><Relationship Type="http://schemas.openxmlformats.org/officeDocument/2006/relationships/hyperlink" Id="rId26" Target="https://towardsdatascience.com/getting-started-with-docker-for-data-scientists-a2ed505e2a09" TargetMode="External" /><Relationship Type="http://schemas.openxmlformats.org/officeDocument/2006/relationships/hyperlink" Id="rId30" Target="https://www.gnu.org/licenses/gpl-3.0.en.html" TargetMode="External" /><Relationship Type="http://schemas.openxmlformats.org/officeDocument/2006/relationships/hyperlink" Id="rId33" Target="https://www.ibm.com/uk-en/cloud/learn/containerization" TargetMode="External" /><Relationship Type="http://schemas.openxmlformats.org/officeDocument/2006/relationships/hyperlink" Id="rId23" Target="mailto:email@here.com" TargetMode="External" /><Relationship Type="http://schemas.openxmlformats.org/officeDocument/2006/relationships/hyperlink" Id="rId21" Target="mailto:g.m.bernardo.harrington@keele.ac.uk" TargetMode="External" /><Relationship Type="http://schemas.openxmlformats.org/officeDocument/2006/relationships/hyperlink" Id="rId25" Target="mailto:john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</dc:title>
  <dc:creator>Gabriel Mateus Bernardo Harrington; Jade Perry; Professor Paul Cool</dc:creator>
  <cp:keywords/>
  <dcterms:created xsi:type="dcterms:W3CDTF">2021-02-20T18:46:54Z</dcterms:created>
  <dcterms:modified xsi:type="dcterms:W3CDTF">2021-02-20T18:46:54Z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reproducible_research.bib</vt:lpwstr>
  </property>
  <property fmtid="{D5CDD505-2E9C-101B-9397-08002B2CF9AE}" pid="3" name="csl">
    <vt:lpwstr>vancouver.csl</vt:lpwstr>
  </property>
  <property fmtid="{D5CDD505-2E9C-101B-9397-08002B2CF9AE}" pid="4" name="date">
    <vt:lpwstr>2021-02-20</vt:lpwstr>
  </property>
  <property fmtid="{D5CDD505-2E9C-101B-9397-08002B2CF9AE}" pid="5" name="fontsize">
    <vt:lpwstr>12</vt:lpwstr>
  </property>
  <property fmtid="{D5CDD505-2E9C-101B-9397-08002B2CF9AE}" pid="6" name="header-includes">
    <vt:lpwstr/>
  </property>
  <property fmtid="{D5CDD505-2E9C-101B-9397-08002B2CF9AE}" pid="7" name="link-citations">
    <vt:lpwstr>yes</vt:lpwstr>
  </property>
  <property fmtid="{D5CDD505-2E9C-101B-9397-08002B2CF9AE}" pid="8" name="mainfont">
    <vt:lpwstr>Arial</vt:lpwstr>
  </property>
  <property fmtid="{D5CDD505-2E9C-101B-9397-08002B2CF9AE}" pid="9" name="output">
    <vt:lpwstr/>
  </property>
</Properties>
</file>