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2023-02-15 au 2023-02-08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