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Rentabilitätsvorschau</w:t>
      </w:r>
    </w:p>
    <w:p>
      <w:r>
        <w:rPr>
          <w:b/>
          <w:color w:val="59645F"/>
          <w:sz w:val="20"/>
        </w:rPr>
        <w:t>Geschäftsjahre 1 bis 3 | Beträge in TEUR, netto, ohne AfA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5"/>
            <w:shd w:fill="FFF0D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32D"/>
                <w:sz w:val="16"/>
              </w:rPr>
              <w:t>ENTWURF. Alle nicht belegten Zahlen sind Planannahmen. Vor Bankeinreichung sind Registerdaten, Geschäftsführergehälter, Steuerbehandlung, Umsatzsteuer, Pilot- und Context-Activation-Verträge zu bestätigen.</w:t>
            </w:r>
          </w:p>
        </w:tc>
      </w:tr>
    </w:tbl>
    <w:p/>
    <w:p>
      <w:pPr>
        <w:pStyle w:val="Heading2"/>
      </w:pPr>
      <w:r>
        <w:t>Umsatztreiber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5783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Treiber</w:t>
            </w:r>
          </w:p>
        </w:tc>
        <w:tc>
          <w:tcPr>
            <w:tcW w:type="dxa" w:w="1474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Jahr 1</w:t>
            </w:r>
          </w:p>
        </w:tc>
        <w:tc>
          <w:tcPr>
            <w:tcW w:type="dxa" w:w="1474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Jahr 2</w:t>
            </w:r>
          </w:p>
        </w:tc>
        <w:tc>
          <w:tcPr>
            <w:tcW w:type="dxa" w:w="1474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Jahr 3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zahlende Endkunden zum Jahresende (exkl. Design-Partner)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12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24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Design-Partner zum API-Token-Selbstkostenpreis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Preis je aktivem Seat / Monat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50 EUR Pilot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ab 69 EUR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ab 69 EUR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bezahlte Seats je kommerziellem Endkunden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45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45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45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End-ARR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108,0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406,1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853,2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SaaS-/Pilotumsatz im Geschäftsjahr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36,0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257,0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614,1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Context-Activation-Pakete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20,0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40,0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60,0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realisierter Nettoumsatz gesamt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56,0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297,0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674,1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35"/>
      </w:tblGrid>
      <w:tr>
        <w:trPr>
          <w:cantSplit/>
        </w:trPr>
        <w:tc>
          <w:tcPr>
            <w:tcW w:type="dxa" w:w="10035"/>
            <w:shd w:fill="F2F5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0F5B4D"/>
                <w:sz w:val="18"/>
              </w:rPr>
              <w:t>Herleitung</w:t>
              <w:br/>
            </w:r>
            <w:r>
              <w:rPr>
                <w:color w:val="17332D"/>
                <w:sz w:val="16"/>
              </w:rPr>
              <w:t>Jahr 1 enthält vier zahlende Kunden ab M6/M8/M10/M12 mit 45 Seats zu 50 EUR pro Monat sowie vier Context-Activation-Pakete zu je 5 TEUR. Die zwei vorhandenen Design-Partner-LOIs laufen ausschließlich zum API-Token-Selbstkostenpreis und sind nicht als Umsatz enthalten. Ab Jahr 2 gilt 69 EUR nur für neue kommerzielle Kohorten. Jahresvorauszahlungen, Win-Fees und unbewiesene Reuse-/Erfolgsumsätze sind nicht angesetzt.</w:t>
            </w:r>
          </w:p>
        </w:tc>
      </w:tr>
    </w:tbl>
    <w:p>
      <w:pPr>
        <w:pStyle w:val="Heading2"/>
      </w:pPr>
      <w:r>
        <w:t>Personalkosten Jahr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4195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Rolle</w:t>
            </w:r>
          </w:p>
        </w:tc>
        <w:tc>
          <w:tcPr>
            <w:tcW w:type="dxa" w:w="1474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Brutto M1-3</w:t>
            </w:r>
          </w:p>
        </w:tc>
        <w:tc>
          <w:tcPr>
            <w:tcW w:type="dxa" w:w="1474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Brutto M4-6</w:t>
            </w:r>
          </w:p>
        </w:tc>
        <w:tc>
          <w:tcPr>
            <w:tcW w:type="dxa" w:w="1474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Brutto M7-12</w:t>
            </w:r>
          </w:p>
        </w:tc>
        <w:tc>
          <w:tcPr>
            <w:tcW w:type="dxa" w:w="1701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AG-Kosten Jahr 1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CEO / Commercial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7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CTO / Security &amp; Engineering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7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CPO / Product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7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Verbindliche Personalkosten im Base-Case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0,0</w:t>
            </w:r>
          </w:p>
        </w:tc>
        <w:tc>
          <w:tcPr>
            <w:tcW w:type="dxa" w:w="17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0,0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Konditionaler Personalrahmen nach Zusatzförderung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-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-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max. 80,0</w:t>
            </w:r>
          </w:p>
        </w:tc>
        <w:tc>
          <w:tcPr>
            <w:tcW w:type="dxa" w:w="17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nicht im Base-Case</w:t>
            </w:r>
          </w:p>
        </w:tc>
      </w:tr>
    </w:tbl>
    <w:p>
      <w:pPr>
        <w:pStyle w:val="Heading2"/>
      </w:pPr>
      <w:r>
        <w:t>Ergebnisvorschau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5783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Position</w:t>
            </w:r>
          </w:p>
        </w:tc>
        <w:tc>
          <w:tcPr>
            <w:tcW w:type="dxa" w:w="1474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Jahr 1</w:t>
            </w:r>
          </w:p>
        </w:tc>
        <w:tc>
          <w:tcPr>
            <w:tcW w:type="dxa" w:w="1474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Jahr 2</w:t>
            </w:r>
          </w:p>
        </w:tc>
        <w:tc>
          <w:tcPr>
            <w:tcW w:type="dxa" w:w="1474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Jahr 3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1. Nettoumsatz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56,0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297,0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674,1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2. Direkter Wareneinsatz / variable Cloud- und LLM-COGS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4,3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30,8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73,7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3. Rohertrag / Rohgewinn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51,7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266,2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600,4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4.1 Personalkosten inkl. Lohnnebenkosten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198,6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351,0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4.1.1 davon Gründer-/Geschäftsführergehälter inkl. AG-Anteil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165,6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165,6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4.2 Miete / Coworking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3,0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8,0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12,0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4.3 Heizung, Strom, Wasser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0,5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2,0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4.4 Werbung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6,0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12,0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25,0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4.5 Kraftfahrzeugkosten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4.6 Reisekosten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4,0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8,0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15,0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4.7 Telefon, Internet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1,5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3,0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5,0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4.8 Büromaterial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0,5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2,0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4.9 Verpackung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4.10 Reparatur / Instandhaltung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0,5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2,0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4.11 Versicherungen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2,5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4,0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6,0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4.12 Beiträge / Kammern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0,5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2,0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4.13 Leasing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4.14 Buchführung / Beratung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6,0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15,0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4.15 Sonstige Aufwendungen inkl. fixer Tech-Stack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13,0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11,0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19,0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Summe Aufwendungen 4.1 bis 4.15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38,0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258,6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456,0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5. Ergebnis vor Steuern, AfA und Zinsen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13,7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7,6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144,4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6. Zinsen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9,0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9,0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8,5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7. Ertragsteuern - vorläufig nach Verlustvortrag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8. Jahresüberschuss / -defizit vor AfA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4,6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-1,4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135,9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9. Tilgung - nur Liquidität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25,0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10. Private Versicherungen - GmbH nicht angesetzt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4"/>
              </w:rPr>
              <w:t>0,0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11. Verfügbarer Betrag nach Tilgung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4,6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-1,4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4"/>
              </w:rPr>
              <w:t>110,9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35"/>
      </w:tblGrid>
      <w:tr>
        <w:trPr>
          <w:cantSplit/>
        </w:trPr>
        <w:tc>
          <w:tcPr>
            <w:tcW w:type="dxa" w:w="10035"/>
            <w:shd w:fill="F2F5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0F5B4D"/>
                <w:sz w:val="18"/>
              </w:rPr>
              <w:t>Planungslogik</w:t>
              <w:br/>
            </w:r>
            <w:r>
              <w:rPr>
                <w:color w:val="17332D"/>
                <w:sz w:val="16"/>
              </w:rPr>
              <w:t>End-ARR: 108,0 / 406,1 / 853,2 TEUR. Zahlende Kunden am Jahresende: 4 / 12 / 24, jeweils zusätzlich zu den zwei Token-Selbstkosten-Design-Partnern. Der Umsatz entsteht aus expliziten Startmonaten, Seats und Preisen. Wareneinsatz umfasst 12 Prozent der wiederkehrenden Umsätze; fixe Cloud-/Tech-Kosten stehen unter sonstigen Aufwendungen. Die KfW-Vorlage weist das Ergebnis ohne AfA aus.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35"/>
      </w:tblGrid>
      <w:tr>
        <w:trPr>
          <w:cantSplit/>
        </w:trPr>
        <w:tc>
          <w:tcPr>
            <w:tcW w:type="dxa" w:w="10035"/>
            <w:shd w:fill="F2F5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0F5B4D"/>
                <w:sz w:val="18"/>
              </w:rPr>
              <w:t>Personal- und Kosten-Gates</w:t>
              <w:br/>
            </w:r>
            <w:r>
              <w:rPr>
                <w:color w:val="17332D"/>
                <w:sz w:val="16"/>
              </w:rPr>
              <w:t>Jahr 1 enthält keine festen Gründergehälter und keine verbindlichen Personalkosten. Ein Personalrahmen bis maximal 80 TEUR darf erst nach gesonderter zusätzlicher Förderung und Gesellschafterfreigabe ausgelöst werden; er ist nicht im Base-Case finanziert. Ab Jahr 2 werden Gründergehälter angesetzt; erster Engineer ab M20, Customer Success ab M28 und Sales ab M31. Personalkosten im Base-Case: 0,0 / 198,6 / 351,0 TEUR.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35"/>
      </w:tblGrid>
      <w:tr>
        <w:trPr>
          <w:cantSplit/>
        </w:trPr>
        <w:tc>
          <w:tcPr>
            <w:tcW w:type="dxa" w:w="10035"/>
            <w:shd w:fill="FFF0D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0F5B4D"/>
                <w:sz w:val="18"/>
              </w:rPr>
              <w:t>Vor Einreichung</w:t>
              <w:br/>
            </w:r>
            <w:r>
              <w:rPr>
                <w:color w:val="17332D"/>
                <w:sz w:val="16"/>
              </w:rPr>
              <w:t>Vor Einreichung sind private Lebensunterhaltssicherung, zeitlicher Gründerumfang, Sozialversicherung sowie das Fehlen nachträglich fälliger oder gestundeter Gehaltsansprüche zu belegen. Das positive Jahr-1-EBITDA ist nicht normalisiert, sondern beruht auf unentgeltlicher Gründerarbeit. Steuerberater muss Verlustvortrag, Körperschaftsteuer, Gewerbesteuer, Aktivierung und Abschreibung der Software sowie Umsatzsteuer bestätigen. Der Kapitaldienst in Jahr 3 beträgt bei 10/2/10 und 4,52 Prozent rund 33,5 TEUR; vereinfachter EBITDA-DSCR ca. 4,3x. Cash-Steuern sind vorläufig mit null angesetzt, weil die steuerliche Abschreibung/Aktivierung des Softwarepakets das niedrige Jahr-1-Ergebnis vor AfA voraussichtlich überlagert; Steuerberater muss dies bestätigen.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35"/>
      </w:tblGrid>
      <w:tr>
        <w:trPr>
          <w:cantSplit/>
        </w:trPr>
        <w:tc>
          <w:tcPr>
            <w:tcW w:type="dxa" w:w="10035"/>
            <w:shd w:fill="F2F5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0F5B4D"/>
                <w:sz w:val="18"/>
              </w:rPr>
              <w:t>Quellenbasis</w:t>
              <w:br/>
            </w:r>
            <w:r>
              <w:rPr>
                <w:color w:val="17332D"/>
                <w:sz w:val="16"/>
              </w:rPr>
              <w:t>KfW-Formular 600 000 5284; KfW-Merkblatt 067, Stand 18.06.2026; KfW-Produktseite abgerufen 12.07.2026; Consultry Product Vision v2.7, MVP-PRD, GTM Decisions und Onboarding-/Korpus-Ritual. Die OmniSEC-Arbeitsmappe wurde nur als strukturelle Inspiration für Treiber-, Rollen- und Szenariologik verwendet; keine OmniSEC-Zahl wurde übernommen.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850" w:left="96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9645F"/>
        <w:sz w:val="14"/>
      </w:rPr>
      <w:t xml:space="preserve">Consultry Software GmbH | 12.07.2026 | Seite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5" w:space="3" w:color="0F5B4D"/>
      </w:pBdr>
    </w:pPr>
    <w:r>
      <w:drawing>
        <wp:inline xmlns:a="http://schemas.openxmlformats.org/drawingml/2006/main" xmlns:pic="http://schemas.openxmlformats.org/drawingml/2006/picture">
          <wp:extent cx="685800" cy="6751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nsultry-weblogo-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67511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/>
        <w:color w:val="59645F"/>
        <w:sz w:val="15"/>
      </w:rPr>
      <w:t xml:space="preserve">    Rentabilitätsvorschau | KfW StartGeld 067 | ENTWURF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733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5B4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3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Consultry Rentabilitätsvorschau</dc:title>
  <dc:subject>ERP-Gründerkredit StartGeld 067</dc:subject>
  <dc:creator>Consultry Software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