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Liquiditätsplan</w:t>
      </w:r>
    </w:p>
    <w:p>
      <w:r>
        <w:rPr>
          <w:b/>
          <w:color w:val="59645F"/>
          <w:sz w:val="20"/>
        </w:rPr>
        <w:t>Monate 1 bis 12 | Beträge in TEUR | Planungsansicht netto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FF0D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32D"/>
                <w:sz w:val="16"/>
              </w:rPr>
              <w:t>ENTWURF. Alle nicht belegten Zahlen sind Planannahmen. Vor Bankeinreichung sind Registerdaten, Geschäftsführergehälter, Steuerbehandlung, Umsatzsteuer, Pilot- und Context-Activation-Verträge zu bestätigen.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rPr>
          <w:tblHeader w:val="true"/>
        </w:trPr>
        <w:tc>
          <w:tcPr>
            <w:tcW w:type="dxa" w:w="2551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Position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M1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M2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M3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M4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M5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M6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M7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M8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M9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M10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M11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M12</w:t>
            </w:r>
          </w:p>
        </w:tc>
        <w:tc>
          <w:tcPr>
            <w:tcW w:type="dxa" w:w="879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Summe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1.1 SaaS-Zahlungseingänge (1 Monat Lag)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2,25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2,25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4,50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4,50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6,75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6,75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27,00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1.2 Context-Activation-Zahlungseingänge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5,00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5,00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5,00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5,00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20,00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1.3 KfW-Darlehen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1.4 Eigenmittel / Stammkapital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1.5 Summe Liquiditätszugang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200,0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5,0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2,2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7,2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4,5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9,5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6,8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11,8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247,0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2.1 Anlageinvestitionen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26,0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4,0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20,0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15,0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15,0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120,0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2.2 Personal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2.3 fixe Betriebsausgaben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3,167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38,000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2.4 variable Cloud-/LLM-COGS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0,270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0,270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0,540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0,540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0,810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0,810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1,080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4,320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2.5 sonstige Auszahlungen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2.6 Kredittilgung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2.7 Zinsen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0,753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2"/>
              </w:rPr>
              <w:t>9,040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2.8 Summe Liquiditätsabgang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29,920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4,190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24,190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4,460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19,460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4,730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19,730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5,000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171,360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3. Monatlicher Liquiditätssaldo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170,080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-23,920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-7,920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-23,920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0,810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-21,940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2,790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-14,960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4,770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-12,980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6,750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75,640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4. Liquidität kumuliert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170,080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166,160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142,240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134,320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110,400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111,210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89,270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92,060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77,100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81,870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68,890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75,640</w:t>
            </w:r>
          </w:p>
        </w:tc>
        <w:tc>
          <w:tcPr>
            <w:tcW w:type="dxa" w:w="87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2"/>
              </w:rPr>
              <w:t>75,640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</w:trPr>
        <w:tc>
          <w:tcPr>
            <w:tcW w:type="dxa" w:w="15478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Ergebnis</w:t>
              <w:br/>
            </w:r>
            <w:r>
              <w:rPr>
                <w:color w:val="17332D"/>
                <w:sz w:val="16"/>
              </w:rPr>
              <w:t>Endliquidität Jahr 1: 75,640 TEUR. Der niedrigste Cashbestand im 36-Monats-Base-Case liegt bei 41,046 TEUR in Jahr 2 und damit über dem internen 30-TEUR-Puffer. Der Base-Case unterstellt keine zusätzlichen Eigenmittel und keine festen Gründergehälter in Jahr 1. Vier zahlende Kunden starten in M6/M8/M10/M12; SaaS-Zahlungen laufen mit einem Monat Verzögerung. Die zwei Token-Selbstkosten-Design-Partner sind nicht als Umsatz enthalten.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</w:trPr>
        <w:tc>
          <w:tcPr>
            <w:tcW w:type="dxa" w:w="15478"/>
            <w:shd w:fill="FFF0D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Steuer- und Einreichungshinweis</w:t>
              <w:br/>
            </w:r>
            <w:r>
              <w:rPr>
                <w:color w:val="17332D"/>
                <w:sz w:val="16"/>
              </w:rPr>
              <w:t>Die KfW-Vorlage verlangt Umsätze inklusive Umsatzsteuer sowie Steuerzahlungen. Diese Planungsansicht ist netto. Vor Einreichung müssen deutsche Umsatzsteuer, B2B-Reverse-Charge in Österreich, Vorsteuer, Zahlungsziele, Körperschaft-/Gewerbesteuer und der tatsächliche Darlehensabruf monatlich durch den Steuerberater eingearbeitet werden.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</w:trPr>
        <w:tc>
          <w:tcPr>
            <w:tcW w:type="dxa" w:w="15478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Liquiditätssteuerung</w:t>
              <w:br/>
            </w:r>
            <w:r>
              <w:rPr>
                <w:color w:val="17332D"/>
                <w:sz w:val="16"/>
              </w:rPr>
              <w:t>Zusätzlich wird rollierend eine 13-Wochen-Vorschau geführt. Bei erwarteter Liquidität unter 30 TEUR innerhalb von 90 Tagen gelten Spend-Freeze, Hiring-Stopp und Gesellschafterentscheidung. Der konditionale Personalrahmen von maximal 80 TEUR darf erst nach zusätzlicher Förderung freigegeben werden. Ohne Zusatzmittel würde seine volle Ausschöpfung den 36-Monats-Tiefpunkt auf rund -38,954 TEUR senken.</w:t>
            </w:r>
          </w:p>
        </w:tc>
      </w:tr>
    </w:tbl>
    <w:p>
      <w:pPr>
        <w:pStyle w:val="Heading2"/>
      </w:pPr>
      <w:r>
        <w:t>Szenario-Test Jahr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4535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Position</w:t>
            </w:r>
          </w:p>
        </w:tc>
        <w:tc>
          <w:tcPr>
            <w:tcW w:type="dxa" w:w="1701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TEUR</w:t>
            </w:r>
          </w:p>
        </w:tc>
        <w:tc>
          <w:tcPr>
            <w:tcW w:type="dxa" w:w="6803"/>
            <w:shd w:fill="0F5B4D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Annahme / Maßnahme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Base: 4 zahlende Kunden / 4 Activations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75,64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0 TEUR Zusatz-Eigenmittel; kein festes Gründergehalt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Downside: 50 % kommerzieller Cash, 15 % Fixkosten-Gate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60,00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2F5F3"/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kein festes Gründergehalt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Nur LOIs: kein Paid-Customer-Cash, 20 % Fixkosten-Gate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40,56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sz w:val="15"/>
              </w:rPr>
              <w:t>Design-Partner validieren Nutzung, nicht Preis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Mindestliquidität 36-Monats-Base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41,05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Tiefpunkt Jahr 2; 30-TEUR-Management-Puffer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Volle 80 TEUR Personal ohne Zusatzförderung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-4,36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Jahr-1-Ende; 36-Monats-Tiefpunkt ca. -38,95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Zusatzliquidität für 80-TEUR-Freigabe</w:t>
            </w:r>
          </w:p>
        </w:tc>
        <w:tc>
          <w:tcPr>
            <w:tcW w:type="dxa" w:w="17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68,95</w:t>
            </w:r>
          </w:p>
        </w:tc>
        <w:tc>
          <w:tcPr>
            <w:tcW w:type="dxa" w:w="68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BE6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5"/>
              </w:rPr>
              <w:t>erforderlich für 30-TEUR-Puffer über 36 Monate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</w:trPr>
        <w:tc>
          <w:tcPr>
            <w:tcW w:type="dxa" w:w="15478"/>
            <w:shd w:fill="FFF0D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Voraussetzung des Downside-Tests</w:t>
              <w:br/>
            </w:r>
            <w:r>
              <w:rPr>
                <w:color w:val="17332D"/>
                <w:sz w:val="16"/>
              </w:rPr>
              <w:t>In Jahr 1 bestehen keine festen Gründergehälter und keine gestundeten Gehaltsansprüche im Base-Case. Der optionale Personalrahmen ist eine Obergrenze nach Zusatzförderung, kein bereits finanziertes Budget. Jahresvorauszahlungen, zusätzliche bezahlte Kunden und Design-Partner-Umsätze sind nicht zur Schließung unterstellt.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</w:trPr>
        <w:tc>
          <w:tcPr>
            <w:tcW w:type="dxa" w:w="15478"/>
            <w:shd w:fill="F2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F5B4D"/>
                <w:sz w:val="18"/>
              </w:rPr>
              <w:t>Quellenbasis</w:t>
              <w:br/>
            </w:r>
            <w:r>
              <w:rPr>
                <w:color w:val="17332D"/>
                <w:sz w:val="16"/>
              </w:rPr>
              <w:t>KfW-Formular 600 000 5283; KfW-Merkblatt 067, Stand 18.06.2026; KfW-Produktseite abgerufen 12.07.2026; Consultry Businessplan, GTM Decisions und Onboarding-/Korpus-Ritual. OmniSEC diente ausschließlich als Inspiration für Burn-, Cash- und Downside-Darstellung.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680" w:bottom="709" w:left="68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9645F"/>
        <w:sz w:val="14"/>
      </w:rPr>
      <w:t xml:space="preserve">Consultry Software GmbH | 12.07.2026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space="3" w:color="0F5B4D"/>
      </w:pBdr>
    </w:pPr>
    <w:r>
      <w:drawing>
        <wp:inline xmlns:a="http://schemas.openxmlformats.org/drawingml/2006/main" xmlns:pic="http://schemas.openxmlformats.org/drawingml/2006/picture">
          <wp:extent cx="685800" cy="6751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nsultry-web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7511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color w:val="59645F"/>
        <w:sz w:val="15"/>
      </w:rPr>
      <w:t xml:space="preserve">    Liquiditätsplan | KfW StartGeld 067 | ENTWURF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733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B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3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Consultry Liquiditätsplan</dc:title>
  <dc:subject>ERP-Gründerkredit StartGeld 067</dc:subject>
  <dc:creator>Consultry Software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