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Investitionsplan</w:t>
      </w:r>
    </w:p>
    <w:p>
      <w:r>
        <w:rPr>
          <w:b/>
          <w:color w:val="59645F"/>
          <w:sz w:val="20"/>
        </w:rPr>
        <w:t>Kapitalbedarf und Finanzierung | Beträge netto</w:t>
      </w:r>
    </w:p>
    <w:tbl>
      <w:tblPr>
        <w:tblW w:type="auto" w:w="0"/>
        <w:jc w:val="center"/>
        <w:tblLook w:firstColumn="1" w:firstRow="1" w:lastColumn="0" w:lastRow="0" w:noHBand="0" w:noVBand="1" w:val="04A0"/>
      </w:tblPr>
      <w:tblGrid>
        <w:gridCol w:w="10035"/>
      </w:tblGrid>
      <w:tr>
        <w:tc>
          <w:tcPr>
            <w:tcW w:type="dxa" w:w="10035"/>
            <w:shd w:fill="FFF0DB"/>
            <w:tcMar>
              <w:top w:w="80" w:type="dxa"/>
              <w:start w:w="110" w:type="dxa"/>
              <w:bottom w:w="80" w:type="dxa"/>
              <w:end w:w="110" w:type="dxa"/>
            </w:tcMar>
          </w:tcPr>
          <w:p>
            <w:pPr>
              <w:spacing w:after="0"/>
            </w:pPr>
            <w:r>
              <w:rPr>
                <w:rFonts w:ascii="Aptos" w:hAnsi="Aptos"/>
                <w:b/>
                <w:color w:val="17332D"/>
                <w:sz w:val="16"/>
              </w:rPr>
              <w:t>ENTWURF. Alle nicht belegten Zahlen sind Planannahmen. Vor Bankeinreichung sind Registerdaten, Geschäftsführergehälter, Steuerbehandlung, Umsatzsteuer, Pilot- und Context-Activation-Verträge zu bestätigen.</w:t>
            </w:r>
          </w:p>
        </w:tc>
      </w:tr>
    </w:tbl>
    <w:p/>
    <w:p>
      <w:r>
        <w:t>Der modellierte Finanzierungsbedarf des verbindlichen Base-Case beträgt 200.000 EUR und wird über den ERP-Gründerkredit - StartGeld finanziert: 120.000 EUR Investitionen und höchstens 80.000 EUR Betriebsmittel. In Jahr 1 bestehen keine festen Gründergehälter. Ein konditionaler Personalrahmen bis 80.000 EUR ist nicht Teil dieser Finanzierung und darf erst nach gesonderter zusätzlicher Förderung freigegeben werden.</w:t>
      </w:r>
    </w:p>
    <w:p>
      <w:pPr>
        <w:pStyle w:val="Heading2"/>
      </w:pPr>
      <w:r>
        <w:t>A. Investitionen</w:t>
      </w:r>
    </w:p>
    <w:tbl>
      <w:tblPr>
        <w:tblStyle w:val="TableGrid"/>
        <w:tblW w:type="auto" w:w="0"/>
        <w:jc w:val="center"/>
        <w:tblLayout w:type="fixed"/>
        <w:tblLook w:firstColumn="1" w:firstRow="1" w:lastColumn="0" w:lastRow="0" w:noHBand="0" w:noVBand="1" w:val="04A0"/>
      </w:tblPr>
      <w:tblGrid>
        <w:gridCol w:w="3345"/>
        <w:gridCol w:w="3345"/>
        <w:gridCol w:w="3345"/>
      </w:tblGrid>
      <w:tr>
        <w:trPr>
          <w:tblHeader w:val="true"/>
        </w:trPr>
        <w:tc>
          <w:tcPr>
            <w:tcW w:type="dxa" w:w="4649"/>
            <w:shd w:fill="0F5B4D"/>
            <w:vAlign w:val="center"/>
            <w:tcMar>
              <w:top w:w="55" w:type="dxa"/>
              <w:start w:w="75" w:type="dxa"/>
              <w:bottom w:w="55" w:type="dxa"/>
              <w:end w:w="75" w:type="dxa"/>
            </w:tcMar>
          </w:tcPr>
          <w:p>
            <w:pPr>
              <w:spacing w:after="0"/>
            </w:pPr>
            <w:r>
              <w:rPr>
                <w:rFonts w:ascii="Aptos" w:hAnsi="Aptos"/>
                <w:b/>
                <w:color w:val="FFFFFF"/>
                <w:sz w:val="15"/>
              </w:rPr>
              <w:t>Position</w:t>
            </w:r>
          </w:p>
        </w:tc>
        <w:tc>
          <w:tcPr>
            <w:tcW w:type="dxa" w:w="1757"/>
            <w:shd w:fill="0F5B4D"/>
            <w:vAlign w:val="center"/>
            <w:tcMar>
              <w:top w:w="55" w:type="dxa"/>
              <w:start w:w="75" w:type="dxa"/>
              <w:bottom w:w="55" w:type="dxa"/>
              <w:end w:w="75" w:type="dxa"/>
            </w:tcMar>
          </w:tcPr>
          <w:p>
            <w:pPr>
              <w:spacing w:after="0"/>
            </w:pPr>
            <w:r>
              <w:rPr>
                <w:rFonts w:ascii="Aptos" w:hAnsi="Aptos"/>
                <w:b/>
                <w:color w:val="FFFFFF"/>
                <w:sz w:val="15"/>
              </w:rPr>
              <w:t>Betrag</w:t>
            </w:r>
          </w:p>
        </w:tc>
        <w:tc>
          <w:tcPr>
            <w:tcW w:type="dxa" w:w="3798"/>
            <w:shd w:fill="0F5B4D"/>
            <w:vAlign w:val="center"/>
            <w:tcMar>
              <w:top w:w="55" w:type="dxa"/>
              <w:start w:w="75" w:type="dxa"/>
              <w:bottom w:w="55" w:type="dxa"/>
              <w:end w:w="75" w:type="dxa"/>
            </w:tcMar>
          </w:tcPr>
          <w:p>
            <w:pPr>
              <w:spacing w:after="0"/>
            </w:pPr>
            <w:r>
              <w:rPr>
                <w:rFonts w:ascii="Aptos" w:hAnsi="Aptos"/>
                <w:b/>
                <w:color w:val="FFFFFF"/>
                <w:sz w:val="15"/>
              </w:rPr>
              <w:t>Nachweis</w:t>
            </w:r>
          </w:p>
        </w:tc>
      </w:tr>
      <w:tr>
        <w:trPr>
          <w:cantSplit/>
        </w:trPr>
        <w:tc>
          <w:tcPr>
            <w:tcW w:type="dxa" w:w="4649"/>
            <w:vAlign w:val="center"/>
            <w:tcMar>
              <w:top w:w="55" w:type="dxa"/>
              <w:start w:w="75" w:type="dxa"/>
              <w:bottom w:w="55" w:type="dxa"/>
              <w:end w:w="75" w:type="dxa"/>
            </w:tcMar>
          </w:tcPr>
          <w:p>
            <w:pPr>
              <w:spacing w:after="0"/>
            </w:pPr>
            <w:r>
              <w:rPr>
                <w:rFonts w:ascii="Aptos" w:hAnsi="Aptos"/>
                <w:sz w:val="15"/>
              </w:rPr>
              <w:t>Externes, abnahmefähiges MVP-Software-/IP-Paket</w:t>
            </w:r>
          </w:p>
        </w:tc>
        <w:tc>
          <w:tcPr>
            <w:tcW w:type="dxa" w:w="1757"/>
            <w:vAlign w:val="center"/>
            <w:tcMar>
              <w:top w:w="55" w:type="dxa"/>
              <w:start w:w="75" w:type="dxa"/>
              <w:bottom w:w="55" w:type="dxa"/>
              <w:end w:w="75" w:type="dxa"/>
            </w:tcMar>
          </w:tcPr>
          <w:p>
            <w:pPr>
              <w:spacing w:after="0"/>
              <w:jc w:val="right"/>
            </w:pPr>
            <w:r>
              <w:rPr>
                <w:rFonts w:ascii="Aptos" w:hAnsi="Aptos"/>
                <w:sz w:val="15"/>
              </w:rPr>
              <w:t>110.000 EUR</w:t>
            </w:r>
          </w:p>
        </w:tc>
        <w:tc>
          <w:tcPr>
            <w:tcW w:type="dxa" w:w="3798"/>
            <w:vAlign w:val="center"/>
            <w:tcMar>
              <w:top w:w="55" w:type="dxa"/>
              <w:start w:w="75" w:type="dxa"/>
              <w:bottom w:w="55" w:type="dxa"/>
              <w:end w:w="75" w:type="dxa"/>
            </w:tcMar>
          </w:tcPr>
          <w:p>
            <w:pPr>
              <w:spacing w:after="0"/>
              <w:jc w:val="right"/>
            </w:pPr>
            <w:r>
              <w:rPr>
                <w:rFonts w:ascii="Aptos" w:hAnsi="Aptos"/>
                <w:sz w:val="15"/>
              </w:rPr>
              <w:t>Angebote, Pflichtenheft, IP-Übertragung, Aktivierung, Abnahme</w:t>
            </w:r>
          </w:p>
        </w:tc>
      </w:tr>
      <w:tr>
        <w:trPr>
          <w:cantSplit/>
        </w:trPr>
        <w:tc>
          <w:tcPr>
            <w:tcW w:type="dxa" w:w="4649"/>
            <w:vAlign w:val="center"/>
            <w:tcMar>
              <w:top w:w="55" w:type="dxa"/>
              <w:start w:w="75" w:type="dxa"/>
              <w:bottom w:w="55" w:type="dxa"/>
              <w:end w:w="75" w:type="dxa"/>
            </w:tcMar>
            <w:shd w:fill="F2F5F3"/>
          </w:tcPr>
          <w:p>
            <w:pPr>
              <w:spacing w:after="0"/>
            </w:pPr>
            <w:r>
              <w:rPr>
                <w:rFonts w:ascii="Aptos" w:hAnsi="Aptos"/>
                <w:sz w:val="15"/>
              </w:rPr>
              <w:t>Entwicklungs-, Test- und Security-Hardware</w:t>
            </w:r>
          </w:p>
        </w:tc>
        <w:tc>
          <w:tcPr>
            <w:tcW w:type="dxa" w:w="1757"/>
            <w:vAlign w:val="center"/>
            <w:tcMar>
              <w:top w:w="55" w:type="dxa"/>
              <w:start w:w="75" w:type="dxa"/>
              <w:bottom w:w="55" w:type="dxa"/>
              <w:end w:w="75" w:type="dxa"/>
            </w:tcMar>
            <w:shd w:fill="F2F5F3"/>
          </w:tcPr>
          <w:p>
            <w:pPr>
              <w:spacing w:after="0"/>
              <w:jc w:val="right"/>
            </w:pPr>
            <w:r>
              <w:rPr>
                <w:rFonts w:ascii="Aptos" w:hAnsi="Aptos"/>
                <w:sz w:val="15"/>
              </w:rPr>
              <w:t>10.000 EUR</w:t>
            </w:r>
          </w:p>
        </w:tc>
        <w:tc>
          <w:tcPr>
            <w:tcW w:type="dxa" w:w="3798"/>
            <w:vAlign w:val="center"/>
            <w:tcMar>
              <w:top w:w="55" w:type="dxa"/>
              <w:start w:w="75" w:type="dxa"/>
              <w:bottom w:w="55" w:type="dxa"/>
              <w:end w:w="75" w:type="dxa"/>
            </w:tcMar>
            <w:shd w:fill="F2F5F3"/>
          </w:tcPr>
          <w:p>
            <w:pPr>
              <w:spacing w:after="0"/>
              <w:jc w:val="right"/>
            </w:pPr>
            <w:r>
              <w:rPr>
                <w:rFonts w:ascii="Aptos" w:hAnsi="Aptos"/>
                <w:sz w:val="15"/>
              </w:rPr>
              <w:t>Angebote, Inventarisierung</w:t>
            </w:r>
          </w:p>
        </w:tc>
      </w:tr>
      <w:tr>
        <w:trPr>
          <w:cantSplit/>
        </w:trPr>
        <w:tc>
          <w:tcPr>
            <w:tcW w:type="dxa" w:w="4649"/>
            <w:vAlign w:val="center"/>
            <w:tcMar>
              <w:top w:w="55" w:type="dxa"/>
              <w:start w:w="75" w:type="dxa"/>
              <w:bottom w:w="55" w:type="dxa"/>
              <w:end w:w="75" w:type="dxa"/>
            </w:tcMar>
            <w:shd w:fill="DCEBE6"/>
          </w:tcPr>
          <w:p>
            <w:pPr>
              <w:spacing w:after="0"/>
            </w:pPr>
            <w:r>
              <w:rPr>
                <w:rFonts w:ascii="Aptos" w:hAnsi="Aptos"/>
                <w:b/>
                <w:sz w:val="15"/>
              </w:rPr>
              <w:t>Zwischensumme Investitionen</w:t>
            </w:r>
          </w:p>
        </w:tc>
        <w:tc>
          <w:tcPr>
            <w:tcW w:type="dxa" w:w="1757"/>
            <w:vAlign w:val="center"/>
            <w:tcMar>
              <w:top w:w="55" w:type="dxa"/>
              <w:start w:w="75" w:type="dxa"/>
              <w:bottom w:w="55" w:type="dxa"/>
              <w:end w:w="75" w:type="dxa"/>
            </w:tcMar>
            <w:shd w:fill="DCEBE6"/>
          </w:tcPr>
          <w:p>
            <w:pPr>
              <w:spacing w:after="0"/>
              <w:jc w:val="right"/>
            </w:pPr>
            <w:r>
              <w:rPr>
                <w:rFonts w:ascii="Aptos" w:hAnsi="Aptos"/>
                <w:b/>
                <w:sz w:val="15"/>
              </w:rPr>
              <w:t>120.000 EUR</w:t>
            </w:r>
          </w:p>
        </w:tc>
        <w:tc>
          <w:tcPr>
            <w:tcW w:type="dxa" w:w="3798"/>
            <w:vAlign w:val="center"/>
            <w:tcMar>
              <w:top w:w="55" w:type="dxa"/>
              <w:start w:w="75" w:type="dxa"/>
              <w:bottom w:w="55" w:type="dxa"/>
              <w:end w:w="75" w:type="dxa"/>
            </w:tcMar>
            <w:shd w:fill="DCEBE6"/>
          </w:tcPr>
          <w:p>
            <w:pPr>
              <w:spacing w:after="0"/>
              <w:jc w:val="right"/>
            </w:pPr>
            <w:r>
              <w:rPr>
                <w:rFonts w:ascii="Aptos" w:hAnsi="Aptos"/>
                <w:b/>
                <w:sz w:val="15"/>
              </w:rPr>
              <w:t>bankseitige Förderfähigkeitsbestätigung erforderlich</w:t>
            </w:r>
          </w:p>
        </w:tc>
      </w:tr>
    </w:tbl>
    <w:p>
      <w:pPr>
        <w:pStyle w:val="Heading2"/>
      </w:pPr>
      <w:r>
        <w:t>A.1 Arbeitsstruktur des externen Software-/IP-Pakets</w:t>
      </w:r>
    </w:p>
    <w:tbl>
      <w:tblPr>
        <w:tblStyle w:val="TableGrid"/>
        <w:tblW w:type="auto" w:w="0"/>
        <w:jc w:val="center"/>
        <w:tblLayout w:type="fixed"/>
        <w:tblLook w:firstColumn="1" w:firstRow="1" w:lastColumn="0" w:lastRow="0" w:noHBand="0" w:noVBand="1" w:val="04A0"/>
      </w:tblPr>
      <w:tblGrid>
        <w:gridCol w:w="5017"/>
        <w:gridCol w:w="5017"/>
      </w:tblGrid>
      <w:tr>
        <w:trPr>
          <w:tblHeader w:val="true"/>
        </w:trPr>
        <w:tc>
          <w:tcPr>
            <w:tcW w:type="dxa" w:w="8447"/>
            <w:shd w:fill="0F5B4D"/>
            <w:vAlign w:val="center"/>
            <w:tcMar>
              <w:top w:w="55" w:type="dxa"/>
              <w:start w:w="75" w:type="dxa"/>
              <w:bottom w:w="55" w:type="dxa"/>
              <w:end w:w="75" w:type="dxa"/>
            </w:tcMar>
          </w:tcPr>
          <w:p>
            <w:pPr>
              <w:spacing w:after="0"/>
            </w:pPr>
            <w:r>
              <w:rPr>
                <w:rFonts w:ascii="Aptos" w:hAnsi="Aptos"/>
                <w:b/>
                <w:color w:val="FFFFFF"/>
                <w:sz w:val="15"/>
              </w:rPr>
              <w:t>Abnahmefähiges Arbeitspaket</w:t>
            </w:r>
          </w:p>
        </w:tc>
        <w:tc>
          <w:tcPr>
            <w:tcW w:type="dxa" w:w="1757"/>
            <w:shd w:fill="0F5B4D"/>
            <w:vAlign w:val="center"/>
            <w:tcMar>
              <w:top w:w="55" w:type="dxa"/>
              <w:start w:w="75" w:type="dxa"/>
              <w:bottom w:w="55" w:type="dxa"/>
              <w:end w:w="75" w:type="dxa"/>
            </w:tcMar>
          </w:tcPr>
          <w:p>
            <w:pPr>
              <w:spacing w:after="0"/>
            </w:pPr>
            <w:r>
              <w:rPr>
                <w:rFonts w:ascii="Aptos" w:hAnsi="Aptos"/>
                <w:b/>
                <w:color w:val="FFFFFF"/>
                <w:sz w:val="15"/>
              </w:rPr>
              <w:t>Betrag</w:t>
            </w:r>
          </w:p>
        </w:tc>
      </w:tr>
      <w:tr>
        <w:trPr>
          <w:cantSplit/>
        </w:trPr>
        <w:tc>
          <w:tcPr>
            <w:tcW w:type="dxa" w:w="8447"/>
            <w:vAlign w:val="center"/>
            <w:tcMar>
              <w:top w:w="55" w:type="dxa"/>
              <w:start w:w="75" w:type="dxa"/>
              <w:bottom w:w="55" w:type="dxa"/>
              <w:end w:w="75" w:type="dxa"/>
            </w:tcMar>
          </w:tcPr>
          <w:p>
            <w:pPr>
              <w:spacing w:after="0"/>
            </w:pPr>
            <w:r>
              <w:rPr>
                <w:rFonts w:ascii="Aptos" w:hAnsi="Aptos"/>
                <w:sz w:val="15"/>
              </w:rPr>
              <w:t>Source-bound Context Graph, Korpus- und Consulting-Objektmodell</w:t>
            </w:r>
          </w:p>
        </w:tc>
        <w:tc>
          <w:tcPr>
            <w:tcW w:type="dxa" w:w="1757"/>
            <w:vAlign w:val="center"/>
            <w:tcMar>
              <w:top w:w="55" w:type="dxa"/>
              <w:start w:w="75" w:type="dxa"/>
              <w:bottom w:w="55" w:type="dxa"/>
              <w:end w:w="75" w:type="dxa"/>
            </w:tcMar>
          </w:tcPr>
          <w:p>
            <w:pPr>
              <w:spacing w:after="0"/>
              <w:jc w:val="right"/>
            </w:pPr>
            <w:r>
              <w:rPr>
                <w:rFonts w:ascii="Aptos" w:hAnsi="Aptos"/>
                <w:sz w:val="15"/>
              </w:rPr>
              <w:t>28.000 EUR</w:t>
            </w:r>
          </w:p>
        </w:tc>
      </w:tr>
      <w:tr>
        <w:trPr>
          <w:cantSplit/>
        </w:trPr>
        <w:tc>
          <w:tcPr>
            <w:tcW w:type="dxa" w:w="8447"/>
            <w:vAlign w:val="center"/>
            <w:tcMar>
              <w:top w:w="55" w:type="dxa"/>
              <w:start w:w="75" w:type="dxa"/>
              <w:bottom w:w="55" w:type="dxa"/>
              <w:end w:w="75" w:type="dxa"/>
            </w:tcMar>
            <w:shd w:fill="F2F5F3"/>
          </w:tcPr>
          <w:p>
            <w:pPr>
              <w:spacing w:after="0"/>
            </w:pPr>
            <w:r>
              <w:rPr>
                <w:rFonts w:ascii="Aptos" w:hAnsi="Aptos"/>
                <w:sz w:val="15"/>
              </w:rPr>
              <w:t>Consultry Engine, HarnessPack-Vertrag, Authentisierung und Security</w:t>
            </w:r>
          </w:p>
        </w:tc>
        <w:tc>
          <w:tcPr>
            <w:tcW w:type="dxa" w:w="1757"/>
            <w:vAlign w:val="center"/>
            <w:tcMar>
              <w:top w:w="55" w:type="dxa"/>
              <w:start w:w="75" w:type="dxa"/>
              <w:bottom w:w="55" w:type="dxa"/>
              <w:end w:w="75" w:type="dxa"/>
            </w:tcMar>
            <w:shd w:fill="F2F5F3"/>
          </w:tcPr>
          <w:p>
            <w:pPr>
              <w:spacing w:after="0"/>
              <w:jc w:val="right"/>
            </w:pPr>
            <w:r>
              <w:rPr>
                <w:rFonts w:ascii="Aptos" w:hAnsi="Aptos"/>
                <w:sz w:val="15"/>
              </w:rPr>
              <w:t>25.000 EUR</w:t>
            </w:r>
          </w:p>
        </w:tc>
      </w:tr>
      <w:tr>
        <w:trPr>
          <w:cantSplit/>
        </w:trPr>
        <w:tc>
          <w:tcPr>
            <w:tcW w:type="dxa" w:w="8447"/>
            <w:vAlign w:val="center"/>
            <w:tcMar>
              <w:top w:w="55" w:type="dxa"/>
              <w:start w:w="75" w:type="dxa"/>
              <w:bottom w:w="55" w:type="dxa"/>
              <w:end w:w="75" w:type="dxa"/>
            </w:tcMar>
          </w:tcPr>
          <w:p>
            <w:pPr>
              <w:spacing w:after="0"/>
            </w:pPr>
            <w:r>
              <w:rPr>
                <w:rFonts w:ascii="Aptos" w:hAnsi="Aptos"/>
                <w:sz w:val="15"/>
              </w:rPr>
              <w:t>Opportunity-to-Concept, Evidence Pack und Grounding-Pipeline</w:t>
            </w:r>
          </w:p>
        </w:tc>
        <w:tc>
          <w:tcPr>
            <w:tcW w:type="dxa" w:w="1757"/>
            <w:vAlign w:val="center"/>
            <w:tcMar>
              <w:top w:w="55" w:type="dxa"/>
              <w:start w:w="75" w:type="dxa"/>
              <w:bottom w:w="55" w:type="dxa"/>
              <w:end w:w="75" w:type="dxa"/>
            </w:tcMar>
          </w:tcPr>
          <w:p>
            <w:pPr>
              <w:spacing w:after="0"/>
              <w:jc w:val="right"/>
            </w:pPr>
            <w:r>
              <w:rPr>
                <w:rFonts w:ascii="Aptos" w:hAnsi="Aptos"/>
                <w:sz w:val="15"/>
              </w:rPr>
              <w:t>25.000 EUR</w:t>
            </w:r>
          </w:p>
        </w:tc>
      </w:tr>
      <w:tr>
        <w:trPr>
          <w:cantSplit/>
        </w:trPr>
        <w:tc>
          <w:tcPr>
            <w:tcW w:type="dxa" w:w="8447"/>
            <w:vAlign w:val="center"/>
            <w:tcMar>
              <w:top w:w="55" w:type="dxa"/>
              <w:start w:w="75" w:type="dxa"/>
              <w:bottom w:w="55" w:type="dxa"/>
              <w:end w:w="75" w:type="dxa"/>
            </w:tcMar>
            <w:shd w:fill="F2F5F3"/>
          </w:tcPr>
          <w:p>
            <w:pPr>
              <w:spacing w:after="0"/>
            </w:pPr>
            <w:r>
              <w:rPr>
                <w:rFonts w:ascii="Aptos" w:hAnsi="Aptos"/>
                <w:sz w:val="15"/>
              </w:rPr>
              <w:t>Rollen-Workspace, anonyme TeamShape und Human Approval</w:t>
            </w:r>
          </w:p>
        </w:tc>
        <w:tc>
          <w:tcPr>
            <w:tcW w:type="dxa" w:w="1757"/>
            <w:vAlign w:val="center"/>
            <w:tcMar>
              <w:top w:w="55" w:type="dxa"/>
              <w:start w:w="75" w:type="dxa"/>
              <w:bottom w:w="55" w:type="dxa"/>
              <w:end w:w="75" w:type="dxa"/>
            </w:tcMar>
            <w:shd w:fill="F2F5F3"/>
          </w:tcPr>
          <w:p>
            <w:pPr>
              <w:spacing w:after="0"/>
              <w:jc w:val="right"/>
            </w:pPr>
            <w:r>
              <w:rPr>
                <w:rFonts w:ascii="Aptos" w:hAnsi="Aptos"/>
                <w:sz w:val="15"/>
              </w:rPr>
              <w:t>16.000 EUR</w:t>
            </w:r>
          </w:p>
        </w:tc>
      </w:tr>
      <w:tr>
        <w:trPr>
          <w:cantSplit/>
        </w:trPr>
        <w:tc>
          <w:tcPr>
            <w:tcW w:type="dxa" w:w="8447"/>
            <w:vAlign w:val="center"/>
            <w:tcMar>
              <w:top w:w="55" w:type="dxa"/>
              <w:start w:w="75" w:type="dxa"/>
              <w:bottom w:w="55" w:type="dxa"/>
              <w:end w:w="75" w:type="dxa"/>
            </w:tcMar>
          </w:tcPr>
          <w:p>
            <w:pPr>
              <w:spacing w:after="0"/>
            </w:pPr>
            <w:r>
              <w:rPr>
                <w:rFonts w:ascii="Aptos" w:hAnsi="Aptos"/>
                <w:sz w:val="15"/>
              </w:rPr>
              <w:t>Tests, technische Dokumentation, Deployment und Rechteübergabe</w:t>
            </w:r>
          </w:p>
        </w:tc>
        <w:tc>
          <w:tcPr>
            <w:tcW w:type="dxa" w:w="1757"/>
            <w:vAlign w:val="center"/>
            <w:tcMar>
              <w:top w:w="55" w:type="dxa"/>
              <w:start w:w="75" w:type="dxa"/>
              <w:bottom w:w="55" w:type="dxa"/>
              <w:end w:w="75" w:type="dxa"/>
            </w:tcMar>
          </w:tcPr>
          <w:p>
            <w:pPr>
              <w:spacing w:after="0"/>
              <w:jc w:val="right"/>
            </w:pPr>
            <w:r>
              <w:rPr>
                <w:rFonts w:ascii="Aptos" w:hAnsi="Aptos"/>
                <w:sz w:val="15"/>
              </w:rPr>
              <w:t>16.000 EUR</w:t>
            </w:r>
          </w:p>
        </w:tc>
      </w:tr>
      <w:tr>
        <w:trPr>
          <w:cantSplit/>
        </w:trPr>
        <w:tc>
          <w:tcPr>
            <w:tcW w:type="dxa" w:w="8447"/>
            <w:vAlign w:val="center"/>
            <w:tcMar>
              <w:top w:w="55" w:type="dxa"/>
              <w:start w:w="75" w:type="dxa"/>
              <w:bottom w:w="55" w:type="dxa"/>
              <w:end w:w="75" w:type="dxa"/>
            </w:tcMar>
            <w:shd w:fill="DCEBE6"/>
          </w:tcPr>
          <w:p>
            <w:pPr>
              <w:spacing w:after="0"/>
            </w:pPr>
            <w:r>
              <w:rPr>
                <w:rFonts w:ascii="Aptos" w:hAnsi="Aptos"/>
                <w:b/>
                <w:sz w:val="15"/>
              </w:rPr>
              <w:t>Summe externes Software-/IP-Paket</w:t>
            </w:r>
          </w:p>
        </w:tc>
        <w:tc>
          <w:tcPr>
            <w:tcW w:type="dxa" w:w="1757"/>
            <w:vAlign w:val="center"/>
            <w:tcMar>
              <w:top w:w="55" w:type="dxa"/>
              <w:start w:w="75" w:type="dxa"/>
              <w:bottom w:w="55" w:type="dxa"/>
              <w:end w:w="75" w:type="dxa"/>
            </w:tcMar>
            <w:shd w:fill="DCEBE6"/>
          </w:tcPr>
          <w:p>
            <w:pPr>
              <w:spacing w:after="0"/>
              <w:jc w:val="right"/>
            </w:pPr>
            <w:r>
              <w:rPr>
                <w:rFonts w:ascii="Aptos" w:hAnsi="Aptos"/>
                <w:b/>
                <w:sz w:val="15"/>
              </w:rPr>
              <w:t>110.000 EUR</w:t>
            </w:r>
          </w:p>
        </w:tc>
      </w:tr>
    </w:tbl>
    <w:p/>
    <w:tbl>
      <w:tblPr>
        <w:tblW w:type="auto" w:w="0"/>
        <w:tblLook w:firstColumn="1" w:firstRow="1" w:lastColumn="0" w:lastRow="0" w:noHBand="0" w:noVBand="1" w:val="04A0"/>
      </w:tblPr>
      <w:tblGrid>
        <w:gridCol w:w="10035"/>
      </w:tblGrid>
      <w:tr>
        <w:trPr>
          <w:cantSplit/>
        </w:trPr>
        <w:tc>
          <w:tcPr>
            <w:tcW w:type="dxa" w:w="10035"/>
            <w:shd w:fill="F2F5F3"/>
            <w:tcMar>
              <w:top w:w="90" w:type="dxa"/>
              <w:start w:w="110" w:type="dxa"/>
              <w:bottom w:w="90" w:type="dxa"/>
              <w:end w:w="110" w:type="dxa"/>
            </w:tcMar>
          </w:tcPr>
          <w:p>
            <w:pPr>
              <w:spacing w:after="40"/>
            </w:pPr>
            <w:r>
              <w:rPr>
                <w:b/>
                <w:color w:val="0F5B4D"/>
                <w:sz w:val="18"/>
              </w:rPr>
              <w:t>Beschaffungs- und Abnahmeregel</w:t>
              <w:br/>
            </w:r>
            <w:r>
              <w:rPr>
                <w:color w:val="17332D"/>
                <w:sz w:val="16"/>
              </w:rPr>
              <w:t>Der Dienstleistervertrag muss Fest-/Meilensteinpreise, objektive Abnahmekriterien, vollständige Quellcode-, Dokumentations- und Nutzungsrechtsübertragung sowie Zahlung nach dokumentierter Teilabnahme enthalten. Interne Gründerarbeit ist nicht Bestandteil der 110.000-EUR-Investitionsposition. Das graphfähige Fundament darf spätere Project-Symbiosis-/Assetization-Flows ermöglichen; deren vollständige Realisierung ist nicht Bestandteil des H1-Pakets.</w:t>
            </w:r>
          </w:p>
        </w:tc>
      </w:tr>
    </w:tbl>
    <w:p>
      <w:pPr>
        <w:pStyle w:val="Heading2"/>
      </w:pPr>
      <w:r>
        <w:t>B. Betriebsmittel- und Liquiditätsbedarf</w:t>
      </w:r>
    </w:p>
    <w:tbl>
      <w:tblPr>
        <w:tblStyle w:val="TableGrid"/>
        <w:tblW w:type="auto" w:w="0"/>
        <w:jc w:val="center"/>
        <w:tblLayout w:type="fixed"/>
        <w:tblLook w:firstColumn="1" w:firstRow="1" w:lastColumn="0" w:lastRow="0" w:noHBand="0" w:noVBand="1" w:val="04A0"/>
      </w:tblPr>
      <w:tblGrid>
        <w:gridCol w:w="3345"/>
        <w:gridCol w:w="3345"/>
        <w:gridCol w:w="3345"/>
      </w:tblGrid>
      <w:tr>
        <w:trPr>
          <w:tblHeader w:val="true"/>
        </w:trPr>
        <w:tc>
          <w:tcPr>
            <w:tcW w:type="dxa" w:w="4649"/>
            <w:shd w:fill="0F5B4D"/>
            <w:vAlign w:val="center"/>
            <w:tcMar>
              <w:top w:w="55" w:type="dxa"/>
              <w:start w:w="75" w:type="dxa"/>
              <w:bottom w:w="55" w:type="dxa"/>
              <w:end w:w="75" w:type="dxa"/>
            </w:tcMar>
          </w:tcPr>
          <w:p>
            <w:pPr>
              <w:spacing w:after="0"/>
            </w:pPr>
            <w:r>
              <w:rPr>
                <w:rFonts w:ascii="Aptos" w:hAnsi="Aptos"/>
                <w:b/>
                <w:color w:val="FFFFFF"/>
                <w:sz w:val="15"/>
              </w:rPr>
              <w:t>Position</w:t>
            </w:r>
          </w:p>
        </w:tc>
        <w:tc>
          <w:tcPr>
            <w:tcW w:type="dxa" w:w="1757"/>
            <w:shd w:fill="0F5B4D"/>
            <w:vAlign w:val="center"/>
            <w:tcMar>
              <w:top w:w="55" w:type="dxa"/>
              <w:start w:w="75" w:type="dxa"/>
              <w:bottom w:w="55" w:type="dxa"/>
              <w:end w:w="75" w:type="dxa"/>
            </w:tcMar>
          </w:tcPr>
          <w:p>
            <w:pPr>
              <w:spacing w:after="0"/>
            </w:pPr>
            <w:r>
              <w:rPr>
                <w:rFonts w:ascii="Aptos" w:hAnsi="Aptos"/>
                <w:b/>
                <w:color w:val="FFFFFF"/>
                <w:sz w:val="15"/>
              </w:rPr>
              <w:t>Betrag</w:t>
            </w:r>
          </w:p>
        </w:tc>
        <w:tc>
          <w:tcPr>
            <w:tcW w:type="dxa" w:w="3798"/>
            <w:shd w:fill="0F5B4D"/>
            <w:vAlign w:val="center"/>
            <w:tcMar>
              <w:top w:w="55" w:type="dxa"/>
              <w:start w:w="75" w:type="dxa"/>
              <w:bottom w:w="55" w:type="dxa"/>
              <w:end w:w="75" w:type="dxa"/>
            </w:tcMar>
          </w:tcPr>
          <w:p>
            <w:pPr>
              <w:spacing w:after="0"/>
            </w:pPr>
            <w:r>
              <w:rPr>
                <w:rFonts w:ascii="Aptos" w:hAnsi="Aptos"/>
                <w:b/>
                <w:color w:val="FFFFFF"/>
                <w:sz w:val="15"/>
              </w:rPr>
              <w:t>Einordnung</w:t>
            </w:r>
          </w:p>
        </w:tc>
      </w:tr>
      <w:tr>
        <w:trPr>
          <w:cantSplit/>
        </w:trPr>
        <w:tc>
          <w:tcPr>
            <w:tcW w:type="dxa" w:w="4649"/>
            <w:vAlign w:val="center"/>
            <w:tcMar>
              <w:top w:w="55" w:type="dxa"/>
              <w:start w:w="75" w:type="dxa"/>
              <w:bottom w:w="55" w:type="dxa"/>
              <w:end w:w="75" w:type="dxa"/>
            </w:tcMar>
          </w:tcPr>
          <w:p>
            <w:pPr>
              <w:spacing w:after="0"/>
            </w:pPr>
            <w:r>
              <w:rPr>
                <w:rFonts w:ascii="Aptos" w:hAnsi="Aptos"/>
                <w:sz w:val="15"/>
              </w:rPr>
              <w:t>LLM-API, EU-Cloud und technische SaaS-Werkzeuge</w:t>
            </w:r>
          </w:p>
        </w:tc>
        <w:tc>
          <w:tcPr>
            <w:tcW w:type="dxa" w:w="1757"/>
            <w:vAlign w:val="center"/>
            <w:tcMar>
              <w:top w:w="55" w:type="dxa"/>
              <w:start w:w="75" w:type="dxa"/>
              <w:bottom w:w="55" w:type="dxa"/>
              <w:end w:w="75" w:type="dxa"/>
            </w:tcMar>
          </w:tcPr>
          <w:p>
            <w:pPr>
              <w:spacing w:after="0"/>
              <w:jc w:val="right"/>
            </w:pPr>
            <w:r>
              <w:rPr>
                <w:rFonts w:ascii="Aptos" w:hAnsi="Aptos"/>
                <w:sz w:val="15"/>
              </w:rPr>
              <w:t>24.000 EUR</w:t>
            </w:r>
          </w:p>
        </w:tc>
        <w:tc>
          <w:tcPr>
            <w:tcW w:type="dxa" w:w="3798"/>
            <w:vAlign w:val="center"/>
            <w:tcMar>
              <w:top w:w="55" w:type="dxa"/>
              <w:start w:w="75" w:type="dxa"/>
              <w:bottom w:w="55" w:type="dxa"/>
              <w:end w:w="75" w:type="dxa"/>
            </w:tcMar>
          </w:tcPr>
          <w:p>
            <w:pPr>
              <w:spacing w:after="0"/>
              <w:jc w:val="right"/>
            </w:pPr>
            <w:r>
              <w:rPr>
                <w:rFonts w:ascii="Aptos" w:hAnsi="Aptos"/>
                <w:sz w:val="15"/>
              </w:rPr>
              <w:t>Betriebsmittel</w:t>
            </w:r>
          </w:p>
        </w:tc>
      </w:tr>
      <w:tr>
        <w:trPr>
          <w:cantSplit/>
        </w:trPr>
        <w:tc>
          <w:tcPr>
            <w:tcW w:type="dxa" w:w="4649"/>
            <w:vAlign w:val="center"/>
            <w:tcMar>
              <w:top w:w="55" w:type="dxa"/>
              <w:start w:w="75" w:type="dxa"/>
              <w:bottom w:w="55" w:type="dxa"/>
              <w:end w:w="75" w:type="dxa"/>
            </w:tcMar>
            <w:shd w:fill="F2F5F3"/>
          </w:tcPr>
          <w:p>
            <w:pPr>
              <w:spacing w:after="0"/>
            </w:pPr>
            <w:r>
              <w:rPr>
                <w:rFonts w:ascii="Aptos" w:hAnsi="Aptos"/>
                <w:sz w:val="15"/>
              </w:rPr>
              <w:t>Design-Partner-Onboarding, Vertrieb, Marketing und Reisen</w:t>
            </w:r>
          </w:p>
        </w:tc>
        <w:tc>
          <w:tcPr>
            <w:tcW w:type="dxa" w:w="1757"/>
            <w:vAlign w:val="center"/>
            <w:tcMar>
              <w:top w:w="55" w:type="dxa"/>
              <w:start w:w="75" w:type="dxa"/>
              <w:bottom w:w="55" w:type="dxa"/>
              <w:end w:w="75" w:type="dxa"/>
            </w:tcMar>
            <w:shd w:fill="F2F5F3"/>
          </w:tcPr>
          <w:p>
            <w:pPr>
              <w:spacing w:after="0"/>
              <w:jc w:val="right"/>
            </w:pPr>
            <w:r>
              <w:rPr>
                <w:rFonts w:ascii="Aptos" w:hAnsi="Aptos"/>
                <w:sz w:val="15"/>
              </w:rPr>
              <w:t>20.000 EUR</w:t>
            </w:r>
          </w:p>
        </w:tc>
        <w:tc>
          <w:tcPr>
            <w:tcW w:type="dxa" w:w="3798"/>
            <w:vAlign w:val="center"/>
            <w:tcMar>
              <w:top w:w="55" w:type="dxa"/>
              <w:start w:w="75" w:type="dxa"/>
              <w:bottom w:w="55" w:type="dxa"/>
              <w:end w:w="75" w:type="dxa"/>
            </w:tcMar>
            <w:shd w:fill="F2F5F3"/>
          </w:tcPr>
          <w:p>
            <w:pPr>
              <w:spacing w:after="0"/>
              <w:jc w:val="right"/>
            </w:pPr>
            <w:r>
              <w:rPr>
                <w:rFonts w:ascii="Aptos" w:hAnsi="Aptos"/>
                <w:sz w:val="15"/>
              </w:rPr>
              <w:t>Betriebsmittel</w:t>
            </w:r>
          </w:p>
        </w:tc>
      </w:tr>
      <w:tr>
        <w:trPr>
          <w:cantSplit/>
        </w:trPr>
        <w:tc>
          <w:tcPr>
            <w:tcW w:type="dxa" w:w="4649"/>
            <w:vAlign w:val="center"/>
            <w:tcMar>
              <w:top w:w="55" w:type="dxa"/>
              <w:start w:w="75" w:type="dxa"/>
              <w:bottom w:w="55" w:type="dxa"/>
              <w:end w:w="75" w:type="dxa"/>
            </w:tcMar>
          </w:tcPr>
          <w:p>
            <w:pPr>
              <w:spacing w:after="0"/>
            </w:pPr>
            <w:r>
              <w:rPr>
                <w:rFonts w:ascii="Aptos" w:hAnsi="Aptos"/>
                <w:sz w:val="15"/>
              </w:rPr>
              <w:t>Recht, Datenschutz, Buchführung und Versicherungen</w:t>
            </w:r>
          </w:p>
        </w:tc>
        <w:tc>
          <w:tcPr>
            <w:tcW w:type="dxa" w:w="1757"/>
            <w:vAlign w:val="center"/>
            <w:tcMar>
              <w:top w:w="55" w:type="dxa"/>
              <w:start w:w="75" w:type="dxa"/>
              <w:bottom w:w="55" w:type="dxa"/>
              <w:end w:w="75" w:type="dxa"/>
            </w:tcMar>
          </w:tcPr>
          <w:p>
            <w:pPr>
              <w:spacing w:after="0"/>
              <w:jc w:val="right"/>
            </w:pPr>
            <w:r>
              <w:rPr>
                <w:rFonts w:ascii="Aptos" w:hAnsi="Aptos"/>
                <w:sz w:val="15"/>
              </w:rPr>
              <w:t>12.000 EUR</w:t>
            </w:r>
          </w:p>
        </w:tc>
        <w:tc>
          <w:tcPr>
            <w:tcW w:type="dxa" w:w="3798"/>
            <w:vAlign w:val="center"/>
            <w:tcMar>
              <w:top w:w="55" w:type="dxa"/>
              <w:start w:w="75" w:type="dxa"/>
              <w:bottom w:w="55" w:type="dxa"/>
              <w:end w:w="75" w:type="dxa"/>
            </w:tcMar>
          </w:tcPr>
          <w:p>
            <w:pPr>
              <w:spacing w:after="0"/>
              <w:jc w:val="right"/>
            </w:pPr>
            <w:r>
              <w:rPr>
                <w:rFonts w:ascii="Aptos" w:hAnsi="Aptos"/>
                <w:sz w:val="15"/>
              </w:rPr>
              <w:t>Betriebsmittel</w:t>
            </w:r>
          </w:p>
        </w:tc>
      </w:tr>
      <w:tr>
        <w:trPr>
          <w:cantSplit/>
        </w:trPr>
        <w:tc>
          <w:tcPr>
            <w:tcW w:type="dxa" w:w="4649"/>
            <w:vAlign w:val="center"/>
            <w:tcMar>
              <w:top w:w="55" w:type="dxa"/>
              <w:start w:w="75" w:type="dxa"/>
              <w:bottom w:w="55" w:type="dxa"/>
              <w:end w:w="75" w:type="dxa"/>
            </w:tcMar>
            <w:shd w:fill="F2F5F3"/>
          </w:tcPr>
          <w:p>
            <w:pPr>
              <w:spacing w:after="0"/>
            </w:pPr>
            <w:r>
              <w:rPr>
                <w:rFonts w:ascii="Aptos" w:hAnsi="Aptos"/>
                <w:sz w:val="15"/>
              </w:rPr>
              <w:t>Arbeitsplatz, Kommunikation und allgemeine Tools</w:t>
            </w:r>
          </w:p>
        </w:tc>
        <w:tc>
          <w:tcPr>
            <w:tcW w:type="dxa" w:w="1757"/>
            <w:vAlign w:val="center"/>
            <w:tcMar>
              <w:top w:w="55" w:type="dxa"/>
              <w:start w:w="75" w:type="dxa"/>
              <w:bottom w:w="55" w:type="dxa"/>
              <w:end w:w="75" w:type="dxa"/>
            </w:tcMar>
            <w:shd w:fill="F2F5F3"/>
          </w:tcPr>
          <w:p>
            <w:pPr>
              <w:spacing w:after="0"/>
              <w:jc w:val="right"/>
            </w:pPr>
            <w:r>
              <w:rPr>
                <w:rFonts w:ascii="Aptos" w:hAnsi="Aptos"/>
                <w:sz w:val="15"/>
              </w:rPr>
              <w:t>6.000 EUR</w:t>
            </w:r>
          </w:p>
        </w:tc>
        <w:tc>
          <w:tcPr>
            <w:tcW w:type="dxa" w:w="3798"/>
            <w:vAlign w:val="center"/>
            <w:tcMar>
              <w:top w:w="55" w:type="dxa"/>
              <w:start w:w="75" w:type="dxa"/>
              <w:bottom w:w="55" w:type="dxa"/>
              <w:end w:w="75" w:type="dxa"/>
            </w:tcMar>
            <w:shd w:fill="F2F5F3"/>
          </w:tcPr>
          <w:p>
            <w:pPr>
              <w:spacing w:after="0"/>
              <w:jc w:val="right"/>
            </w:pPr>
            <w:r>
              <w:rPr>
                <w:rFonts w:ascii="Aptos" w:hAnsi="Aptos"/>
                <w:sz w:val="15"/>
              </w:rPr>
              <w:t>Betriebsmittel</w:t>
            </w:r>
          </w:p>
        </w:tc>
      </w:tr>
      <w:tr>
        <w:trPr>
          <w:cantSplit/>
        </w:trPr>
        <w:tc>
          <w:tcPr>
            <w:tcW w:type="dxa" w:w="4649"/>
            <w:vAlign w:val="center"/>
            <w:tcMar>
              <w:top w:w="55" w:type="dxa"/>
              <w:start w:w="75" w:type="dxa"/>
              <w:bottom w:w="55" w:type="dxa"/>
              <w:end w:w="75" w:type="dxa"/>
            </w:tcMar>
          </w:tcPr>
          <w:p>
            <w:pPr>
              <w:spacing w:after="0"/>
            </w:pPr>
            <w:r>
              <w:rPr>
                <w:rFonts w:ascii="Aptos" w:hAnsi="Aptos"/>
                <w:sz w:val="15"/>
              </w:rPr>
              <w:t>externe Aktivierungs-/Datenvorbereitung und Support</w:t>
            </w:r>
          </w:p>
        </w:tc>
        <w:tc>
          <w:tcPr>
            <w:tcW w:type="dxa" w:w="1757"/>
            <w:vAlign w:val="center"/>
            <w:tcMar>
              <w:top w:w="55" w:type="dxa"/>
              <w:start w:w="75" w:type="dxa"/>
              <w:bottom w:w="55" w:type="dxa"/>
              <w:end w:w="75" w:type="dxa"/>
            </w:tcMar>
          </w:tcPr>
          <w:p>
            <w:pPr>
              <w:spacing w:after="0"/>
              <w:jc w:val="right"/>
            </w:pPr>
            <w:r>
              <w:rPr>
                <w:rFonts w:ascii="Aptos" w:hAnsi="Aptos"/>
                <w:sz w:val="15"/>
              </w:rPr>
              <w:t>10.000 EUR</w:t>
            </w:r>
          </w:p>
        </w:tc>
        <w:tc>
          <w:tcPr>
            <w:tcW w:type="dxa" w:w="3798"/>
            <w:vAlign w:val="center"/>
            <w:tcMar>
              <w:top w:w="55" w:type="dxa"/>
              <w:start w:w="75" w:type="dxa"/>
              <w:bottom w:w="55" w:type="dxa"/>
              <w:end w:w="75" w:type="dxa"/>
            </w:tcMar>
          </w:tcPr>
          <w:p>
            <w:pPr>
              <w:spacing w:after="0"/>
              <w:jc w:val="right"/>
            </w:pPr>
            <w:r>
              <w:rPr>
                <w:rFonts w:ascii="Aptos" w:hAnsi="Aptos"/>
                <w:sz w:val="15"/>
              </w:rPr>
              <w:t>Betriebsmittel</w:t>
            </w:r>
          </w:p>
        </w:tc>
      </w:tr>
      <w:tr>
        <w:trPr>
          <w:cantSplit/>
        </w:trPr>
        <w:tc>
          <w:tcPr>
            <w:tcW w:type="dxa" w:w="4649"/>
            <w:vAlign w:val="center"/>
            <w:tcMar>
              <w:top w:w="55" w:type="dxa"/>
              <w:start w:w="75" w:type="dxa"/>
              <w:bottom w:w="55" w:type="dxa"/>
              <w:end w:w="75" w:type="dxa"/>
            </w:tcMar>
            <w:shd w:fill="F2F5F3"/>
          </w:tcPr>
          <w:p>
            <w:pPr>
              <w:spacing w:after="0"/>
            </w:pPr>
            <w:r>
              <w:rPr>
                <w:rFonts w:ascii="Aptos" w:hAnsi="Aptos"/>
                <w:sz w:val="15"/>
              </w:rPr>
              <w:t>Liquiditäts-/Unvorhergesehenes-Puffer</w:t>
            </w:r>
          </w:p>
        </w:tc>
        <w:tc>
          <w:tcPr>
            <w:tcW w:type="dxa" w:w="1757"/>
            <w:vAlign w:val="center"/>
            <w:tcMar>
              <w:top w:w="55" w:type="dxa"/>
              <w:start w:w="75" w:type="dxa"/>
              <w:bottom w:w="55" w:type="dxa"/>
              <w:end w:w="75" w:type="dxa"/>
            </w:tcMar>
            <w:shd w:fill="F2F5F3"/>
          </w:tcPr>
          <w:p>
            <w:pPr>
              <w:spacing w:after="0"/>
              <w:jc w:val="right"/>
            </w:pPr>
            <w:r>
              <w:rPr>
                <w:rFonts w:ascii="Aptos" w:hAnsi="Aptos"/>
                <w:sz w:val="15"/>
              </w:rPr>
              <w:t>8.000 EUR</w:t>
            </w:r>
          </w:p>
        </w:tc>
        <w:tc>
          <w:tcPr>
            <w:tcW w:type="dxa" w:w="3798"/>
            <w:vAlign w:val="center"/>
            <w:tcMar>
              <w:top w:w="55" w:type="dxa"/>
              <w:start w:w="75" w:type="dxa"/>
              <w:bottom w:w="55" w:type="dxa"/>
              <w:end w:w="75" w:type="dxa"/>
            </w:tcMar>
            <w:shd w:fill="F2F5F3"/>
          </w:tcPr>
          <w:p>
            <w:pPr>
              <w:spacing w:after="0"/>
              <w:jc w:val="right"/>
            </w:pPr>
            <w:r>
              <w:rPr>
                <w:rFonts w:ascii="Aptos" w:hAnsi="Aptos"/>
                <w:sz w:val="15"/>
              </w:rPr>
              <w:t>Betriebsmittel</w:t>
            </w:r>
          </w:p>
        </w:tc>
      </w:tr>
      <w:tr>
        <w:trPr>
          <w:cantSplit/>
        </w:trPr>
        <w:tc>
          <w:tcPr>
            <w:tcW w:type="dxa" w:w="4649"/>
            <w:vAlign w:val="center"/>
            <w:tcMar>
              <w:top w:w="55" w:type="dxa"/>
              <w:start w:w="75" w:type="dxa"/>
              <w:bottom w:w="55" w:type="dxa"/>
              <w:end w:w="75" w:type="dxa"/>
            </w:tcMar>
            <w:shd w:fill="DCEBE6"/>
          </w:tcPr>
          <w:p>
            <w:pPr>
              <w:spacing w:after="0"/>
            </w:pPr>
            <w:r>
              <w:rPr>
                <w:rFonts w:ascii="Aptos" w:hAnsi="Aptos"/>
                <w:b/>
                <w:sz w:val="15"/>
              </w:rPr>
              <w:t>KfW-finanzierter Betriebsmittelanteil</w:t>
            </w:r>
          </w:p>
        </w:tc>
        <w:tc>
          <w:tcPr>
            <w:tcW w:type="dxa" w:w="1757"/>
            <w:vAlign w:val="center"/>
            <w:tcMar>
              <w:top w:w="55" w:type="dxa"/>
              <w:start w:w="75" w:type="dxa"/>
              <w:bottom w:w="55" w:type="dxa"/>
              <w:end w:w="75" w:type="dxa"/>
            </w:tcMar>
            <w:shd w:fill="DCEBE6"/>
          </w:tcPr>
          <w:p>
            <w:pPr>
              <w:spacing w:after="0"/>
              <w:jc w:val="right"/>
            </w:pPr>
            <w:r>
              <w:rPr>
                <w:rFonts w:ascii="Aptos" w:hAnsi="Aptos"/>
                <w:b/>
                <w:sz w:val="15"/>
              </w:rPr>
              <w:t>80.000 EUR</w:t>
            </w:r>
          </w:p>
        </w:tc>
        <w:tc>
          <w:tcPr>
            <w:tcW w:type="dxa" w:w="3798"/>
            <w:vAlign w:val="center"/>
            <w:tcMar>
              <w:top w:w="55" w:type="dxa"/>
              <w:start w:w="75" w:type="dxa"/>
              <w:bottom w:w="55" w:type="dxa"/>
              <w:end w:w="75" w:type="dxa"/>
            </w:tcMar>
            <w:shd w:fill="DCEBE6"/>
          </w:tcPr>
          <w:p>
            <w:pPr>
              <w:spacing w:after="0"/>
              <w:jc w:val="right"/>
            </w:pPr>
            <w:r>
              <w:rPr>
                <w:rFonts w:ascii="Aptos" w:hAnsi="Aptos"/>
                <w:b/>
                <w:sz w:val="15"/>
              </w:rPr>
              <w:t>Programmobergrenze</w:t>
            </w:r>
          </w:p>
        </w:tc>
      </w:tr>
      <w:tr>
        <w:trPr>
          <w:cantSplit/>
        </w:trPr>
        <w:tc>
          <w:tcPr>
            <w:tcW w:type="dxa" w:w="4649"/>
            <w:vAlign w:val="center"/>
            <w:tcMar>
              <w:top w:w="55" w:type="dxa"/>
              <w:start w:w="75" w:type="dxa"/>
              <w:bottom w:w="55" w:type="dxa"/>
              <w:end w:w="75" w:type="dxa"/>
            </w:tcMar>
            <w:shd w:fill="DCEBE6"/>
          </w:tcPr>
          <w:p>
            <w:pPr>
              <w:spacing w:after="0"/>
            </w:pPr>
            <w:r>
              <w:rPr>
                <w:rFonts w:ascii="Aptos" w:hAnsi="Aptos"/>
                <w:b/>
                <w:sz w:val="15"/>
              </w:rPr>
              <w:t>davon feste Gründer-/Personalkosten Jahr 1</w:t>
            </w:r>
          </w:p>
        </w:tc>
        <w:tc>
          <w:tcPr>
            <w:tcW w:type="dxa" w:w="1757"/>
            <w:vAlign w:val="center"/>
            <w:tcMar>
              <w:top w:w="55" w:type="dxa"/>
              <w:start w:w="75" w:type="dxa"/>
              <w:bottom w:w="55" w:type="dxa"/>
              <w:end w:w="75" w:type="dxa"/>
            </w:tcMar>
            <w:shd w:fill="DCEBE6"/>
          </w:tcPr>
          <w:p>
            <w:pPr>
              <w:spacing w:after="0"/>
              <w:jc w:val="right"/>
            </w:pPr>
            <w:r>
              <w:rPr>
                <w:rFonts w:ascii="Aptos" w:hAnsi="Aptos"/>
                <w:b/>
                <w:sz w:val="15"/>
              </w:rPr>
              <w:t>0 EUR</w:t>
            </w:r>
          </w:p>
        </w:tc>
        <w:tc>
          <w:tcPr>
            <w:tcW w:type="dxa" w:w="3798"/>
            <w:vAlign w:val="center"/>
            <w:tcMar>
              <w:top w:w="55" w:type="dxa"/>
              <w:start w:w="75" w:type="dxa"/>
              <w:bottom w:w="55" w:type="dxa"/>
              <w:end w:w="75" w:type="dxa"/>
            </w:tcMar>
            <w:shd w:fill="DCEBE6"/>
          </w:tcPr>
          <w:p>
            <w:pPr>
              <w:spacing w:after="0"/>
              <w:jc w:val="right"/>
            </w:pPr>
            <w:r>
              <w:rPr>
                <w:rFonts w:ascii="Aptos" w:hAnsi="Aptos"/>
                <w:b/>
                <w:sz w:val="15"/>
              </w:rPr>
              <w:t>keine Verpflichtung oder Gehaltsstundung</w:t>
            </w:r>
          </w:p>
        </w:tc>
      </w:tr>
    </w:tbl>
    <w:p>
      <w:pPr>
        <w:pStyle w:val="Heading2"/>
      </w:pPr>
      <w:r>
        <w:t>C. Gesamtbedarf und Finanzierung</w:t>
      </w:r>
    </w:p>
    <w:tbl>
      <w:tblPr>
        <w:tblStyle w:val="TableGrid"/>
        <w:tblW w:type="auto" w:w="0"/>
        <w:jc w:val="center"/>
        <w:tblLayout w:type="fixed"/>
        <w:tblLook w:firstColumn="1" w:firstRow="1" w:lastColumn="0" w:lastRow="0" w:noHBand="0" w:noVBand="1" w:val="04A0"/>
      </w:tblPr>
      <w:tblGrid>
        <w:gridCol w:w="3345"/>
        <w:gridCol w:w="3345"/>
        <w:gridCol w:w="3345"/>
      </w:tblGrid>
      <w:tr>
        <w:trPr>
          <w:tblHeader w:val="true"/>
        </w:trPr>
        <w:tc>
          <w:tcPr>
            <w:tcW w:type="dxa" w:w="4649"/>
            <w:shd w:fill="0F5B4D"/>
            <w:vAlign w:val="center"/>
            <w:tcMar>
              <w:top w:w="55" w:type="dxa"/>
              <w:start w:w="75" w:type="dxa"/>
              <w:bottom w:w="55" w:type="dxa"/>
              <w:end w:w="75" w:type="dxa"/>
            </w:tcMar>
          </w:tcPr>
          <w:p>
            <w:pPr>
              <w:spacing w:after="0"/>
            </w:pPr>
            <w:r>
              <w:rPr>
                <w:rFonts w:ascii="Aptos" w:hAnsi="Aptos"/>
                <w:b/>
                <w:color w:val="FFFFFF"/>
                <w:sz w:val="15"/>
              </w:rPr>
              <w:t>Finanzierung</w:t>
            </w:r>
          </w:p>
        </w:tc>
        <w:tc>
          <w:tcPr>
            <w:tcW w:type="dxa" w:w="1757"/>
            <w:shd w:fill="0F5B4D"/>
            <w:vAlign w:val="center"/>
            <w:tcMar>
              <w:top w:w="55" w:type="dxa"/>
              <w:start w:w="75" w:type="dxa"/>
              <w:bottom w:w="55" w:type="dxa"/>
              <w:end w:w="75" w:type="dxa"/>
            </w:tcMar>
          </w:tcPr>
          <w:p>
            <w:pPr>
              <w:spacing w:after="0"/>
            </w:pPr>
            <w:r>
              <w:rPr>
                <w:rFonts w:ascii="Aptos" w:hAnsi="Aptos"/>
                <w:b/>
                <w:color w:val="FFFFFF"/>
                <w:sz w:val="15"/>
              </w:rPr>
              <w:t>Betrag</w:t>
            </w:r>
          </w:p>
        </w:tc>
        <w:tc>
          <w:tcPr>
            <w:tcW w:type="dxa" w:w="3798"/>
            <w:shd w:fill="0F5B4D"/>
            <w:vAlign w:val="center"/>
            <w:tcMar>
              <w:top w:w="55" w:type="dxa"/>
              <w:start w:w="75" w:type="dxa"/>
              <w:bottom w:w="55" w:type="dxa"/>
              <w:end w:w="75" w:type="dxa"/>
            </w:tcMar>
          </w:tcPr>
          <w:p>
            <w:pPr>
              <w:spacing w:after="0"/>
            </w:pPr>
            <w:r>
              <w:rPr>
                <w:rFonts w:ascii="Aptos" w:hAnsi="Aptos"/>
                <w:b/>
                <w:color w:val="FFFFFF"/>
                <w:sz w:val="15"/>
              </w:rPr>
              <w:t>Erläuterung</w:t>
            </w:r>
          </w:p>
        </w:tc>
      </w:tr>
      <w:tr>
        <w:trPr>
          <w:cantSplit/>
        </w:trPr>
        <w:tc>
          <w:tcPr>
            <w:tcW w:type="dxa" w:w="4649"/>
            <w:vAlign w:val="center"/>
            <w:tcMar>
              <w:top w:w="55" w:type="dxa"/>
              <w:start w:w="75" w:type="dxa"/>
              <w:bottom w:w="55" w:type="dxa"/>
              <w:end w:w="75" w:type="dxa"/>
            </w:tcMar>
            <w:shd w:fill="DCEBE6"/>
          </w:tcPr>
          <w:p>
            <w:pPr>
              <w:spacing w:after="0"/>
            </w:pPr>
            <w:r>
              <w:rPr>
                <w:rFonts w:ascii="Aptos" w:hAnsi="Aptos"/>
                <w:b/>
                <w:sz w:val="15"/>
              </w:rPr>
              <w:t>Gesamter Finanzierungsbedarf Base-Case</w:t>
            </w:r>
          </w:p>
        </w:tc>
        <w:tc>
          <w:tcPr>
            <w:tcW w:type="dxa" w:w="1757"/>
            <w:vAlign w:val="center"/>
            <w:tcMar>
              <w:top w:w="55" w:type="dxa"/>
              <w:start w:w="75" w:type="dxa"/>
              <w:bottom w:w="55" w:type="dxa"/>
              <w:end w:w="75" w:type="dxa"/>
            </w:tcMar>
            <w:shd w:fill="DCEBE6"/>
          </w:tcPr>
          <w:p>
            <w:pPr>
              <w:spacing w:after="0"/>
              <w:jc w:val="right"/>
            </w:pPr>
            <w:r>
              <w:rPr>
                <w:rFonts w:ascii="Aptos" w:hAnsi="Aptos"/>
                <w:b/>
                <w:sz w:val="15"/>
              </w:rPr>
              <w:t>200.000 EUR</w:t>
            </w:r>
          </w:p>
        </w:tc>
        <w:tc>
          <w:tcPr>
            <w:tcW w:type="dxa" w:w="3798"/>
            <w:vAlign w:val="center"/>
            <w:tcMar>
              <w:top w:w="55" w:type="dxa"/>
              <w:start w:w="75" w:type="dxa"/>
              <w:bottom w:w="55" w:type="dxa"/>
              <w:end w:w="75" w:type="dxa"/>
            </w:tcMar>
            <w:shd w:fill="DCEBE6"/>
          </w:tcPr>
          <w:p>
            <w:pPr>
              <w:spacing w:after="0"/>
              <w:jc w:val="right"/>
            </w:pPr>
            <w:r>
              <w:rPr>
                <w:rFonts w:ascii="Aptos" w:hAnsi="Aptos"/>
                <w:b/>
                <w:sz w:val="15"/>
              </w:rPr>
              <w:t>120.000 Investition + 80.000 Betriebsmittel</w:t>
            </w:r>
          </w:p>
        </w:tc>
      </w:tr>
      <w:tr>
        <w:trPr>
          <w:cantSplit/>
        </w:trPr>
        <w:tc>
          <w:tcPr>
            <w:tcW w:type="dxa" w:w="4649"/>
            <w:vAlign w:val="center"/>
            <w:tcMar>
              <w:top w:w="55" w:type="dxa"/>
              <w:start w:w="75" w:type="dxa"/>
              <w:bottom w:w="55" w:type="dxa"/>
              <w:end w:w="75" w:type="dxa"/>
            </w:tcMar>
            <w:shd w:fill="F2F5F3"/>
          </w:tcPr>
          <w:p>
            <w:pPr>
              <w:spacing w:after="0"/>
            </w:pPr>
            <w:r>
              <w:rPr>
                <w:rFonts w:ascii="Aptos" w:hAnsi="Aptos"/>
                <w:sz w:val="15"/>
              </w:rPr>
              <w:t>ERP-Gründerkredit - StartGeld</w:t>
            </w:r>
          </w:p>
        </w:tc>
        <w:tc>
          <w:tcPr>
            <w:tcW w:type="dxa" w:w="1757"/>
            <w:vAlign w:val="center"/>
            <w:tcMar>
              <w:top w:w="55" w:type="dxa"/>
              <w:start w:w="75" w:type="dxa"/>
              <w:bottom w:w="55" w:type="dxa"/>
              <w:end w:w="75" w:type="dxa"/>
            </w:tcMar>
            <w:shd w:fill="F2F5F3"/>
          </w:tcPr>
          <w:p>
            <w:pPr>
              <w:spacing w:after="0"/>
              <w:jc w:val="right"/>
            </w:pPr>
            <w:r>
              <w:rPr>
                <w:rFonts w:ascii="Aptos" w:hAnsi="Aptos"/>
                <w:sz w:val="15"/>
              </w:rPr>
              <w:t>200.000 EUR</w:t>
            </w:r>
          </w:p>
        </w:tc>
        <w:tc>
          <w:tcPr>
            <w:tcW w:type="dxa" w:w="3798"/>
            <w:vAlign w:val="center"/>
            <w:tcMar>
              <w:top w:w="55" w:type="dxa"/>
              <w:start w:w="75" w:type="dxa"/>
              <w:bottom w:w="55" w:type="dxa"/>
              <w:end w:w="75" w:type="dxa"/>
            </w:tcMar>
            <w:shd w:fill="F2F5F3"/>
          </w:tcPr>
          <w:p>
            <w:pPr>
              <w:spacing w:after="0"/>
              <w:jc w:val="right"/>
            </w:pPr>
            <w:r>
              <w:rPr>
                <w:rFonts w:ascii="Aptos" w:hAnsi="Aptos"/>
                <w:sz w:val="15"/>
              </w:rPr>
              <w:t>120.000 Investition + maximal 80.000 Betriebsmittel</w:t>
            </w:r>
          </w:p>
        </w:tc>
      </w:tr>
      <w:tr>
        <w:trPr>
          <w:cantSplit/>
        </w:trPr>
        <w:tc>
          <w:tcPr>
            <w:tcW w:type="dxa" w:w="4649"/>
            <w:vAlign w:val="center"/>
            <w:tcMar>
              <w:top w:w="55" w:type="dxa"/>
              <w:start w:w="75" w:type="dxa"/>
              <w:bottom w:w="55" w:type="dxa"/>
              <w:end w:w="75" w:type="dxa"/>
            </w:tcMar>
          </w:tcPr>
          <w:p>
            <w:pPr>
              <w:spacing w:after="0"/>
            </w:pPr>
            <w:r>
              <w:rPr>
                <w:rFonts w:ascii="Aptos" w:hAnsi="Aptos"/>
                <w:sz w:val="15"/>
              </w:rPr>
              <w:t>zusätzliche Eigenmittel im Base-Case</w:t>
            </w:r>
          </w:p>
        </w:tc>
        <w:tc>
          <w:tcPr>
            <w:tcW w:type="dxa" w:w="1757"/>
            <w:vAlign w:val="center"/>
            <w:tcMar>
              <w:top w:w="55" w:type="dxa"/>
              <w:start w:w="75" w:type="dxa"/>
              <w:bottom w:w="55" w:type="dxa"/>
              <w:end w:w="75" w:type="dxa"/>
            </w:tcMar>
          </w:tcPr>
          <w:p>
            <w:pPr>
              <w:spacing w:after="0"/>
              <w:jc w:val="right"/>
            </w:pPr>
            <w:r>
              <w:rPr>
                <w:rFonts w:ascii="Aptos" w:hAnsi="Aptos"/>
                <w:sz w:val="15"/>
              </w:rPr>
              <w:t>0 EUR</w:t>
            </w:r>
          </w:p>
        </w:tc>
        <w:tc>
          <w:tcPr>
            <w:tcW w:type="dxa" w:w="3798"/>
            <w:vAlign w:val="center"/>
            <w:tcMar>
              <w:top w:w="55" w:type="dxa"/>
              <w:start w:w="75" w:type="dxa"/>
              <w:bottom w:w="55" w:type="dxa"/>
              <w:end w:w="75" w:type="dxa"/>
            </w:tcMar>
          </w:tcPr>
          <w:p>
            <w:pPr>
              <w:spacing w:after="0"/>
              <w:jc w:val="right"/>
            </w:pPr>
            <w:r>
              <w:rPr>
                <w:rFonts w:ascii="Aptos" w:hAnsi="Aptos"/>
                <w:sz w:val="15"/>
              </w:rPr>
              <w:t>bestehendes gesetzliches Stammkapital separat nachweisen</w:t>
            </w:r>
          </w:p>
        </w:tc>
      </w:tr>
      <w:tr>
        <w:trPr>
          <w:cantSplit/>
        </w:trPr>
        <w:tc>
          <w:tcPr>
            <w:tcW w:type="dxa" w:w="4649"/>
            <w:vAlign w:val="center"/>
            <w:tcMar>
              <w:top w:w="55" w:type="dxa"/>
              <w:start w:w="75" w:type="dxa"/>
              <w:bottom w:w="55" w:type="dxa"/>
              <w:end w:w="75" w:type="dxa"/>
            </w:tcMar>
            <w:shd w:fill="DCEBE6"/>
          </w:tcPr>
          <w:p>
            <w:pPr>
              <w:spacing w:after="0"/>
            </w:pPr>
            <w:r>
              <w:rPr>
                <w:rFonts w:ascii="Aptos" w:hAnsi="Aptos"/>
                <w:b/>
                <w:sz w:val="15"/>
              </w:rPr>
              <w:t>Finanzierungssumme</w:t>
            </w:r>
          </w:p>
        </w:tc>
        <w:tc>
          <w:tcPr>
            <w:tcW w:type="dxa" w:w="1757"/>
            <w:vAlign w:val="center"/>
            <w:tcMar>
              <w:top w:w="55" w:type="dxa"/>
              <w:start w:w="75" w:type="dxa"/>
              <w:bottom w:w="55" w:type="dxa"/>
              <w:end w:w="75" w:type="dxa"/>
            </w:tcMar>
            <w:shd w:fill="DCEBE6"/>
          </w:tcPr>
          <w:p>
            <w:pPr>
              <w:spacing w:after="0"/>
              <w:jc w:val="right"/>
            </w:pPr>
            <w:r>
              <w:rPr>
                <w:rFonts w:ascii="Aptos" w:hAnsi="Aptos"/>
                <w:b/>
                <w:sz w:val="15"/>
              </w:rPr>
              <w:t>200.000 EUR</w:t>
            </w:r>
          </w:p>
        </w:tc>
        <w:tc>
          <w:tcPr>
            <w:tcW w:type="dxa" w:w="3798"/>
            <w:vAlign w:val="center"/>
            <w:tcMar>
              <w:top w:w="55" w:type="dxa"/>
              <w:start w:w="75" w:type="dxa"/>
              <w:bottom w:w="55" w:type="dxa"/>
              <w:end w:w="75" w:type="dxa"/>
            </w:tcMar>
            <w:shd w:fill="DCEBE6"/>
          </w:tcPr>
          <w:p>
            <w:pPr>
              <w:spacing w:after="0"/>
              <w:jc w:val="right"/>
            </w:pPr>
            <w:r>
              <w:rPr>
                <w:rFonts w:ascii="Aptos" w:hAnsi="Aptos"/>
                <w:b/>
                <w:sz w:val="15"/>
              </w:rPr>
              <w:t>entspricht dem verbindlichen Base-Case</w:t>
            </w:r>
          </w:p>
        </w:tc>
      </w:tr>
    </w:tbl>
    <w:p/>
    <w:tbl>
      <w:tblPr>
        <w:tblW w:type="auto" w:w="0"/>
        <w:tblLook w:firstColumn="1" w:firstRow="1" w:lastColumn="0" w:lastRow="0" w:noHBand="0" w:noVBand="1" w:val="04A0"/>
      </w:tblPr>
      <w:tblGrid>
        <w:gridCol w:w="10035"/>
      </w:tblGrid>
      <w:tr>
        <w:trPr>
          <w:cantSplit/>
        </w:trPr>
        <w:tc>
          <w:tcPr>
            <w:tcW w:type="dxa" w:w="10035"/>
            <w:shd w:fill="FFF0DB"/>
            <w:tcMar>
              <w:top w:w="90" w:type="dxa"/>
              <w:start w:w="110" w:type="dxa"/>
              <w:bottom w:w="90" w:type="dxa"/>
              <w:end w:w="110" w:type="dxa"/>
            </w:tcMar>
          </w:tcPr>
          <w:p>
            <w:pPr>
              <w:spacing w:after="40"/>
            </w:pPr>
            <w:r>
              <w:rPr>
                <w:b/>
                <w:color w:val="0F5B4D"/>
                <w:sz w:val="18"/>
              </w:rPr>
              <w:t>Entscheidende Förderbedingung</w:t>
              <w:br/>
            </w:r>
            <w:r>
              <w:rPr>
                <w:color w:val="17332D"/>
                <w:sz w:val="16"/>
              </w:rPr>
              <w:t>Die Hausbank muss vor Beauftragung bestätigen, dass das 110.000-EUR-Software-/IP-Paket und die 10.000-EUR-Hardware als mittel-/langfristige Investitionen anerkannt werden. Wird dies abgelehnt, ist der 200.000-EUR-Antrag in dieser Form nicht tragfähig; dann den Kredit reduzieren oder die Investition separat mit Eigenkapital finanzieren.</w:t>
            </w:r>
          </w:p>
        </w:tc>
      </w:tr>
    </w:tbl>
    <w:p/>
    <w:tbl>
      <w:tblPr>
        <w:tblW w:type="auto" w:w="0"/>
        <w:tblLook w:firstColumn="1" w:firstRow="1" w:lastColumn="0" w:lastRow="0" w:noHBand="0" w:noVBand="1" w:val="04A0"/>
      </w:tblPr>
      <w:tblGrid>
        <w:gridCol w:w="10035"/>
      </w:tblGrid>
      <w:tr>
        <w:trPr>
          <w:cantSplit/>
        </w:trPr>
        <w:tc>
          <w:tcPr>
            <w:tcW w:type="dxa" w:w="10035"/>
            <w:shd w:fill="F2F5F3"/>
            <w:tcMar>
              <w:top w:w="90" w:type="dxa"/>
              <w:start w:w="110" w:type="dxa"/>
              <w:bottom w:w="90" w:type="dxa"/>
              <w:end w:w="110" w:type="dxa"/>
            </w:tcMar>
          </w:tcPr>
          <w:p>
            <w:pPr>
              <w:spacing w:after="40"/>
            </w:pPr>
            <w:r>
              <w:rPr>
                <w:b/>
                <w:color w:val="0F5B4D"/>
                <w:sz w:val="18"/>
              </w:rPr>
              <w:t>Abgrenzung zum Jahresbudget</w:t>
              <w:br/>
            </w:r>
            <w:r>
              <w:rPr>
                <w:color w:val="17332D"/>
                <w:sz w:val="16"/>
              </w:rPr>
              <w:t>Das 36-Monats-Modell verknüpft Investitionsmeilensteine, 0 EUR verbindliche Jahr-1-Personalkosten, fixe Kosten, variable COGS, monatliche Kundenzahlungen und Kapitaldienst. Ohne zusätzliches Eigenkapital beträgt die Endliquidität Jahr 1 75,640 TEUR; der Cash-Tiefpunkt liegt mit 41,046 TEUR in Jahr 2. Der optionale Personalrahmen bis 80 TEUR ist darin nicht enthalten und benötigt vor Freigabe mindestens rund 68,95 TEUR zusätzliche Liquidität, wenn der 30-TEUR-Puffer über 36 Monate gehalten werden soll.</w:t>
            </w:r>
          </w:p>
        </w:tc>
      </w:tr>
    </w:tbl>
    <w:p/>
    <w:tbl>
      <w:tblPr>
        <w:tblW w:type="auto" w:w="0"/>
        <w:tblLook w:firstColumn="1" w:firstRow="1" w:lastColumn="0" w:lastRow="0" w:noHBand="0" w:noVBand="1" w:val="04A0"/>
      </w:tblPr>
      <w:tblGrid>
        <w:gridCol w:w="10035"/>
      </w:tblGrid>
      <w:tr>
        <w:trPr>
          <w:cantSplit/>
        </w:trPr>
        <w:tc>
          <w:tcPr>
            <w:tcW w:type="dxa" w:w="10035"/>
            <w:shd w:fill="F2F5F3"/>
            <w:tcMar>
              <w:top w:w="90" w:type="dxa"/>
              <w:start w:w="110" w:type="dxa"/>
              <w:bottom w:w="90" w:type="dxa"/>
              <w:end w:w="110" w:type="dxa"/>
            </w:tcMar>
          </w:tcPr>
          <w:p>
            <w:pPr>
              <w:spacing w:after="40"/>
            </w:pPr>
            <w:r>
              <w:rPr>
                <w:b/>
                <w:color w:val="0F5B4D"/>
                <w:sz w:val="18"/>
              </w:rPr>
              <w:t>Quellenbasis</w:t>
              <w:br/>
            </w:r>
            <w:r>
              <w:rPr>
                <w:color w:val="17332D"/>
                <w:sz w:val="16"/>
              </w:rPr>
              <w:t>KfW-Formular 600 000 5282; KfW-Merkblatt 067, Stand 18.06.2026; KfW-Produktseite abgerufen 12.07.2026; Consultry Businessplan, Product Vision v2.7, Alignment Control Plane v1.1 und MVP-PRD. Die modulare Entwicklungsdarstellung ist von der Struktur der OmniSEC-Planung inspiriert; Umfang und Beträge sind ausschließlich Consultry-Planannahmen und durch Angebote zu ersetzen.</w:t>
            </w:r>
          </w:p>
        </w:tc>
      </w:tr>
    </w:tbl>
    <w:sectPr w:rsidR="00FC693F" w:rsidRPr="0006063C" w:rsidSect="00034616">
      <w:headerReference w:type="default" r:id="rId9"/>
      <w:footerReference w:type="default" r:id="rId10"/>
      <w:pgSz w:w="11906" w:h="16838"/>
      <w:pgMar w:top="907" w:right="907" w:bottom="850" w:left="964"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645F"/>
        <w:sz w:val="14"/>
      </w:rPr>
      <w:t xml:space="preserve">Consultry Software GmbH | 12.07.2026 | Seite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5" w:space="3" w:color="0F5B4D"/>
      </w:pBdr>
    </w:pPr>
    <w:r>
      <w:drawing>
        <wp:inline xmlns:a="http://schemas.openxmlformats.org/drawingml/2006/main" xmlns:pic="http://schemas.openxmlformats.org/drawingml/2006/picture">
          <wp:extent cx="685800" cy="675112"/>
          <wp:docPr id="1" name="Picture 1"/>
          <wp:cNvGraphicFramePr>
            <a:graphicFrameLocks noChangeAspect="1"/>
          </wp:cNvGraphicFramePr>
          <a:graphic>
            <a:graphicData uri="http://schemas.openxmlformats.org/drawingml/2006/picture">
              <pic:pic>
                <pic:nvPicPr>
                  <pic:cNvPr id="0" name="consultry-weblogo-cropped.png"/>
                  <pic:cNvPicPr/>
                </pic:nvPicPr>
                <pic:blipFill>
                  <a:blip r:embed="rId1"/>
                  <a:stretch>
                    <a:fillRect/>
                  </a:stretch>
                </pic:blipFill>
                <pic:spPr>
                  <a:xfrm>
                    <a:off x="0" y="0"/>
                    <a:ext cx="685800" cy="675112"/>
                  </a:xfrm>
                  <a:prstGeom prst="rect"/>
                </pic:spPr>
              </pic:pic>
            </a:graphicData>
          </a:graphic>
        </wp:inline>
      </w:drawing>
    </w:r>
    <w:r>
      <w:rPr>
        <w:rFonts w:ascii="Aptos" w:hAnsi="Aptos"/>
        <w:color w:val="59645F"/>
        <w:sz w:val="15"/>
      </w:rPr>
      <w:t xml:space="preserve">    Investitionsplan | KfW StartGeld 067 | ENTWURF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ptos" w:hAnsi="Aptos"/>
      <w:color w:val="1733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ptos Display" w:hAnsi="Aptos Display"/>
      <w:b/>
      <w:bCs/>
      <w:color w:val="0F5B4D"/>
      <w:sz w:val="4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733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Consultry Investitionsplan</dc:title>
  <dc:subject>ERP-Gründerkredit StartGeld 067</dc:subject>
  <dc:creator>Consultry Software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